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April 1, 2026</w:t>
      </w:r>
    </w:p>
    <w:p>
      <w:pPr>
        <w:spacing w:after="0" w:line="2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CELLDEX THERAPEUTICS, INC.</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502" w:right="339" w:bottom="1440" w:gutter="0" w:footer="0" w:header="0"/>
        </w:sectPr>
      </w:pPr>
    </w:p>
    <w:p>
      <w:pPr>
        <w:spacing w:after="0" w:line="201"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000-15006</w:t>
      </w:r>
    </w:p>
    <w:p>
      <w:pPr>
        <w:spacing w:after="0" w:line="31"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13-3191702</w:t>
      </w:r>
    </w:p>
    <w:p>
      <w:pPr>
        <w:spacing w:after="0" w:line="31"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11" w:lineRule="exact"/>
        <w:rPr>
          <w:sz w:val="24"/>
          <w:szCs w:val="24"/>
          <w:color w:val="auto"/>
        </w:rPr>
      </w:pPr>
    </w:p>
    <w:p>
      <w:pPr>
        <w:sectPr>
          <w:pgSz w:w="11900" w:h="16838" w:orient="portrait"/>
          <w:cols w:equalWidth="0" w:num="3">
            <w:col w:w="3920" w:space="720"/>
            <w:col w:w="2860" w:space="720"/>
            <w:col w:w="3020"/>
          </w:cols>
          <w:pgMar w:left="320" w:top="502" w:right="339" w:bottom="1440" w:gutter="0" w:footer="0" w:header="0"/>
          <w:type w:val="continuous"/>
        </w:sectPr>
      </w:pP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Perryville III Building, 53 Frontage Road, Suite 220,</w:t>
      </w:r>
    </w:p>
    <w:p>
      <w:pPr>
        <w:spacing w:after="0" w:line="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Hampton, New Jersey 08827</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ectPr>
          <w:pgSz w:w="11900" w:h="16838" w:orient="portrait"/>
          <w:cols w:equalWidth="0" w:num="1">
            <w:col w:w="11240"/>
          </w:cols>
          <w:pgMar w:left="320" w:top="502" w:right="339" w:bottom="1440" w:gutter="0" w:footer="0" w:header="0"/>
          <w:type w:val="continuous"/>
        </w:sectPr>
      </w:pP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(908) 200-7500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rFonts w:ascii="MS PGothic" w:cs="MS PGothic" w:eastAsia="MS PGothic" w:hAnsi="MS PGothic"/>
          <w:sz w:val="18"/>
          <w:szCs w:val="18"/>
          <w:color w:val="auto"/>
        </w:rPr>
      </w:pPr>
    </w:p>
    <w:p>
      <w:pPr>
        <w:ind w:left="34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7" w:lineRule="exact"/>
        <w:rPr>
          <w:sz w:val="24"/>
          <w:szCs w:val="24"/>
          <w:color w:val="auto"/>
        </w:rPr>
      </w:pPr>
    </w:p>
    <w:tbl>
      <w:tblPr>
        <w:tblLayout w:type="fixed"/>
        <w:tblInd w:w="10" w:type="dxa"/>
        <w:tblCellMar>
          <w:top w:w="0" w:type="dxa"/>
          <w:left w:w="0" w:type="dxa"/>
          <w:bottom w:w="0" w:type="dxa"/>
          <w:right w:w="0" w:type="dxa"/>
        </w:tblCellMar>
      </w:tblPr>
      <w:tr>
        <w:trPr>
          <w:trHeight w:val="252"/>
        </w:trPr>
        <w:tc>
          <w:tcPr>
            <w:tcW w:w="39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33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39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37"/>
        </w:trPr>
        <w:tc>
          <w:tcPr>
            <w:tcW w:w="39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w:t>
            </w:r>
          </w:p>
        </w:tc>
        <w:tc>
          <w:tcPr>
            <w:tcW w:w="3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CLDX</w:t>
            </w:r>
          </w:p>
        </w:tc>
        <w:tc>
          <w:tcPr>
            <w:tcW w:w="3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Capital Market</w:t>
            </w:r>
          </w:p>
        </w:tc>
      </w:tr>
    </w:tbl>
    <w:p>
      <w:pPr>
        <w:spacing w:after="0" w:line="198"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April 1, 2026, Celldex Therapeutics, Inc. (the “Company”) entered into an underwriting agreement (the “Underwriting Agreement”) with Leerink Partners LLC and TD Securities (USA) LLC, as representatives of the several underwriters named therein (the “Underwriters”), relating to the offering, issuance and sale of 10,345,000 shares (the “Shares”) of the Company’s common stock, par value $0.001 (the “Common Stock”), at a price to the public of $29.00 per share (the “Offering”). The net proceeds to the Company from the Offering are expected to be approximately $282 million, after deducting underwriting discounts and commissions and other estimated offering expenses payable by the Company. The Offering is expected to close on or about April 6, 2026, subject to customary closing conditions. Pursuant to the Underwriting Agreement, the Underwriters have a 30-day option to purchase up to 1,551,750 additional shares of Common Stock at the purchase price per Share to be paid by the Underwriters (the “Option”).</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Offering is being made pursuant to a prospectus supplement, dated April 1, 2026 (the “Prospectus Supplement”), to be filed with the Securities and Exchange Commission (the “SEC”), and an accompanying base prospectus that forms a part of the Company’s automatically effective shelf registration statement on Form S-3 (File No. 333-275300) previously filed with the SEC.</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Underwriting Agreement contains customary representations, warranties and agreements by the Company, conditions to closing, indemnification obligations of the Company and the Underwriters, including for liabilities under the Securities Act of 1933, as amended, other obligations of the parties and termination provisions. The representations, warranties and covenants contained in the Underwriting Agreement were made only for purposes of such agreement and as of specific dates, were solely for the benefit of the parties to such agreement, and may be subject to limitations agreed upon by the contracting parties.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foregoing description of the Underwriting Agreement is not complete and is qualified in its entirety by reference to the full text of the Underwriting Agreement, a copy of which is filed as Exhibit 1.1 to this Current Report on Form 8-K and is incorporated by reference herein. A copy of the opinion of Lowenstein Sandler LLP relating to the legality of the issuance and sale of Shares in the Offering is attached as Exhibit 5.1 to this Current Report on Form 8-K and is incorporated by reference herein.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April 1, 2026, the Company issued a press release regarding the launch of the Offering. On April 1, 2026, the Company also issued a press release announcing that it had priced the Offering. Copies of the launch press release and pricing press release are filed as Exhibits 99.1 and 99.2, respectively, to this Current Report on Form 8-K and are incorporated by reference herein.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Statements contained in this Current Report on Form 8-K regarding matters that are not historical facts are “forward-looking statements” within the meaning of the Private Securities Litigation Reform Act of 1995. Such statements may involve risks and uncertainties, such as statements related to the anticipated closing of the Offering, the amount of proceeds expected from the Offering and the potential exercise by the Underwriters of the Option. The risks and uncertainties involved include the Company’s ability to satisfy certain conditions to the closing of the Offering on a timely basis or at all, as well as other risks detailed from time to time in the Company’s SEC filings, including in its annual filing on Form 10-K filed with the SEC on February 25, 2026 and the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ind w:left="16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No.</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640" w:hanging="633"/>
        <w:spacing w:after="0" w:line="276" w:lineRule="auto"/>
        <w:tabs>
          <w:tab w:leader="none" w:pos="620" w:val="left"/>
        </w:tabs>
        <w:rPr>
          <w:sz w:val="20"/>
          <w:szCs w:val="20"/>
          <w:color w:val="auto"/>
        </w:rPr>
      </w:pPr>
      <w:r>
        <w:rPr>
          <w:rFonts w:ascii="Times New Roman" w:cs="Times New Roman" w:eastAsia="Times New Roman" w:hAnsi="Times New Roman"/>
          <w:sz w:val="18"/>
          <w:szCs w:val="18"/>
          <w:u w:val="single" w:color="auto"/>
          <w:color w:val="0000EE"/>
        </w:rPr>
        <w:t>1.1</w:t>
      </w:r>
      <w:r>
        <w:rPr>
          <w:sz w:val="20"/>
          <w:szCs w:val="20"/>
          <w:color w:val="auto"/>
        </w:rPr>
        <w:tab/>
      </w:r>
      <w:r>
        <w:rPr>
          <w:rFonts w:ascii="Times New Roman" w:cs="Times New Roman" w:eastAsia="Times New Roman" w:hAnsi="Times New Roman"/>
          <w:sz w:val="18"/>
          <w:szCs w:val="18"/>
          <w:u w:val="single" w:color="auto"/>
          <w:color w:val="0000EE"/>
        </w:rPr>
        <w:t>Underwriting Agreement, dated April 1, 2026, by and among Celldex Therapeutics, Inc. and Leerink Partners LLC and TD Securities (USA) LLC, as representatives of the several underwriters named therein</w:t>
      </w:r>
    </w:p>
    <w:p>
      <w:pPr>
        <w:spacing w:after="0" w:line="16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u w:val="single" w:color="auto"/>
          <w:color w:val="0000EE"/>
        </w:rPr>
        <w:t>5.1</w:t>
      </w:r>
      <w:r>
        <w:rPr>
          <w:sz w:val="20"/>
          <w:szCs w:val="20"/>
          <w:color w:val="auto"/>
        </w:rPr>
        <w:tab/>
      </w:r>
      <w:r>
        <w:rPr>
          <w:rFonts w:ascii="Times New Roman" w:cs="Times New Roman" w:eastAsia="Times New Roman" w:hAnsi="Times New Roman"/>
          <w:sz w:val="18"/>
          <w:szCs w:val="18"/>
          <w:u w:val="single" w:color="auto"/>
          <w:color w:val="0000EE"/>
        </w:rPr>
        <w:t>Opinion of Lowenstein Sandler LLP</w:t>
      </w:r>
    </w:p>
    <w:p>
      <w:pPr>
        <w:spacing w:after="0" w:line="22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u w:val="single" w:color="auto"/>
          <w:color w:val="0000EE"/>
        </w:rPr>
        <w:t>23.1</w:t>
      </w:r>
      <w:r>
        <w:rPr>
          <w:sz w:val="20"/>
          <w:szCs w:val="20"/>
          <w:color w:val="auto"/>
        </w:rPr>
        <w:tab/>
      </w:r>
      <w:r>
        <w:rPr>
          <w:rFonts w:ascii="Times New Roman" w:cs="Times New Roman" w:eastAsia="Times New Roman" w:hAnsi="Times New Roman"/>
          <w:sz w:val="17"/>
          <w:szCs w:val="17"/>
          <w:u w:val="single" w:color="auto"/>
          <w:color w:val="0000EE"/>
        </w:rPr>
        <w:t>Consent of Lowenstein Sandler LLP (contained in Exhibit 5.1)</w:t>
      </w:r>
    </w:p>
    <w:p>
      <w:pPr>
        <w:spacing w:after="0" w:line="22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8"/>
          <w:szCs w:val="18"/>
          <w:u w:val="single" w:color="auto"/>
          <w:color w:val="0000EE"/>
        </w:rPr>
        <w:t>Press Release dated April 1, 2026</w:t>
      </w:r>
    </w:p>
    <w:p>
      <w:pPr>
        <w:spacing w:after="0" w:line="22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u w:val="single" w:color="auto"/>
          <w:color w:val="0000EE"/>
        </w:rPr>
        <w:t>99.2</w:t>
      </w:r>
      <w:r>
        <w:rPr>
          <w:sz w:val="20"/>
          <w:szCs w:val="20"/>
          <w:color w:val="auto"/>
        </w:rPr>
        <w:tab/>
      </w:r>
      <w:r>
        <w:rPr>
          <w:rFonts w:ascii="Times New Roman" w:cs="Times New Roman" w:eastAsia="Times New Roman" w:hAnsi="Times New Roman"/>
          <w:sz w:val="18"/>
          <w:szCs w:val="18"/>
          <w:u w:val="single" w:color="auto"/>
          <w:color w:val="0000EE"/>
        </w:rPr>
        <w:t>Press Release dated April 1, 2026</w:t>
      </w:r>
    </w:p>
    <w:p>
      <w:pPr>
        <w:spacing w:after="0" w:line="22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p>
        </w:tc>
        <w:tc>
          <w:tcPr>
            <w:tcW w:w="7680" w:type="dxa"/>
            <w:vAlign w:val="bottom"/>
            <w:gridSpan w:val="2"/>
          </w:tcPr>
          <w:p>
            <w:pPr>
              <w:ind w:left="2080"/>
              <w:spacing w:after="0"/>
              <w:rPr>
                <w:sz w:val="20"/>
                <w:szCs w:val="20"/>
                <w:color w:val="auto"/>
              </w:rPr>
            </w:pPr>
            <w:r>
              <w:rPr>
                <w:rFonts w:ascii="Times New Roman" w:cs="Times New Roman" w:eastAsia="Times New Roman" w:hAnsi="Times New Roman"/>
                <w:sz w:val="18"/>
                <w:szCs w:val="18"/>
                <w:b w:val="1"/>
                <w:bCs w:val="1"/>
                <w:color w:val="auto"/>
              </w:rPr>
              <w:t>CELLDEX THERAPEUTICS, INC.</w:t>
            </w:r>
          </w:p>
        </w:tc>
      </w:tr>
      <w:tr>
        <w:trPr>
          <w:trHeight w:val="432"/>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Dated: April 2, 2026</w:t>
            </w:r>
          </w:p>
        </w:tc>
        <w:tc>
          <w:tcPr>
            <w:tcW w:w="264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Sam Martin</w:t>
            </w:r>
          </w:p>
        </w:tc>
      </w:tr>
      <w:tr>
        <w:trPr>
          <w:trHeight w:val="191"/>
        </w:trPr>
        <w:tc>
          <w:tcPr>
            <w:tcW w:w="3560" w:type="dxa"/>
            <w:vAlign w:val="bottom"/>
          </w:tcPr>
          <w:p>
            <w:pPr>
              <w:spacing w:after="0"/>
              <w:rPr>
                <w:sz w:val="16"/>
                <w:szCs w:val="16"/>
                <w:color w:val="auto"/>
              </w:rPr>
            </w:pPr>
          </w:p>
        </w:tc>
        <w:tc>
          <w:tcPr>
            <w:tcW w:w="2640" w:type="dxa"/>
            <w:vAlign w:val="bottom"/>
          </w:tcPr>
          <w:p>
            <w:pPr>
              <w:ind w:left="20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Sam Martin</w:t>
            </w:r>
          </w:p>
        </w:tc>
      </w:tr>
      <w:tr>
        <w:trPr>
          <w:trHeight w:val="234"/>
        </w:trPr>
        <w:tc>
          <w:tcPr>
            <w:tcW w:w="3560" w:type="dxa"/>
            <w:vAlign w:val="bottom"/>
          </w:tcPr>
          <w:p>
            <w:pPr>
              <w:spacing w:after="0"/>
              <w:rPr>
                <w:sz w:val="20"/>
                <w:szCs w:val="20"/>
                <w:color w:val="auto"/>
              </w:rPr>
            </w:pPr>
          </w:p>
        </w:tc>
        <w:tc>
          <w:tcPr>
            <w:tcW w:w="264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r>
        <w:trPr>
          <w:trHeight w:val="675"/>
        </w:trPr>
        <w:tc>
          <w:tcPr>
            <w:tcW w:w="35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ind w:left="10240"/>
        <w:spacing w:after="0"/>
        <w:rPr>
          <w:sz w:val="20"/>
          <w:szCs w:val="20"/>
          <w:color w:val="auto"/>
        </w:rPr>
      </w:pPr>
      <w:r>
        <w:rPr>
          <w:rFonts w:ascii="Times New Roman" w:cs="Times New Roman" w:eastAsia="Times New Roman" w:hAnsi="Times New Roman"/>
          <w:sz w:val="21"/>
          <w:szCs w:val="21"/>
          <w:b w:val="1"/>
          <w:bCs w:val="1"/>
          <w:color w:val="auto"/>
        </w:rPr>
        <w:t>Exhibit 1.1</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CELLDEX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10,345,000 Shares of Common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(par value $0.001 per share)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Underwriting Agreement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April 1, 2026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LEERINK PARTNERS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TD SECURITIES (USA) LLC</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Representatives of the several</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Underwriters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LEERINK PARTNERS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53 State Street, 40th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 02109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TD Securities (USA)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Vanderbilt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Celldex Therapeutics,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proposes to issue and sell to the several underwriters named in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Underwriters</w:t>
      </w:r>
      <w:r>
        <w:rPr>
          <w:rFonts w:ascii="Times New Roman" w:cs="Times New Roman" w:eastAsia="Times New Roman" w:hAnsi="Times New Roman"/>
          <w:sz w:val="18"/>
          <w:szCs w:val="18"/>
          <w:color w:val="auto"/>
        </w:rPr>
        <w:t>”) an aggregate of 10,345,000 shares of its common stock, par value $0.001 per share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The 10,345,000 Shares to be sold by the Company are called the “</w:t>
      </w:r>
      <w:r>
        <w:rPr>
          <w:rFonts w:ascii="Times New Roman" w:cs="Times New Roman" w:eastAsia="Times New Roman" w:hAnsi="Times New Roman"/>
          <w:sz w:val="18"/>
          <w:szCs w:val="18"/>
          <w:b w:val="1"/>
          <w:bCs w:val="1"/>
          <w:color w:val="auto"/>
        </w:rPr>
        <w:t>Firm Shares</w:t>
      </w:r>
      <w:r>
        <w:rPr>
          <w:rFonts w:ascii="Times New Roman" w:cs="Times New Roman" w:eastAsia="Times New Roman" w:hAnsi="Times New Roman"/>
          <w:sz w:val="18"/>
          <w:szCs w:val="18"/>
          <w:color w:val="auto"/>
        </w:rPr>
        <w:t>.” In addition, the Company has granted to the Underwriters an option to purchase up to an additional 1,551,750 Shares pursuant to such option collectively called the “</w:t>
      </w:r>
      <w:r>
        <w:rPr>
          <w:rFonts w:ascii="Times New Roman" w:cs="Times New Roman" w:eastAsia="Times New Roman" w:hAnsi="Times New Roman"/>
          <w:sz w:val="18"/>
          <w:szCs w:val="18"/>
          <w:b w:val="1"/>
          <w:bCs w:val="1"/>
          <w:color w:val="auto"/>
        </w:rPr>
        <w:t>Option Shares</w:t>
      </w:r>
      <w:r>
        <w:rPr>
          <w:rFonts w:ascii="Times New Roman" w:cs="Times New Roman" w:eastAsia="Times New Roman" w:hAnsi="Times New Roman"/>
          <w:sz w:val="18"/>
          <w:szCs w:val="18"/>
          <w:color w:val="auto"/>
        </w:rPr>
        <w:t>.” The Firm Shares and, if and to the extent such option is exercised, the Option Shares, are collectively called the “</w:t>
      </w:r>
      <w:r>
        <w:rPr>
          <w:rFonts w:ascii="Times New Roman" w:cs="Times New Roman" w:eastAsia="Times New Roman" w:hAnsi="Times New Roman"/>
          <w:sz w:val="18"/>
          <w:szCs w:val="18"/>
          <w:b w:val="1"/>
          <w:bCs w:val="1"/>
          <w:color w:val="auto"/>
        </w:rPr>
        <w:t>Offered Shares</w:t>
      </w:r>
      <w:r>
        <w:rPr>
          <w:rFonts w:ascii="Times New Roman" w:cs="Times New Roman" w:eastAsia="Times New Roman" w:hAnsi="Times New Roman"/>
          <w:sz w:val="18"/>
          <w:szCs w:val="18"/>
          <w:color w:val="auto"/>
        </w:rPr>
        <w:t>.” Leerink Partners LLC and TD Securities (USA) LLC have agreed to act as representatives of the several Underwriters (in such capacity, the “</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xml:space="preserve">”) in connection with the offering and sale of the Offered Shares. To the extent there are no additional underwriters listed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the term “Representatives” as used herein shall mean Leerink Partners LLC and TD Securities (USA) LLC, as Underwriters.</w:t>
      </w:r>
    </w:p>
    <w:p>
      <w:pPr>
        <w:spacing w:after="0" w:line="18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has prepared and filed with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a shelf registration statement on Form S-3, File No. 333-275300, including a base prospectus (the “</w:t>
      </w:r>
      <w:r>
        <w:rPr>
          <w:rFonts w:ascii="Times New Roman" w:cs="Times New Roman" w:eastAsia="Times New Roman" w:hAnsi="Times New Roman"/>
          <w:sz w:val="18"/>
          <w:szCs w:val="18"/>
          <w:b w:val="1"/>
          <w:bCs w:val="1"/>
          <w:color w:val="auto"/>
        </w:rPr>
        <w:t>Base Prospectus</w:t>
      </w:r>
      <w:r>
        <w:rPr>
          <w:rFonts w:ascii="Times New Roman" w:cs="Times New Roman" w:eastAsia="Times New Roman" w:hAnsi="Times New Roman"/>
          <w:sz w:val="18"/>
          <w:szCs w:val="18"/>
          <w:color w:val="auto"/>
        </w:rPr>
        <w:t>”) to be used in connection with the public offering and sale of the Offered Shares. Such registration statement, as amended, including the financial statements, exhibits and schedules thereto, in the form in which it became effective under the Securities Act of 1933, as amended, and the rules and regulations promulgated thereunder (collectively,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including all documents incorporated or deemed to be incorporated by reference therein and any information deemed to be a part thereof at the time of effectiveness pursuant to Rule 430A or 430B under the Securities Act, is called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Any registration statement filed by the Company pursuant to Rule 462(b) under the Securities Act in connection with the offer and sale of the Offered Shares is called the “</w:t>
      </w:r>
      <w:r>
        <w:rPr>
          <w:rFonts w:ascii="Times New Roman" w:cs="Times New Roman" w:eastAsia="Times New Roman" w:hAnsi="Times New Roman"/>
          <w:sz w:val="18"/>
          <w:szCs w:val="18"/>
          <w:b w:val="1"/>
          <w:bCs w:val="1"/>
          <w:color w:val="auto"/>
        </w:rPr>
        <w:t>Rule 462(b) Registration Statement</w:t>
      </w:r>
      <w:r>
        <w:rPr>
          <w:rFonts w:ascii="Times New Roman" w:cs="Times New Roman" w:eastAsia="Times New Roman" w:hAnsi="Times New Roman"/>
          <w:sz w:val="18"/>
          <w:szCs w:val="18"/>
          <w:color w:val="auto"/>
        </w:rPr>
        <w:t>,” and from and after the date and time of filing of any such Rule 462(b) Registration Statement the term “Registration Statement” shall include the Rule 462(b) Registration Statement. The preliminary prospectus supplement dated April 1, 2026 describing the Offered Shares and the offering thereof (the “</w:t>
      </w:r>
      <w:r>
        <w:rPr>
          <w:rFonts w:ascii="Times New Roman" w:cs="Times New Roman" w:eastAsia="Times New Roman" w:hAnsi="Times New Roman"/>
          <w:sz w:val="18"/>
          <w:szCs w:val="18"/>
          <w:b w:val="1"/>
          <w:bCs w:val="1"/>
          <w:color w:val="auto"/>
        </w:rPr>
        <w:t>Preliminary Prospectus Supplement</w:t>
      </w:r>
      <w:r>
        <w:rPr>
          <w:rFonts w:ascii="Times New Roman" w:cs="Times New Roman" w:eastAsia="Times New Roman" w:hAnsi="Times New Roman"/>
          <w:sz w:val="18"/>
          <w:szCs w:val="18"/>
          <w:color w:val="auto"/>
        </w:rPr>
        <w:t>”), together with the Base Prospectus, is called the “</w:t>
      </w:r>
      <w:r>
        <w:rPr>
          <w:rFonts w:ascii="Times New Roman" w:cs="Times New Roman" w:eastAsia="Times New Roman" w:hAnsi="Times New Roman"/>
          <w:sz w:val="18"/>
          <w:szCs w:val="18"/>
          <w:b w:val="1"/>
          <w:bCs w:val="1"/>
          <w:color w:val="auto"/>
        </w:rPr>
        <w:t>Preliminary Prospectus</w:t>
      </w:r>
      <w:r>
        <w:rPr>
          <w:rFonts w:ascii="Times New Roman" w:cs="Times New Roman" w:eastAsia="Times New Roman" w:hAnsi="Times New Roman"/>
          <w:sz w:val="18"/>
          <w:szCs w:val="18"/>
          <w:color w:val="auto"/>
        </w:rPr>
        <w:t>,” and the Preliminary Prospectus and any other prospectus supplement to the Base Prospectus in preliminary form that describes the Offered Shares and the offering thereof and is used prior to the filing of the Prospectus (as defined below), together with the Base Prospectus, is called a “</w:t>
      </w:r>
      <w:r>
        <w:rPr>
          <w:rFonts w:ascii="Times New Roman" w:cs="Times New Roman" w:eastAsia="Times New Roman" w:hAnsi="Times New Roman"/>
          <w:sz w:val="18"/>
          <w:szCs w:val="18"/>
          <w:b w:val="1"/>
          <w:bCs w:val="1"/>
          <w:color w:val="auto"/>
        </w:rPr>
        <w:t>preliminary prospectus</w:t>
      </w:r>
      <w:r>
        <w:rPr>
          <w:rFonts w:ascii="Times New Roman" w:cs="Times New Roman" w:eastAsia="Times New Roman" w:hAnsi="Times New Roman"/>
          <w:sz w:val="18"/>
          <w:szCs w:val="18"/>
          <w:color w:val="auto"/>
        </w:rPr>
        <w:t>.” As used herein, the term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shall mean the final prospectus supplement to the Base Prospectus that describes the Offered Shares and the offering thereof (the “</w:t>
      </w:r>
      <w:r>
        <w:rPr>
          <w:rFonts w:ascii="Times New Roman" w:cs="Times New Roman" w:eastAsia="Times New Roman" w:hAnsi="Times New Roman"/>
          <w:sz w:val="18"/>
          <w:szCs w:val="18"/>
          <w:b w:val="1"/>
          <w:bCs w:val="1"/>
          <w:color w:val="auto"/>
        </w:rPr>
        <w:t>Final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Prospectus Supplement</w:t>
      </w:r>
      <w:r>
        <w:rPr>
          <w:rFonts w:ascii="Times New Roman" w:cs="Times New Roman" w:eastAsia="Times New Roman" w:hAnsi="Times New Roman"/>
          <w:sz w:val="18"/>
          <w:szCs w:val="18"/>
          <w:color w:val="auto"/>
        </w:rPr>
        <w:t>”), together with the Base Prospectus, in the form first used by the Underwriters to confirm sales of the Offered Shares or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form first made available to the Underwriters by the Company to meet requests of purchasers pursuant to Rule 173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421640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 w:name="page6"/>
    <w:bookmarkEnd w:id="5"/>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used herein, “</w:t>
      </w:r>
      <w:r>
        <w:rPr>
          <w:rFonts w:ascii="Times New Roman" w:cs="Times New Roman" w:eastAsia="Times New Roman" w:hAnsi="Times New Roman"/>
          <w:sz w:val="18"/>
          <w:szCs w:val="18"/>
          <w:b w:val="1"/>
          <w:bCs w:val="1"/>
          <w:color w:val="auto"/>
        </w:rPr>
        <w:t>Applicable Time</w:t>
      </w:r>
      <w:r>
        <w:rPr>
          <w:rFonts w:ascii="Times New Roman" w:cs="Times New Roman" w:eastAsia="Times New Roman" w:hAnsi="Times New Roman"/>
          <w:sz w:val="18"/>
          <w:szCs w:val="18"/>
          <w:color w:val="auto"/>
        </w:rPr>
        <w:t>” is 7:00 p.m. (New York City time) on April 1, 2026. As used herein, “</w:t>
      </w:r>
      <w:r>
        <w:rPr>
          <w:rFonts w:ascii="Times New Roman" w:cs="Times New Roman" w:eastAsia="Times New Roman" w:hAnsi="Times New Roman"/>
          <w:sz w:val="18"/>
          <w:szCs w:val="18"/>
          <w:b w:val="1"/>
          <w:bCs w:val="1"/>
          <w:color w:val="auto"/>
        </w:rPr>
        <w:t>free writing prospectus</w:t>
      </w:r>
      <w:r>
        <w:rPr>
          <w:rFonts w:ascii="Times New Roman" w:cs="Times New Roman" w:eastAsia="Times New Roman" w:hAnsi="Times New Roman"/>
          <w:sz w:val="18"/>
          <w:szCs w:val="18"/>
          <w:color w:val="auto"/>
        </w:rPr>
        <w:t>” has the meaning set forth in Rule 405 under the Securities Act, and “</w:t>
      </w:r>
      <w:r>
        <w:rPr>
          <w:rFonts w:ascii="Times New Roman" w:cs="Times New Roman" w:eastAsia="Times New Roman" w:hAnsi="Times New Roman"/>
          <w:sz w:val="18"/>
          <w:szCs w:val="18"/>
          <w:b w:val="1"/>
          <w:bCs w:val="1"/>
          <w:color w:val="auto"/>
        </w:rPr>
        <w:t>Time of Sale Prospectus</w:t>
      </w:r>
      <w:r>
        <w:rPr>
          <w:rFonts w:ascii="Times New Roman" w:cs="Times New Roman" w:eastAsia="Times New Roman" w:hAnsi="Times New Roman"/>
          <w:sz w:val="18"/>
          <w:szCs w:val="18"/>
          <w:color w:val="auto"/>
        </w:rPr>
        <w:t xml:space="preserve">” means the Preliminary Prospectus, as amended or supplemented immediately prior to the Applicable Time, together with the free writing prospectuses, if any, identified on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xml:space="preserve"> hereto and the pricing information set forth on </w:t>
      </w:r>
      <w:r>
        <w:rPr>
          <w:rFonts w:ascii="Times New Roman" w:cs="Times New Roman" w:eastAsia="Times New Roman" w:hAnsi="Times New Roman"/>
          <w:sz w:val="18"/>
          <w:szCs w:val="18"/>
          <w:u w:val="single" w:color="auto"/>
          <w:color w:val="auto"/>
        </w:rPr>
        <w:t>Schedule C</w:t>
      </w:r>
      <w:r>
        <w:rPr>
          <w:rFonts w:ascii="Times New Roman" w:cs="Times New Roman" w:eastAsia="Times New Roman" w:hAnsi="Times New Roman"/>
          <w:sz w:val="18"/>
          <w:szCs w:val="18"/>
          <w:color w:val="auto"/>
        </w:rPr>
        <w:t xml:space="preserve"> hereto. As used herein, </w:t>
      </w:r>
      <w:r>
        <w:rPr>
          <w:rFonts w:ascii="Times New Roman" w:cs="Times New Roman" w:eastAsia="Times New Roman" w:hAnsi="Times New Roman"/>
          <w:sz w:val="18"/>
          <w:szCs w:val="18"/>
          <w:b w:val="1"/>
          <w:bCs w:val="1"/>
          <w:color w:val="auto"/>
        </w:rPr>
        <w:t>“Road Show”</w:t>
      </w:r>
      <w:r>
        <w:rPr>
          <w:rFonts w:ascii="Times New Roman" w:cs="Times New Roman" w:eastAsia="Times New Roman" w:hAnsi="Times New Roman"/>
          <w:sz w:val="18"/>
          <w:szCs w:val="18"/>
          <w:color w:val="auto"/>
        </w:rPr>
        <w:t xml:space="preserve"> means a “road show” (as defined in Rule 433 under the Securities Act) relating to the offering of the Offered Shares contemplated hereby that is a “written communication” (as defined in Rule 405 under the Securities Act). As used herein, “</w:t>
      </w:r>
      <w:r>
        <w:rPr>
          <w:rFonts w:ascii="Times New Roman" w:cs="Times New Roman" w:eastAsia="Times New Roman" w:hAnsi="Times New Roman"/>
          <w:sz w:val="18"/>
          <w:szCs w:val="18"/>
          <w:b w:val="1"/>
          <w:bCs w:val="1"/>
          <w:color w:val="auto"/>
        </w:rPr>
        <w:t>Marketing Materials</w:t>
      </w:r>
      <w:r>
        <w:rPr>
          <w:rFonts w:ascii="Times New Roman" w:cs="Times New Roman" w:eastAsia="Times New Roman" w:hAnsi="Times New Roman"/>
          <w:sz w:val="18"/>
          <w:szCs w:val="18"/>
          <w:color w:val="auto"/>
        </w:rPr>
        <w:t>” means any materials or information provided to investors by, or with the approval of, the Company in connection with the marketing of the offering of the Offered Shares, including any Road Show or investor presentations made to investors by the Company (whether in person or electronically).</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All references in this underwriting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to the Registration Statement, the Preliminary Prospectus, any preliminary prospectus, the Base Prospectus and the Prospectus shall include the documents incorporated or deemed to be incorporated by reference therein. All references in this Agreement to financial statements and schedules and other information which are “contained,” “included” or “stated” in, or “part of” the Registration Statement, the Rule 462(b) Registration Statement, the Preliminary Prospectus, any preliminary prospectus, the Base Prospectus, the Time of Sale Prospectus or the Prospectus, and all other references of like import, shall be deemed to mean and include all such financial statements and schedules and other information which is or is deemed to be incorporated by reference in the Registration Statement, the Rule 462(b) Registration Statement, the Preliminary Prospectus, any preliminary prospectus, the Base Prospectus, the Time of Sale Prospectus or the Prospectus, as the case may be.</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All references in this Agreement to amendments or supplements to the Registration Statement, the Preliminary Prospectus, any preliminary prospectus, the Base Prospectus, the Time of Sale Prospectus or the Prospectus shall be deemed to mean and include the filing of any document under the Securities Exchange Act of 1934, as amended, and the rules and regulations promulgated thereunder (collectively,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that is or is deemed to be incorporated by reference in the Registration Statement, the Preliminary Prospectus, any preliminary prospectus, the Base Prospectus, or the Prospectus, as the case may be.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All references in this Agreement to (i) the Registration Statement, the Preliminary Prospectus, any preliminary prospectus, the Base Prospectus or the Prospectus, any amendments or supplements to any of the foregoing, or any free writing prospectus, shall include any copy thereof filed with the Commission pursuant to its Electronic Data Gathering, Analysis and Retrieval System (“</w:t>
      </w:r>
      <w:r>
        <w:rPr>
          <w:rFonts w:ascii="Times New Roman" w:cs="Times New Roman" w:eastAsia="Times New Roman" w:hAnsi="Times New Roman"/>
          <w:sz w:val="18"/>
          <w:szCs w:val="18"/>
          <w:b w:val="1"/>
          <w:bCs w:val="1"/>
          <w:color w:val="auto"/>
        </w:rPr>
        <w:t>EDGAR</w:t>
      </w:r>
      <w:r>
        <w:rPr>
          <w:rFonts w:ascii="Times New Roman" w:cs="Times New Roman" w:eastAsia="Times New Roman" w:hAnsi="Times New Roman"/>
          <w:sz w:val="18"/>
          <w:szCs w:val="18"/>
          <w:color w:val="auto"/>
        </w:rPr>
        <w:t>”) and (ii) the Prospectus shall be deemed to include any “electronic Prospectus” provided for use in connection with the offering of the Offered Shares as contemplated by Section 3(n) of this Agreement.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In the event that the Company has only one subsidiary, then all references herein to “subsidiaries” of the Company shall be deemed to refer to such single subsidiary, </w:t>
      </w:r>
      <w:r>
        <w:rPr>
          <w:rFonts w:ascii="Times New Roman" w:cs="Times New Roman" w:eastAsia="Times New Roman" w:hAnsi="Times New Roman"/>
          <w:sz w:val="18"/>
          <w:szCs w:val="18"/>
          <w:u w:val="single" w:color="auto"/>
          <w:color w:val="auto"/>
        </w:rPr>
        <w:t>mutatis mutandis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hereby confirm its agreements with the Underwriters as follows: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u w:val="single" w:color="auto"/>
          <w:color w:val="auto"/>
        </w:rPr>
        <w:t>  Representations and Warranties of the Company</w:t>
      </w:r>
      <w:r>
        <w:rPr>
          <w:rFonts w:ascii="Times New Roman" w:cs="Times New Roman" w:eastAsia="Times New Roman" w:hAnsi="Times New Roman"/>
          <w:sz w:val="18"/>
          <w:szCs w:val="18"/>
          <w:color w:val="auto"/>
        </w:rPr>
        <w:t>. The Company hereby represents, warrants and covenants to each Underwriter, as of the date of this Agreement, as of the Applicable Time, as of the First Closing Date (as hereinafter defined) and as of each Option Closing Date (as hereinafter defined), if any, as follows:</w:t>
      </w:r>
    </w:p>
    <w:p>
      <w:pPr>
        <w:spacing w:after="0" w:line="17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8"/>
          <w:szCs w:val="18"/>
          <w:b w:val="1"/>
          <w:bCs w:val="1"/>
          <w:color w:val="auto"/>
        </w:rPr>
        <w:t>             </w:t>
      </w:r>
      <w:r>
        <w:rPr>
          <w:rFonts w:ascii="Times New Roman" w:cs="Times New Roman" w:eastAsia="Times New Roman" w:hAnsi="Times New Roman"/>
          <w:sz w:val="18"/>
          <w:szCs w:val="18"/>
          <w:b w:val="1"/>
          <w:bCs w:val="1"/>
          <w:u w:val="single" w:color="auto"/>
          <w:color w:val="auto"/>
        </w:rPr>
        <w:t>  </w:t>
      </w:r>
      <w:r>
        <w:rPr>
          <w:rFonts w:ascii="Times New Roman" w:cs="Times New Roman" w:eastAsia="Times New Roman" w:hAnsi="Times New Roman"/>
          <w:sz w:val="18"/>
          <w:szCs w:val="18"/>
          <w:u w:val="single" w:color="auto"/>
          <w:color w:val="auto"/>
        </w:rPr>
        <w:t>Compliance with Registration Requirements</w:t>
      </w:r>
      <w:r>
        <w:rPr>
          <w:rFonts w:ascii="Times New Roman" w:cs="Times New Roman" w:eastAsia="Times New Roman" w:hAnsi="Times New Roman"/>
          <w:sz w:val="18"/>
          <w:szCs w:val="18"/>
          <w:color w:val="auto"/>
        </w:rPr>
        <w:t>. The Registration Statement has become effective under the Securities Act. The Company has complied, to the Commission’s satisfaction, with all requests of the Commission for additional or supplemental information, if any. No stop order suspending the effectiveness of the Registration Statement is in effect and no proceedings for such purpose have been instituted or are pending or, to the best knowledge of the Company, are contemplated or threatened by the Commission. At the time the Company’s Annual Report on Form 10-K for the year ended December 31, 2025 (the “</w:t>
      </w:r>
      <w:r>
        <w:rPr>
          <w:rFonts w:ascii="Times New Roman" w:cs="Times New Roman" w:eastAsia="Times New Roman" w:hAnsi="Times New Roman"/>
          <w:sz w:val="18"/>
          <w:szCs w:val="18"/>
          <w:b w:val="1"/>
          <w:bCs w:val="1"/>
          <w:color w:val="auto"/>
        </w:rPr>
        <w:t>Annual Report</w:t>
      </w:r>
      <w:r>
        <w:rPr>
          <w:rFonts w:ascii="Times New Roman" w:cs="Times New Roman" w:eastAsia="Times New Roman" w:hAnsi="Times New Roman"/>
          <w:sz w:val="18"/>
          <w:szCs w:val="18"/>
          <w:color w:val="auto"/>
        </w:rPr>
        <w:t>”) was filed with the Commission, or, if later, at the time the Registration Statement was originally filed with the Commission, as well as at the time the Company or any person acting on its behalf (within the meaning, for this clause only, of Rule 163(c) under the Securities Act) made any offer relating to the Offered Shares in reliance on the exemption of Rule 163 under the Securities Act, the Company was a “well known seasoned issuer” as defined in Rule 405 under the Securities Act. The Registration Statement is an “automatic shelf registration statement,” as defined in Rule 405 under the Securities Act, and became effective on November 3, 2023. The Company has not received from the Commission any notice pursuant to Rule 401(g)(2) under the Securities Act objecting to the Company’s use of the automatic shelf registration form. The Company meets the requirements for use of Form S-3 under the Securities Act specified in the Financial Industry Regulatory Authority Inc. (“</w:t>
      </w:r>
      <w:r>
        <w:rPr>
          <w:rFonts w:ascii="Times New Roman" w:cs="Times New Roman" w:eastAsia="Times New Roman" w:hAnsi="Times New Roman"/>
          <w:sz w:val="18"/>
          <w:szCs w:val="18"/>
          <w:b w:val="1"/>
          <w:bCs w:val="1"/>
          <w:color w:val="auto"/>
        </w:rPr>
        <w:t>FINRA</w:t>
      </w:r>
      <w:r>
        <w:rPr>
          <w:rFonts w:ascii="Times New Roman" w:cs="Times New Roman" w:eastAsia="Times New Roman" w:hAnsi="Times New Roman"/>
          <w:sz w:val="18"/>
          <w:szCs w:val="18"/>
          <w:color w:val="auto"/>
        </w:rPr>
        <w:t>”) Conduct Rule 5510(h)(1)(C). The documents incorporated or deemed to be incorporated by reference in the Registration Statement, the Time of Sale Prospectus and the Prospectus, at the time they were or hereafter are filed with the Commission, or became effective under the Exchange Act, as the case may be, complied and will comply in all material respects with the requirements of the Exchange Act.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Disclosure</w:t>
      </w:r>
      <w:r>
        <w:rPr>
          <w:rFonts w:ascii="Times New Roman" w:cs="Times New Roman" w:eastAsia="Times New Roman" w:hAnsi="Times New Roman"/>
          <w:sz w:val="18"/>
          <w:szCs w:val="18"/>
          <w:color w:val="auto"/>
        </w:rPr>
        <w:t>. Each preliminary prospectus and the Prospectus when filed complied in all material respects with the Securities Act and, if filed by electronic transmission pursuant to EDGAR, was identical (except as may be permitted by Regulation S-T under the Securities Act) to the copy thereof delivered to the Underwriters for use in connection with the offer and sale of the Offered Shares. Each of the Registration Statement and any post-effective amendment thereto, at the time it became or becomes effective and at all subsequent times, complied and will comply in all material respects with the Securities Act and did not and will not contain any untrue statement of a material fact or omit to state a material fact required to be stated therein or necessary to make the statements therein not misleading. As of the Applicable Time, the Time of Sale Prospectus did not, and at the time of each sale of the Offered Shares and at the First Closing Date (as defined in Section 2), the Time of Sale Prospectus, as then amended or supplemented by the Company, if applicable, will not, contain any untrue statement of a material fact or omit to state a material fact necessary to make the statements therein, in the light of the circumstances under which they were made, not misleading. The Prospectus, as of its date and (as then amended or supplemented) at all subsequent times, did not and will not contain any untrue statement of a material fact or omit to state a material fact necessary in order to make the statements therein, in the light of the circumstances under which they were made, not misleading. The representations and warranties set forth in the three immediately preceding sentences do not apply to statements in or omissions from the Registration Statement or any post-effective amendment thereto, or the Prospectus or the Time of Sale Prospectus, or any amendments or supplements thereto, made in reliance upon and in conformity with written information relating to any Underwriter furnished to the Company in writing by the Representatives expressly for use therein, it being understood and agreed that the only such information consists of the information described in Section 9(b). There are no contracts or other documents required to be described in the Time of Sale Prospectus or the Prospectus or to be filed as an exhibit to the Registration Statement which have not been described or filed as required.</w:t>
      </w:r>
    </w:p>
    <w:p>
      <w:pPr>
        <w:spacing w:after="0" w:line="19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Free Writing Prospectuses; Road Show</w:t>
      </w:r>
      <w:r>
        <w:rPr>
          <w:rFonts w:ascii="Times New Roman" w:cs="Times New Roman" w:eastAsia="Times New Roman" w:hAnsi="Times New Roman"/>
          <w:sz w:val="18"/>
          <w:szCs w:val="18"/>
          <w:color w:val="auto"/>
        </w:rPr>
        <w:t xml:space="preserve">. As of the determination date referenced in Rule 164(h) under the Securities Act, the Company was not, is not or will not be (as applicable) an “ineligible issuer” in connection with the offering of the Offered Shares pursuant to Rules 164, 405 and 433 under the Securities Act. Each free writing prospectus that the Company is required to file pursuant to Rule 433(d) under the Securities Act has been, or will be, filed with the Commission in accordance with the requirements of the Securities Act. Each free writing prospectus that the Company has filed, or is required to file, pursuant to Rule 433(d) under the Securities Act or that was prepared by or on behalf of or used or referred to by the Company complies or will comply in all material respects with the requirements of Rule 433 under the Securities Act, including timely filing with the Commission or retention and legending, as applicable, and each such free writing prospectus, as of its issue date and at all subsequent times through the completion of the public offer and sale of the Offered Shares did not, does not and will not include any information that conflicted, conflicts or will conflict with the information contained in the Registration Statement, the Prospectus or any preliminary prospectus unless such information has been superseded or modified as of such time. Except for the free writing prospectuses, if any, identified in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and electronic road shows, if any, furnished to you before first use, the Company has not prepared, used or referred to, and will not, without your prior written consent, prepare, use or refer to, any free writing prospectus. Each Road Show, when considered together with the Time of Sale Prospectus, did not, as of the Applicable Time, contain any untrue statement of a material fact or omit to state a material fact necessary to make the statements therein, in the light of the circumstances under which they were made, not misleading.</w:t>
      </w:r>
    </w:p>
    <w:p>
      <w:pPr>
        <w:spacing w:after="0" w:line="197"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Market Capitalization</w:t>
      </w:r>
      <w:r>
        <w:rPr>
          <w:rFonts w:ascii="Times New Roman" w:cs="Times New Roman" w:eastAsia="Times New Roman" w:hAnsi="Times New Roman"/>
          <w:sz w:val="18"/>
          <w:szCs w:val="18"/>
          <w:color w:val="auto"/>
        </w:rPr>
        <w:t>. At the time the Registration Statement originally became effective, the Company met the then applicable requirements for the use of Form S-3 under the Securities Act, including General Instruction I.B.1 of Form S-3. The Company satisfies the pre-1992 eligibility requirements for the use of a registration statement on Form S-3 in connection with this offering (the pre-1992 eligibility requirements for the use of the registration statement on Form S-3 include (i) having a non-affiliate, public common equity float of at least $150 million or a non-affiliate, public common equity float of at least $100 million and annual trading volume of at least three million shares and (ii) having been subject to the Exchange Act reporting requirements for a period of 36 months). The Company is not a shell company (as defined in Rule 405 under the Securities Act) and has not been a shell company for at least 12 calendar months previously and if it has been a shell company at any time previously, has filed current Form 10 information (as defined in Instruction I.B.6 of Form S-3) with the Commission at least 12 calendar months previously reflecting its status as an entity that is not a shell company.</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Distribution of Offering Material By the Company</w:t>
      </w:r>
      <w:r>
        <w:rPr>
          <w:rFonts w:ascii="Times New Roman" w:cs="Times New Roman" w:eastAsia="Times New Roman" w:hAnsi="Times New Roman"/>
          <w:sz w:val="18"/>
          <w:szCs w:val="18"/>
          <w:color w:val="auto"/>
        </w:rPr>
        <w:t xml:space="preserve">. Prior to the later of (i) the expiration or termination of the option granted to the several Underwriters in ‎Section 2, and (ii) the completion of the Underwriters’ distribution of the Offered Shares, the Company has not distributed and will not distribute any offering material in connection with the offering and sale of the Offered Shares other than the Registration Statement, the Time of Sale Prospectus, the Prospectus or any free writing prospectus reviewed and consented to by the Representatives, and the free writing prospectuses, if any, identified on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xml:space="preserve"> hereto.</w:t>
      </w:r>
    </w:p>
    <w:p>
      <w:pPr>
        <w:spacing w:after="0" w:line="183"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Financial Information</w:t>
      </w:r>
      <w:r>
        <w:rPr>
          <w:rFonts w:ascii="Times New Roman" w:cs="Times New Roman" w:eastAsia="Times New Roman" w:hAnsi="Times New Roman"/>
          <w:sz w:val="18"/>
          <w:szCs w:val="18"/>
          <w:color w:val="auto"/>
        </w:rPr>
        <w:t>. The consolidated financial statements of the Company included or incorporated by reference in the Registration Statement, the Time of Sale Prospectus and the Prospectus, if any, together with the related notes and schedules, present fairly, in all material respects, the consolidated financial position of the Company and the Subsidiaries (as defined below) as of the dates indicated and the consolidated results of operations, cash flows and changes in stockholders’ equity of the Company for the periods specified and have been prepared in compliance with the requirements of the Securities Act and Exchange Act and in conformity with GAAP (as defined below) applied on a consistent basis during the periods involved; there are no financial statements (historical or pro forma) that are required to be included or incorporated by reference in the Registration Statement, the Time of Sale Prospectus and the Prospectus that are not included or incorporated by reference as required; the Company and the Subsidiaries (as defined below) do not have any material liabilities or obligations, direct or contingent (including any off-balance sheet obligations), not described in the Registration Statement (excluding the exhibits thereto), the Time of Sale Prospectus and the Prospectus; and all disclosures contained or incorporated by reference in the Registration Statement, the Time of Sale Prospectus and the Prospectus and the Issuer Free Writing Prospectuses, if any, regarding “non-GAAP financial measures” (as such term is defined by the rules and regulations of the Commission) comply with Regulation G of the Exchange Act and Item 10 of Regulation S-K under the Securities Act, to the extent applicable. The financial data set forth in each of the Registration Statement, the Time of Sale Prospectus and the Prospectus under the captions “Prospectus Supplement Summary—Summary Selected Financial Data,” “Selected Financial Data” and “Capitalization” fairly present the information set forth therein on a basis consistent with that of the audited financial statements contained in the Registration Statement, the Time of Sale Prospectus and the Prospectus. The interactive data in eXtensible Business Reporting Language included or incorporated by reference in the Registration Statement and the Prospectus fairly presents the information called for in all material respects and has been prepared in accordance with the Commission’s rules and guidelines applicable thereto.</w:t>
      </w:r>
    </w:p>
    <w:p>
      <w:pPr>
        <w:spacing w:after="0" w:line="19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Conformity with EDGAR Filing</w:t>
      </w:r>
      <w:r>
        <w:rPr>
          <w:rFonts w:ascii="Times New Roman" w:cs="Times New Roman" w:eastAsia="Times New Roman" w:hAnsi="Times New Roman"/>
          <w:sz w:val="18"/>
          <w:szCs w:val="18"/>
          <w:color w:val="auto"/>
        </w:rPr>
        <w:t>. The Preliminary Prospectus and Final Prospectus delivered to the Underwriter for use in connection with the sale of the Offered Shares pursuant to this Agreement will be identical to the versions of the Preliminary Prospectus and Final Prospectus created to be transmitted to the Commission for filing via EDGAR, except to the extent permitted by Regulation S-T.</w:t>
      </w:r>
    </w:p>
    <w:p>
      <w:pPr>
        <w:spacing w:after="0" w:line="17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  Organization</w:t>
      </w:r>
      <w:r>
        <w:rPr>
          <w:rFonts w:ascii="Times New Roman" w:cs="Times New Roman" w:eastAsia="Times New Roman" w:hAnsi="Times New Roman"/>
          <w:sz w:val="18"/>
          <w:szCs w:val="18"/>
          <w:color w:val="auto"/>
        </w:rPr>
        <w:t>. The Company and each of its subsidiaries (as defined in Rule 405 under the Securities Act) (“</w:t>
      </w:r>
      <w:r>
        <w:rPr>
          <w:rFonts w:ascii="Times New Roman" w:cs="Times New Roman" w:eastAsia="Times New Roman" w:hAnsi="Times New Roman"/>
          <w:sz w:val="18"/>
          <w:szCs w:val="18"/>
          <w:b w:val="1"/>
          <w:bCs w:val="1"/>
          <w:color w:val="auto"/>
        </w:rPr>
        <w:t>Subsidiaries</w:t>
      </w:r>
      <w:r>
        <w:rPr>
          <w:rFonts w:ascii="Times New Roman" w:cs="Times New Roman" w:eastAsia="Times New Roman" w:hAnsi="Times New Roman"/>
          <w:sz w:val="18"/>
          <w:szCs w:val="18"/>
          <w:color w:val="auto"/>
        </w:rPr>
        <w:t>”) are duly organized, validly existing as a corporation and in good standing under the Laws of their respective jurisdictions of organization. The Company and each of its Subsidiaries are duly licensed or qualified as a foreign corporation for transaction of business and in good standing under the Laws of each other jurisdiction in which their respective ownership or lease of property or the conduct of their respective businesses requires such license or qualification, and have all corporate power and authority necessary to own or hold their respective properties and to conduct their respective businesses as described in the Registration Statement, the Time of Sale Prospectus and the Prospectus, except where the failure to be so qualified or in good standing or have such power or authority would not, individually or in the aggregate, have a material adverse effect or would reasonably be expected to have a material adverse effect on or affecting the assets, business, operations, earnings, properties, condition (financial or otherwise), prospects, stockholders’ equity or results of operations of the Company and the Subsidiaries taken as a whole, or prevent or materially interfere with the consummation of the transactions contemplated hereby (a “</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Subsidiaries</w:t>
      </w:r>
      <w:r>
        <w:rPr>
          <w:rFonts w:ascii="Times New Roman" w:cs="Times New Roman" w:eastAsia="Times New Roman" w:hAnsi="Times New Roman"/>
          <w:sz w:val="18"/>
          <w:szCs w:val="18"/>
          <w:color w:val="auto"/>
        </w:rPr>
        <w:t>. Except as set forth in the Registration Statement, the Time of Sale Prospectus and the Prospectus, the Company owns, directly or indirectly, all of the equity interests of the Subsidiaries free and clear of any lien, charge, security interest, encumbrance, right of first refusal or other restriction, and all the equity interests of the Subsidiaries are validly issued and are fully paid, nonassessable and free of preemptive and similar rights. No Subsidiary is currently prohibited, directly or indirectly, from paying any dividends to the Company, from making any other distribution on such Subsidiary’s capital stock, from repaying to the Company any loans or advances to such Subsidiary from the Company or from transferring any of such Subsidiary’s property or assets to the Company or any other Subsidiary of the Company.</w:t>
      </w:r>
    </w:p>
    <w:p>
      <w:pPr>
        <w:spacing w:after="0" w:line="187"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u w:val="single" w:color="auto"/>
          <w:color w:val="auto"/>
        </w:rPr>
        <w:t>  No Violation or Default</w:t>
      </w:r>
      <w:r>
        <w:rPr>
          <w:rFonts w:ascii="Times New Roman" w:cs="Times New Roman" w:eastAsia="Times New Roman" w:hAnsi="Times New Roman"/>
          <w:sz w:val="18"/>
          <w:szCs w:val="18"/>
          <w:color w:val="auto"/>
        </w:rPr>
        <w:t>. Neither the Company nor any of its Subsidiaries is (i) in violation of its charter or by-laws or similar organizational 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are subject; or (iii) in violation of any Law of any Governmental Authority, except, in the case of each of clauses (ii) and (iii) above, for any such violation or default that would not, individually or in the aggregate, have a Material Adverse Effect. To the Company’s knowledge, no other party under any material contract or other agreement to which it or any of its Subsidiaries is a party is in default in any respect thereunder where such default would have a Material Adverse Effect.</w:t>
      </w:r>
    </w:p>
    <w:p>
      <w:pPr>
        <w:spacing w:after="0" w:line="19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u w:val="single" w:color="auto"/>
          <w:color w:val="auto"/>
        </w:rPr>
        <w:t>  No Material Adverse Effect</w:t>
      </w:r>
      <w:r>
        <w:rPr>
          <w:rFonts w:ascii="Times New Roman" w:cs="Times New Roman" w:eastAsia="Times New Roman" w:hAnsi="Times New Roman"/>
          <w:sz w:val="18"/>
          <w:szCs w:val="18"/>
          <w:color w:val="auto"/>
        </w:rPr>
        <w:t>. Subsequent to the respective dates as of which information is given in the Registration Statement, the Time of Sale Prospectus, the Prospectus and the Free Writing Prospectuses, if any (including any document deemed incorporated by reference therein), there has not been (i) any Material Adverse Effect or the occurrence of any development that the Company reasonably expects will result in a Material Adverse Effect, (ii) any transaction which is material to the Company and the Subsidiaries taken as a whole, (iii) any obligation or liability, direct or contingent (including any off-balance sheet obligations), incurred by the Company or any Subsidiary, which is material to the Company and the Subsidiaries taken as a whole, (iv) any material change in the capital stock or outstanding long-term indebtedness of the Company or any of its Subsidiaries or (v) any dividend or distribution of any kind declared, paid or made on the capital stock of the Company or any Subsidiary, other than in each case above in the ordinary course of business or as otherwise disclosed in the Registration Statement or Prospectus (including any document deemed incorporated by reference therein).</w:t>
      </w:r>
    </w:p>
    <w:p>
      <w:pPr>
        <w:spacing w:after="0" w:line="18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u w:val="single" w:color="auto"/>
          <w:color w:val="auto"/>
        </w:rPr>
        <w:t>  Capitalization</w:t>
      </w:r>
      <w:r>
        <w:rPr>
          <w:rFonts w:ascii="Times New Roman" w:cs="Times New Roman" w:eastAsia="Times New Roman" w:hAnsi="Times New Roman"/>
          <w:sz w:val="18"/>
          <w:szCs w:val="18"/>
          <w:color w:val="auto"/>
        </w:rPr>
        <w:t>. The issued and outstanding shares of capital stock of the Company have been validly issued, are fully paid and nonassessable and, other than as disclosed in the Registration Statement, the Time of Sale Prospectus or the Prospectus, are not subject to any preemptive rights, rights of first refusal or similar rights. The Company has an authorized, issued and outstanding capitalization as set forth in the Registration Statement and the Prospectus as of the dates referred to therein (other than the grant of additional options under the Company’s existing stock option plans, or changes in the number of outstanding shares of common stock of the Company due to the issuance of shares upon the exercise or conversion of securities exercisable for, or convertible into, shares of common stock outstanding on the date hereof) and such authorized capital stock conforms to the description thereof set forth in the Registration Statement, the Time of Sale Prospectus and the Prospectus. The description of the securities of the Company in the Registration Statement, the Time of Sale Prospectus and the Prospectus is complete and accurate in all material respects. Except as disclosed in or contemplated by the Registration Statement, the Time of Sale Prospectus or the Prospectus, as of the date referred to therein, the Company does not have outstanding any options to purchase, or any rights or warrants to subscribe for, or any securities or obligations convertible into, or exchangeable for, or any contracts or commitments to issue or sell, any shares of capital stock or other securities.</w:t>
      </w:r>
    </w:p>
    <w:p>
      <w:pPr>
        <w:spacing w:after="0" w:line="19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(m)           </w:t>
      </w:r>
      <w:r>
        <w:rPr>
          <w:rFonts w:ascii="Times New Roman" w:cs="Times New Roman" w:eastAsia="Times New Roman" w:hAnsi="Times New Roman"/>
          <w:sz w:val="18"/>
          <w:szCs w:val="18"/>
          <w:u w:val="single" w:color="auto"/>
          <w:color w:val="auto"/>
        </w:rPr>
        <w:t>  Authorization; Enforceability</w:t>
      </w:r>
      <w:r>
        <w:rPr>
          <w:rFonts w:ascii="Times New Roman" w:cs="Times New Roman" w:eastAsia="Times New Roman" w:hAnsi="Times New Roman"/>
          <w:sz w:val="18"/>
          <w:szCs w:val="18"/>
          <w:color w:val="auto"/>
        </w:rPr>
        <w:t>. The Company has full legal right, power and authority to enter into this Agreement and perform the transactions contemplated hereby. This Agreement has been duly authorized, executed and delivered by the Company and is a legal, valid and binding agreement of the Company enforceable in accordance with its terms, except to the extent that enforceability may be limited by bankruptcy, insolvency, reorganization, moratorium or similar Laws affecting creditors’ rights generally and by general equitable principles.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(n)           </w:t>
      </w:r>
      <w:r>
        <w:rPr>
          <w:rFonts w:ascii="Times New Roman" w:cs="Times New Roman" w:eastAsia="Times New Roman" w:hAnsi="Times New Roman"/>
          <w:sz w:val="18"/>
          <w:szCs w:val="18"/>
          <w:u w:val="single" w:color="auto"/>
          <w:color w:val="auto"/>
        </w:rPr>
        <w:t>  Authorization of the Offered Shares</w:t>
      </w:r>
      <w:r>
        <w:rPr>
          <w:rFonts w:ascii="Times New Roman" w:cs="Times New Roman" w:eastAsia="Times New Roman" w:hAnsi="Times New Roman"/>
          <w:sz w:val="18"/>
          <w:szCs w:val="18"/>
          <w:color w:val="auto"/>
        </w:rPr>
        <w:t>. The Offered Shares have been duly authorized for issuance and sale pursuant to this Agreement and, when issued and delivered by the Company against payment therefor pursuant to this Agreement, will be duly and validly issued, fully paid and nonassessable, free and clear of any pledge, lien, encumbrance, security interest or other claim, including any statutory or contractual preemptive rights, resale rights, rights of first refusal or other similar rights, and will be registered pursuant to Section 12 of the Exchange Act. The Offered Shares, when issued, will conform to the description thereof set forth in or incorporated into the Registration Statement, the Time of Sale Prospectus and the Prospectus.</w:t>
      </w:r>
    </w:p>
    <w:p>
      <w:pPr>
        <w:spacing w:after="0" w:line="18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(o)            </w:t>
      </w:r>
      <w:r>
        <w:rPr>
          <w:rFonts w:ascii="Times New Roman" w:cs="Times New Roman" w:eastAsia="Times New Roman" w:hAnsi="Times New Roman"/>
          <w:sz w:val="18"/>
          <w:szCs w:val="18"/>
          <w:u w:val="single" w:color="auto"/>
          <w:color w:val="auto"/>
        </w:rPr>
        <w:t>  No Consents Required</w:t>
      </w:r>
      <w:r>
        <w:rPr>
          <w:rFonts w:ascii="Times New Roman" w:cs="Times New Roman" w:eastAsia="Times New Roman" w:hAnsi="Times New Roman"/>
          <w:sz w:val="18"/>
          <w:szCs w:val="18"/>
          <w:color w:val="auto"/>
        </w:rPr>
        <w:t>. No consent, approval, authorization, order, registration or qualification of or with any Governmental Authority is required for the execution, delivery and performance by the Company of this Agreement, the issuance and sale by the Company of the Offered Shares, except for such consents, approvals, authorizations, orders and registrations or qualifications as may be required under applicable state securities Laws or Laws of FINRA or Nasdaq in connection with the sale of the Offered Shares.</w:t>
      </w:r>
    </w:p>
    <w:p>
      <w:pPr>
        <w:spacing w:after="0" w:line="180"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(p)            </w:t>
      </w:r>
      <w:r>
        <w:rPr>
          <w:rFonts w:ascii="Times New Roman" w:cs="Times New Roman" w:eastAsia="Times New Roman" w:hAnsi="Times New Roman"/>
          <w:sz w:val="18"/>
          <w:szCs w:val="18"/>
          <w:u w:val="single" w:color="auto"/>
          <w:color w:val="auto"/>
        </w:rPr>
        <w:t>  No Preferential Rights</w:t>
      </w:r>
      <w:r>
        <w:rPr>
          <w:rFonts w:ascii="Times New Roman" w:cs="Times New Roman" w:eastAsia="Times New Roman" w:hAnsi="Times New Roman"/>
          <w:sz w:val="18"/>
          <w:szCs w:val="18"/>
          <w:color w:val="auto"/>
        </w:rPr>
        <w:t>. Except as set forth in the Registration Statement, the Time of Sale Prospectus and the Prospectus, (i) no person, as such term is defined in Rule 1-02 of Regulation S-X promulgated under the Securities Act (each, a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has the right, contractual or otherwise, to cause the Company to issue or sell to such Person any shares of common stock or any other capital stock or other securities of the Company, (ii) no Person has any preemptive rights, resale rights, rights of first refusal, rights of co-sale, or any other rights (whether pursuant to a “poison pill” provision or otherwise) to purchase any shares of common stock or of any other capital stock or other securities of the Company, (iii)  no Person has the right to act as an underwriter or as a financial advisor to the Company in connection with the offer and sale of the Shares, and (iv) no Person has the right, contractual or otherwise, to require the Company to register under the Securities Act any shares of common stock or any other capital stock or other securities of the Company, or to include any such shares or other securities in the Registration Statement or the offering contemplated thereby, whether as a result of the filing or effectiveness of the Registration Statement or the sale of the Offered Shares as contemplated thereby or otherwise.</w:t>
      </w:r>
    </w:p>
    <w:p>
      <w:pPr>
        <w:spacing w:after="0" w:line="184"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(q)            </w:t>
      </w:r>
      <w:r>
        <w:rPr>
          <w:rFonts w:ascii="Times New Roman" w:cs="Times New Roman" w:eastAsia="Times New Roman" w:hAnsi="Times New Roman"/>
          <w:sz w:val="18"/>
          <w:szCs w:val="18"/>
          <w:u w:val="single" w:color="auto"/>
          <w:color w:val="auto"/>
        </w:rPr>
        <w:t>  Independent Public Accounting Firm</w:t>
      </w:r>
      <w:r>
        <w:rPr>
          <w:rFonts w:ascii="Times New Roman" w:cs="Times New Roman" w:eastAsia="Times New Roman" w:hAnsi="Times New Roman"/>
          <w:sz w:val="18"/>
          <w:szCs w:val="18"/>
          <w:color w:val="auto"/>
        </w:rPr>
        <w:t>. PricewaterhouseCoopers LLP (the “</w:t>
      </w:r>
      <w:r>
        <w:rPr>
          <w:rFonts w:ascii="Times New Roman" w:cs="Times New Roman" w:eastAsia="Times New Roman" w:hAnsi="Times New Roman"/>
          <w:sz w:val="18"/>
          <w:szCs w:val="18"/>
          <w:b w:val="1"/>
          <w:bCs w:val="1"/>
          <w:color w:val="auto"/>
        </w:rPr>
        <w:t>Accountant</w:t>
      </w:r>
      <w:r>
        <w:rPr>
          <w:rFonts w:ascii="Times New Roman" w:cs="Times New Roman" w:eastAsia="Times New Roman" w:hAnsi="Times New Roman"/>
          <w:sz w:val="18"/>
          <w:szCs w:val="18"/>
          <w:color w:val="auto"/>
        </w:rPr>
        <w:t>”), whose report on the consolidated financial statements of the Company is filed with the Commission as part of the Company’s most recent Annual Report on Form 10-K filed with the Commission and incorporated by reference into the Registration Statement and the Prospectus, are and, during the periods covered by their report, were an independent registered public accounting firm within the meaning of the Securities Act and the Public Company Accounting Oversight Board (United States). To the Company’s knowledge, the Accountant is not in violation of the auditor independence requirements of the Sarbanes-Oxley Act of 2002 (the “</w:t>
      </w:r>
      <w:r>
        <w:rPr>
          <w:rFonts w:ascii="Times New Roman" w:cs="Times New Roman" w:eastAsia="Times New Roman" w:hAnsi="Times New Roman"/>
          <w:sz w:val="18"/>
          <w:szCs w:val="18"/>
          <w:b w:val="1"/>
          <w:bCs w:val="1"/>
          <w:color w:val="auto"/>
        </w:rPr>
        <w:t>Sarbanes-Oxley Act</w:t>
      </w:r>
      <w:r>
        <w:rPr>
          <w:rFonts w:ascii="Times New Roman" w:cs="Times New Roman" w:eastAsia="Times New Roman" w:hAnsi="Times New Roman"/>
          <w:sz w:val="18"/>
          <w:szCs w:val="18"/>
          <w:color w:val="auto"/>
        </w:rPr>
        <w:t>”) with respect to the Company.</w:t>
      </w:r>
    </w:p>
    <w:p>
      <w:pPr>
        <w:spacing w:after="0" w:line="18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(r)             </w:t>
      </w:r>
      <w:r>
        <w:rPr>
          <w:rFonts w:ascii="Times New Roman" w:cs="Times New Roman" w:eastAsia="Times New Roman" w:hAnsi="Times New Roman"/>
          <w:sz w:val="18"/>
          <w:szCs w:val="18"/>
          <w:u w:val="single" w:color="auto"/>
          <w:color w:val="auto"/>
        </w:rPr>
        <w:t>  Enforceability of Agreements</w:t>
      </w:r>
      <w:r>
        <w:rPr>
          <w:rFonts w:ascii="Times New Roman" w:cs="Times New Roman" w:eastAsia="Times New Roman" w:hAnsi="Times New Roman"/>
          <w:sz w:val="18"/>
          <w:szCs w:val="18"/>
          <w:color w:val="auto"/>
        </w:rPr>
        <w:t>. All agreements between the Company and third parties expressly referenced in the Prospectus are legal, valid and binding obligations of the Company enforceable in accordance with their respective terms, except to the extent that (i) enforceability may be limited by bankruptcy, insolvency, reorganization, moratorium or similar Laws affecting creditors’ rights generally and by general equitable principles and (ii) the indemnification provisions of certain agreements may be limited by federal or state securities Laws or public policy considerations in respect thereof.</w:t>
      </w:r>
    </w:p>
    <w:p>
      <w:pPr>
        <w:spacing w:after="0" w:line="183"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(s)            </w:t>
      </w:r>
      <w:r>
        <w:rPr>
          <w:rFonts w:ascii="Times New Roman" w:cs="Times New Roman" w:eastAsia="Times New Roman" w:hAnsi="Times New Roman"/>
          <w:sz w:val="18"/>
          <w:szCs w:val="18"/>
          <w:u w:val="single" w:color="auto"/>
          <w:color w:val="auto"/>
        </w:rPr>
        <w:t>  No Litigation</w:t>
      </w:r>
      <w:r>
        <w:rPr>
          <w:rFonts w:ascii="Times New Roman" w:cs="Times New Roman" w:eastAsia="Times New Roman" w:hAnsi="Times New Roman"/>
          <w:sz w:val="18"/>
          <w:szCs w:val="18"/>
          <w:color w:val="auto"/>
        </w:rPr>
        <w:t>. Except as set forth in the Registration Statement, the Time of Sale Prospectus or the Prospectus, there are no actions, suits or proceedings by or before any Governmental Authority pending, nor, to the Company’s knowledge, any audits or investigations by or before any Governmental Authority, to which the Company or a Subsidiary is a party or to which any property of the Company or any of its Subsidiaries is the subject that, individually or in the aggregate, would have a Material Adverse Effect and, to the Company’s knowledge, no such actions, suits, proceedings, audits or investigations are threatened or contemplated by any Governmental Authority or threatened by others; and (i) there are no current or pending audits, investigations, actions, suits or proceedings by or before any Governmental Authority that are required under the Securities Act to be described in the Time of Sale Prospectus or Prospectus that are not so described; and (ii) there are no contracts or other documents that are required under the Securities Act to be filed as exhibits to the Registration Statement that are not so filed.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(t)             </w:t>
      </w:r>
      <w:r>
        <w:rPr>
          <w:rFonts w:ascii="Times New Roman" w:cs="Times New Roman" w:eastAsia="Times New Roman" w:hAnsi="Times New Roman"/>
          <w:sz w:val="18"/>
          <w:szCs w:val="18"/>
          <w:u w:val="single" w:color="auto"/>
          <w:color w:val="auto"/>
        </w:rPr>
        <w:t>  Consents and Permits</w:t>
      </w:r>
      <w:r>
        <w:rPr>
          <w:rFonts w:ascii="Times New Roman" w:cs="Times New Roman" w:eastAsia="Times New Roman" w:hAnsi="Times New Roman"/>
          <w:sz w:val="18"/>
          <w:szCs w:val="18"/>
          <w:color w:val="auto"/>
        </w:rPr>
        <w:t>. Except as disclosed in the Registration Statement, the Time of Sale Prospectus and the Prospectus, the Company and its Subsidiaries have made all filings, applications and submissions required by, possesses and is operating in compliance with, all approvals, licenses, certificates, certifications, clearances, consents, grants, exemptions, marks, notifications, orders, permits and other authorizations issued by, the appropriate federal, state or foreign Governmental Authority (including the United States Food and Drug Administration (the “</w:t>
      </w:r>
      <w:r>
        <w:rPr>
          <w:rFonts w:ascii="Times New Roman" w:cs="Times New Roman" w:eastAsia="Times New Roman" w:hAnsi="Times New Roman"/>
          <w:sz w:val="18"/>
          <w:szCs w:val="18"/>
          <w:b w:val="1"/>
          <w:bCs w:val="1"/>
          <w:color w:val="auto"/>
        </w:rPr>
        <w:t>FDA</w:t>
      </w:r>
      <w:r>
        <w:rPr>
          <w:rFonts w:ascii="Times New Roman" w:cs="Times New Roman" w:eastAsia="Times New Roman" w:hAnsi="Times New Roman"/>
          <w:sz w:val="18"/>
          <w:szCs w:val="18"/>
          <w:color w:val="auto"/>
        </w:rPr>
        <w:t>”), the United States Drug Enforcement Administration or any other foreign, federal, state, provincial or local Government Authorities engaged in the regulation of clinical trials, pharmaceuticals, biologics or biohazardous substances or materials) necessary for the ownership or lease of their respective properties or to conduct its businesses as described in the Registration Statement, the Time of Sale Prospectus and the Prospectus (collectively, “</w:t>
      </w:r>
      <w:r>
        <w:rPr>
          <w:rFonts w:ascii="Times New Roman" w:cs="Times New Roman" w:eastAsia="Times New Roman" w:hAnsi="Times New Roman"/>
          <w:sz w:val="18"/>
          <w:szCs w:val="18"/>
          <w:b w:val="1"/>
          <w:bCs w:val="1"/>
          <w:color w:val="auto"/>
        </w:rPr>
        <w:t>Permits</w:t>
      </w:r>
      <w:r>
        <w:rPr>
          <w:rFonts w:ascii="Times New Roman" w:cs="Times New Roman" w:eastAsia="Times New Roman" w:hAnsi="Times New Roman"/>
          <w:sz w:val="18"/>
          <w:szCs w:val="18"/>
          <w:color w:val="auto"/>
        </w:rPr>
        <w:t>”), except for such Permits the failure of which to possess, obtain or make the same would not have a Material Adverse Effect; the Company and its Subsidiaries are in compliance with the terms and conditions of all such Permits, except where the failure to be in compliance would not have a Material Adverse Effect; all of the Permits are valid and in full force and effect, except where any invalidity, individually or in the aggregate, would not be reasonably expected to have a Material Adverse Effect; and neither the Company nor any of its Subsidiaries has received any written notice relating to the limitation, revocation, cancellation, suspension, modification or non-renewal of any such Permit which, singly or in the aggregate, if the subject of an unfavorable decision, ruling or finding, would have a Material Adverse Effect, or has any reason to believe that any such license, certificate, permit or authorization will not be renewed in the ordinary course. To the extent required by applicable Laws of the FDA, the Company or the applicable Subsidiary has submitted to the FDA an Investigational New Drug Application or amendment or supplement thereto for each clinical trial it has conducted or sponsored or is conducting or sponsoring; all such submissions were in material compliance with applicable Laws when submitted and no material deficiencies have been asserted by the FDA with respect to any such submissions.</w:t>
      </w:r>
    </w:p>
    <w:p>
      <w:pPr>
        <w:spacing w:after="0" w:line="19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(u)            </w:t>
      </w:r>
      <w:r>
        <w:rPr>
          <w:rFonts w:ascii="Times New Roman" w:cs="Times New Roman" w:eastAsia="Times New Roman" w:hAnsi="Times New Roman"/>
          <w:sz w:val="18"/>
          <w:szCs w:val="18"/>
          <w:u w:val="single" w:color="auto"/>
          <w:color w:val="auto"/>
        </w:rPr>
        <w:t>  Regulatory Filings</w:t>
      </w:r>
      <w:r>
        <w:rPr>
          <w:rFonts w:ascii="Times New Roman" w:cs="Times New Roman" w:eastAsia="Times New Roman" w:hAnsi="Times New Roman"/>
          <w:sz w:val="18"/>
          <w:szCs w:val="18"/>
          <w:color w:val="auto"/>
        </w:rPr>
        <w:t>. Except as disclosed in the Registration Statement, the Time of Sale Prospectus and the Prospectus, neither the Company nor any of its Subsidiaries has failed to file with the applicable Governmental Authority (including the FDA, or any foreign, federal, state, provincial or local Governmental Authority performing functions similar to those performed by the FDA) any required filing, declaration, listing, registration, report or submission, except for such failures that, individually or in the aggregate, would not have a Material Adverse Effect; except as disclosed in the Registration Statement, the Time of Sale Prospectus and the Prospectus, all such filings, declarations, listings, registrations, reports or submissions were in compliance with applicable Laws when filed and no deficiencies have been asserted by any applicable regulatory authority with respect to any such filings, declarations, listings, registrations, reports or submissions, except for any deficiencies that, individually or in the aggregate, would not have a Material Adverse Effect. The Company has operated and currently is, in all material respects, in compliance with the United States Federal Food, Drug, and Cosmetic Act, all applicable rules and regulations of the FDA and other federal, state, local and foreign Governmental Authority exercising comparable authority.</w:t>
      </w:r>
    </w:p>
    <w:p>
      <w:pPr>
        <w:spacing w:after="0" w:line="194"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u w:val="single" w:color="auto"/>
          <w:color w:val="auto"/>
        </w:rPr>
        <w:t>  Intellectual Property</w:t>
      </w:r>
      <w:r>
        <w:rPr>
          <w:rFonts w:ascii="Times New Roman" w:cs="Times New Roman" w:eastAsia="Times New Roman" w:hAnsi="Times New Roman"/>
          <w:sz w:val="18"/>
          <w:szCs w:val="18"/>
          <w:color w:val="auto"/>
        </w:rPr>
        <w:t>. Except as disclosed in the Registration Statement, the Time of Sale Prospectus and the Prospectus, the Company and its Subsidiaries own, possess, license or have other rights to use all foreign and domestic patents, patent applications, trade and service marks, trade and service mark registrations, trade names, copyrights, licenses, inventions, trade secrets, technology, Internet domain names, know-how and other intellectual property (collectively, the “</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necessary for the conduct of their respective businesses as now conducted except to the extent that the failure to own, possess, license or otherwise hold adequate rights to use such Intellectual Property would not, individually or in the aggregate, have a Material Adverse Effect. Except as disclosed in the Registration Statement, the Time of Sale Prospectus and the Prospectus (i) there are no rights of third parties to any such Intellectual Property owned by the Company and its Subsidiaries; (ii) to the Company’s knowledge, there is no infringement by third parties of any such Intellectual Property; (iii) there is no pending or, to the Company’s knowledge, threatened action, suit, proceeding or claim by others challenging the Company’s and its Subsidiaries’ rights in or to any such Intellectual Property, and the Company is unaware of any facts which could form a reasonable basis for any such action, suit, proceeding or claim; (iv) there is no pending or, to the Company’s knowledge, threatened action, suit, proceeding or claim by others challenging the validity or scope of any such Intellectual Property; (v) there is no pending or, to the Company’s knowledge, threatened action, suit, proceeding or claim by others that the Company and its Subsidiaries infringe or otherwise violate any patent, trademark, copyright, trade secret or other proprietary rights of others; (vi) to the Company’s knowledge, there is no third-party U.S. patent or published U.S. patent application which contains claims for which an Interference Proceeding (as defined in 35 U.S.C. § 135) has been commenced against any patent or patent application described in the Registration Statement, the Time of Sale Prospectus and the Prospectus as being owned by or licensed to the Company; and</w:t>
      </w:r>
    </w:p>
    <w:p>
      <w:pPr>
        <w:spacing w:after="0" w:line="11" w:lineRule="exact"/>
        <w:rPr>
          <w:sz w:val="20"/>
          <w:szCs w:val="20"/>
          <w:color w:val="auto"/>
        </w:rPr>
      </w:pPr>
    </w:p>
    <w:p>
      <w:pPr>
        <w:jc w:val="both"/>
        <w:ind w:firstLine="8"/>
        <w:spacing w:after="0" w:line="253" w:lineRule="auto"/>
        <w:tabs>
          <w:tab w:leader="none" w:pos="36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have complied with the terms of each agreement pursuant to which Intellectual Property has been licensed to the Company or such Subsidiary, and all such agreements are in full force and effect, except, in the case of any of clauses (i)-(vii) above, for any such infringement by third parties or any such pending or threatened suit, action, proceeding or claim as would not, individually or in the aggregate, result in a Material Adverse Effect.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(w)           </w:t>
      </w:r>
      <w:r>
        <w:rPr>
          <w:rFonts w:ascii="Times New Roman" w:cs="Times New Roman" w:eastAsia="Times New Roman" w:hAnsi="Times New Roman"/>
          <w:sz w:val="18"/>
          <w:szCs w:val="18"/>
          <w:u w:val="single" w:color="auto"/>
          <w:color w:val="auto"/>
        </w:rPr>
        <w:t>  Clinical Studies</w:t>
      </w:r>
      <w:r>
        <w:rPr>
          <w:rFonts w:ascii="Times New Roman" w:cs="Times New Roman" w:eastAsia="Times New Roman" w:hAnsi="Times New Roman"/>
          <w:sz w:val="18"/>
          <w:szCs w:val="18"/>
          <w:color w:val="auto"/>
        </w:rPr>
        <w:t>. The preclinical studies and tests and clinical trials described in the Registration Statement, the Time of Sale Prospectus and the Prospectus were, and, if still pending, are being conducted in all material respects in accordance with the experimental protocols, procedures and controls pursuant to, where applicable, accepted professional and scientific standards for products or product candidates comparable to those being developed by the Company; the descriptions of such studies, tests and trials, and the results thereof, contained in the Registration Statement, the Time of Sale Prospectus and the Prospectus are accurate and complete in all material respects; the Company is not aware of any tests, studies or trials not described in the Registration Statement, the Time of Sale Prospectus and the Prospectus, the results of which reasonably call into question the results of the tests, studies and trials described in the Registration Statement, the Time of Sale Prospectus and the Prospectus; and the Company has not received any written notice or correspondence from the FDA or any foreign, state or local Governmental Authority exercising comparable authority or any institutional review board or comparable authority requiring the termination, suspension, clinical hold or material modification of any tests, studies or trials.</w:t>
      </w:r>
    </w:p>
    <w:p>
      <w:pPr>
        <w:spacing w:after="0" w:line="188"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(x)            </w:t>
      </w:r>
      <w:r>
        <w:rPr>
          <w:rFonts w:ascii="Times New Roman" w:cs="Times New Roman" w:eastAsia="Times New Roman" w:hAnsi="Times New Roman"/>
          <w:sz w:val="18"/>
          <w:szCs w:val="18"/>
          <w:u w:val="single" w:color="auto"/>
          <w:color w:val="auto"/>
        </w:rPr>
        <w:t>  No Material Defaults</w:t>
      </w:r>
      <w:r>
        <w:rPr>
          <w:rFonts w:ascii="Times New Roman" w:cs="Times New Roman" w:eastAsia="Times New Roman" w:hAnsi="Times New Roman"/>
          <w:sz w:val="18"/>
          <w:szCs w:val="18"/>
          <w:color w:val="auto"/>
        </w:rPr>
        <w:t>. Neither the Company nor any of the Subsidiaries has defaulted on any installment on indebtedness for borrowed money or on any rental on one or more long-term leases, which defaults, individually or in the aggregate, would have a Material Adverse Effect. The Company has not filed a report pursuant to Section 13(a) or 15(d) of the Exchange Act since the filing of its last Annual Report on Form 10-K, indicating that it (i) has failed to pay any dividend or sinking fund installment on preferred stock or (ii) has defaulted on any installment on indebtedness for borrowed money or on any rental on one or more long-term leases, which defaults, individually or in the aggregate, would have a Material Adverse Effect.</w:t>
      </w:r>
    </w:p>
    <w:p>
      <w:pPr>
        <w:spacing w:after="0" w:line="18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(y)            </w:t>
      </w:r>
      <w:r>
        <w:rPr>
          <w:rFonts w:ascii="Times New Roman" w:cs="Times New Roman" w:eastAsia="Times New Roman" w:hAnsi="Times New Roman"/>
          <w:sz w:val="18"/>
          <w:szCs w:val="18"/>
          <w:u w:val="single" w:color="auto"/>
          <w:color w:val="auto"/>
        </w:rPr>
        <w:t>  Certain Market Activities</w:t>
      </w:r>
      <w:r>
        <w:rPr>
          <w:rFonts w:ascii="Times New Roman" w:cs="Times New Roman" w:eastAsia="Times New Roman" w:hAnsi="Times New Roman"/>
          <w:sz w:val="18"/>
          <w:szCs w:val="18"/>
          <w:color w:val="auto"/>
        </w:rPr>
        <w:t>. Neither the Company nor any of its subsidiaries has taken, directly or indirectly, any action designed to or that might cause or result in stabilization or manipulation of the price of the Shares or of any “reference security” (as defined in Rule 100 of Regulation M under the Exchange Act (“</w:t>
      </w:r>
      <w:r>
        <w:rPr>
          <w:rFonts w:ascii="Times New Roman" w:cs="Times New Roman" w:eastAsia="Times New Roman" w:hAnsi="Times New Roman"/>
          <w:sz w:val="18"/>
          <w:szCs w:val="18"/>
          <w:b w:val="1"/>
          <w:bCs w:val="1"/>
          <w:color w:val="auto"/>
        </w:rPr>
        <w:t>Regulation M</w:t>
      </w:r>
      <w:r>
        <w:rPr>
          <w:rFonts w:ascii="Times New Roman" w:cs="Times New Roman" w:eastAsia="Times New Roman" w:hAnsi="Times New Roman"/>
          <w:sz w:val="18"/>
          <w:szCs w:val="18"/>
          <w:color w:val="auto"/>
        </w:rPr>
        <w:t>”)) with respect to the Shares, whether to facilitate the sale or resale of the Offered Shares or otherwise, and has taken no action which would directly or indirectly violate Regulation M.</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(z)            </w:t>
      </w:r>
      <w:r>
        <w:rPr>
          <w:rFonts w:ascii="Times New Roman" w:cs="Times New Roman" w:eastAsia="Times New Roman" w:hAnsi="Times New Roman"/>
          <w:sz w:val="18"/>
          <w:szCs w:val="18"/>
          <w:u w:val="single" w:color="auto"/>
          <w:color w:val="auto"/>
        </w:rPr>
        <w:t>  Broker/Dealer Relationships</w:t>
      </w:r>
      <w:r>
        <w:rPr>
          <w:rFonts w:ascii="Times New Roman" w:cs="Times New Roman" w:eastAsia="Times New Roman" w:hAnsi="Times New Roman"/>
          <w:sz w:val="18"/>
          <w:szCs w:val="18"/>
          <w:color w:val="auto"/>
        </w:rPr>
        <w:t>. Neither the Company nor any of the Subsidiaries (i) is required to register as a “broker” or “dealer” in accordance with the provisions of the Exchange Act or (ii) directly or indirectly through one or more intermediaries, controls or is a “person associated with a member” or “associated person of a member” (within the meaning set forth in the FINRA Manual).</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(aa)          </w:t>
      </w:r>
      <w:r>
        <w:rPr>
          <w:rFonts w:ascii="Times New Roman" w:cs="Times New Roman" w:eastAsia="Times New Roman" w:hAnsi="Times New Roman"/>
          <w:sz w:val="18"/>
          <w:szCs w:val="18"/>
          <w:u w:val="single" w:color="auto"/>
          <w:color w:val="auto"/>
        </w:rPr>
        <w:t>  No Reliance</w:t>
      </w:r>
      <w:r>
        <w:rPr>
          <w:rFonts w:ascii="Times New Roman" w:cs="Times New Roman" w:eastAsia="Times New Roman" w:hAnsi="Times New Roman"/>
          <w:sz w:val="18"/>
          <w:szCs w:val="18"/>
          <w:color w:val="auto"/>
        </w:rPr>
        <w:t>. The Company has not relied upon the Underwriter or legal counsel for the Underwriter for any legal, tax or accounting advice in connection with the offering and sale of the Offered Shares.</w:t>
      </w:r>
    </w:p>
    <w:p>
      <w:pPr>
        <w:spacing w:after="0" w:line="16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(bb)         </w:t>
      </w:r>
      <w:r>
        <w:rPr>
          <w:rFonts w:ascii="Times New Roman" w:cs="Times New Roman" w:eastAsia="Times New Roman" w:hAnsi="Times New Roman"/>
          <w:sz w:val="18"/>
          <w:szCs w:val="18"/>
          <w:u w:val="single" w:color="auto"/>
          <w:color w:val="auto"/>
        </w:rPr>
        <w:t>  Taxes</w:t>
      </w:r>
      <w:r>
        <w:rPr>
          <w:rFonts w:ascii="Times New Roman" w:cs="Times New Roman" w:eastAsia="Times New Roman" w:hAnsi="Times New Roman"/>
          <w:sz w:val="18"/>
          <w:szCs w:val="18"/>
          <w:color w:val="auto"/>
        </w:rPr>
        <w:t>. The Company and each of its Subsidiaries have filed all federal, state, local and foreign tax returns which have been required to be filed and paid all taxes shown thereon through the date hereof, to the extent that such taxes have become due and are not being contested in good faith, except where the failure to so file or pay would not have a Material Adverse Effect. Except as otherwise disclosed in or contemplated by the Registration Statement, the Time of Sale Prospectus or the Prospectus, no tax deficiency has been determined adversely to the Company or any of its Subsidiaries which has had, or would have, individually or in the aggregate, a Material Adverse Effect. The Company has no knowledge of any federal, state or other governmental tax deficiency, penalty or assessment which has been or might be asserted or threatened against it which would have a Material Adverse Effect.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(cc)          </w:t>
      </w:r>
      <w:r>
        <w:rPr>
          <w:rFonts w:ascii="Times New Roman" w:cs="Times New Roman" w:eastAsia="Times New Roman" w:hAnsi="Times New Roman"/>
          <w:sz w:val="18"/>
          <w:szCs w:val="18"/>
          <w:u w:val="single" w:color="auto"/>
          <w:color w:val="auto"/>
        </w:rPr>
        <w:t>  Title to Real and Personal Property</w:t>
      </w:r>
      <w:r>
        <w:rPr>
          <w:rFonts w:ascii="Times New Roman" w:cs="Times New Roman" w:eastAsia="Times New Roman" w:hAnsi="Times New Roman"/>
          <w:sz w:val="18"/>
          <w:szCs w:val="18"/>
          <w:color w:val="auto"/>
        </w:rPr>
        <w:t>. Except as set forth in the Registration Statement, the Time of Sale Prospectus or the Prospectus, the Company and its Subsidiaries have good and marketable title in fee simple to all items of real property owned by them, good and valid title to all personal property described in the Registration Statement, the Time of Sale Prospectus or the Prospectus as being owned by them that are material to the businesses of the Company or such Subsidiary, in each case free and clear of all liens, encumbrances and claims, except those matters that (i) do not materially interfere with the use made and proposed to be made of such property by the Company and any of its Subsidiaries or (ii) would not, individually or in the aggregate, have a Material Adverse Effect. Any real or personal property described in the Registration Statement, the Time of Sale Prospectus or the Prospectus as being leased by the Company and any of its Subsidiaries is held by them under valid, existing and enforceable leases, except those that</w:t>
      </w:r>
    </w:p>
    <w:p>
      <w:pPr>
        <w:spacing w:after="0" w:line="3" w:lineRule="exact"/>
        <w:rPr>
          <w:sz w:val="20"/>
          <w:szCs w:val="20"/>
          <w:color w:val="auto"/>
        </w:rPr>
      </w:pPr>
    </w:p>
    <w:p>
      <w:pPr>
        <w:jc w:val="both"/>
        <w:ind w:firstLine="8"/>
        <w:spacing w:after="0" w:line="251" w:lineRule="auto"/>
        <w:tabs>
          <w:tab w:leader="none" w:pos="30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materially interfere with the use made or proposed to be made of such property by the Company or any of its Subsidiaries or (B) would not be reasonably expected, individually or in the aggregate, to have a Material Adverse Effect. Each of the properties of the Company and its Subsidiaries complies with all applicable Laws (including building and zoning Laws and Laws relating to access to such properties), except if and to the extent disclosed in the Registration Statement, the Time of Sale Prospectus or the Prospectus or except for such failures to comply that would not, individually or in the aggregate, reasonably be expected to interfere in any material respect with the use made and proposed to be made of such property by the Company and its Subsidiaries or otherwise have a Material Adverse Effect. None of the Company or its subsidiaries has received from any Governmental Authorities any notice of any condemnation of, or zoning change affecting, the properties of the Company and its Subsidiaries, and the Company knows of no such condemnation or zoning change which is threatened, except for such that would not reasonably be expected to interfere in any material respect with the use made and proposed to be made of such property by the Company and its Subsidiaries or otherwise have a Material Adverse Effect, individually or in the aggregate.</w:t>
      </w:r>
    </w:p>
    <w:p>
      <w:pPr>
        <w:spacing w:after="0" w:line="193"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(dd)         </w:t>
      </w:r>
      <w:r>
        <w:rPr>
          <w:rFonts w:ascii="Times New Roman" w:cs="Times New Roman" w:eastAsia="Times New Roman" w:hAnsi="Times New Roman"/>
          <w:sz w:val="18"/>
          <w:szCs w:val="18"/>
          <w:u w:val="single" w:color="auto"/>
          <w:color w:val="auto"/>
        </w:rPr>
        <w:t>  Environmental Laws</w:t>
      </w:r>
      <w:r>
        <w:rPr>
          <w:rFonts w:ascii="Times New Roman" w:cs="Times New Roman" w:eastAsia="Times New Roman" w:hAnsi="Times New Roman"/>
          <w:sz w:val="18"/>
          <w:szCs w:val="18"/>
          <w:color w:val="auto"/>
        </w:rPr>
        <w:t>. Except as set forth in the Registration Statement, the Time of Sale Prospectus or the Prospectus, the Company and its Subsidiaries (i) are in compliance with any and all applicable federal, state, local and foreign Laws relating to the protection of human health and safety, the environment or hazardous or toxic substances or wastes, pollutants or contaminants (collectively, “</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(ii) have received and are in compliance with all permits, licenses or other approvals required of them under applicable Environmental Laws to conduct their respective businesses as described in the Registration Statement, the Time of Sale Prospectus or the Prospectus; and (iii) have not received notice of any actual or potential liability for the investigation or remediation of any disposal or release of hazardous or toxic substances or wastes, pollutants or contaminants, except, in the case of any of clauses (i), (ii) or (iii) above, for any such failure to comply or failure to receive required permits, licenses, other approvals or liability as would not, individually or in the aggregate, have a Material Adverse Effect.</w:t>
      </w:r>
    </w:p>
    <w:p>
      <w:pPr>
        <w:spacing w:after="0" w:line="192"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(ee)          </w:t>
      </w:r>
      <w:r>
        <w:rPr>
          <w:rFonts w:ascii="Times New Roman" w:cs="Times New Roman" w:eastAsia="Times New Roman" w:hAnsi="Times New Roman"/>
          <w:sz w:val="18"/>
          <w:szCs w:val="18"/>
          <w:u w:val="single" w:color="auto"/>
          <w:color w:val="auto"/>
        </w:rPr>
        <w:t>  Disclosure Controls</w:t>
      </w:r>
      <w:r>
        <w:rPr>
          <w:rFonts w:ascii="Times New Roman" w:cs="Times New Roman" w:eastAsia="Times New Roman" w:hAnsi="Times New Roman"/>
          <w:sz w:val="18"/>
          <w:szCs w:val="18"/>
          <w:color w:val="auto"/>
        </w:rPr>
        <w:t xml:space="preserve">. The Company and each of its Subsidiaries maintain systems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generally accepted accounting principles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Company’s internal control over financial reporting is effective and the Company is not aware of any material weaknesses in its internal control over financial reporting (other than as set forth in the Registration Statement, Time of Sale Prospectus or Prospectus). Since the date of the latest audited financial statements of the Company included in the Prospectus, there has been no change in the Company’s internal control over financial reporting that has materially affected, or is reasonably likely to materially affect, the Company’s internal control over financial reporting (other than as set forth in the Registration Statement, Time of Sale Prospectus or Prospectus). The Company has established disclosure controls and procedures (as defined in Exchange Act Rules 13a-15 and 15d-15) for the Company and designed such disclosure controls and procedures to ensure that material information relating to the Company and each of its Subsidiaries is made known to the certifying officers by others within those entities, particularly during the period in which the Company’s Annual Report on Form 10-K or Quarterly Report on Form 10-Q, as the case may be, is being prepared. The Company’s certifying officers have evaluated the effectiveness of the Company’s disclosure controls and procedures as of a date within 90 days prior to the filing date of the Form 10-K for the fiscal year most recently ended (such date, the </w:t>
      </w:r>
      <w:r>
        <w:rPr>
          <w:rFonts w:ascii="Times New Roman" w:cs="Times New Roman" w:eastAsia="Times New Roman" w:hAnsi="Times New Roman"/>
          <w:sz w:val="18"/>
          <w:szCs w:val="18"/>
          <w:b w:val="1"/>
          <w:bCs w:val="1"/>
          <w:color w:val="auto"/>
        </w:rPr>
        <w:t>“Evaluation Date</w:t>
      </w:r>
      <w:r>
        <w:rPr>
          <w:rFonts w:ascii="Times New Roman" w:cs="Times New Roman" w:eastAsia="Times New Roman" w:hAnsi="Times New Roman"/>
          <w:sz w:val="18"/>
          <w:szCs w:val="18"/>
          <w:color w:val="auto"/>
        </w:rPr>
        <w:t>”). The Company presented in its Form 10-K for the fiscal year most recently ended the conclusions of the certifying officers about the effectiveness of the disclosure controls and procedures based on their evaluations as of the Evaluation Date and the disclosure controls and procedures are effective. Since the Evaluation Date, there have been no significant changes in the Company’s internal controls (as such term is defined in Item 307(b) of Regulation S-K under the Securities Act) or, to the Company’s knowledge, in other factors that could significantly affect the Company’s internal controls.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(ff)           </w:t>
      </w:r>
      <w:r>
        <w:rPr>
          <w:rFonts w:ascii="Times New Roman" w:cs="Times New Roman" w:eastAsia="Times New Roman" w:hAnsi="Times New Roman"/>
          <w:sz w:val="18"/>
          <w:szCs w:val="18"/>
          <w:u w:val="single" w:color="auto"/>
          <w:color w:val="auto"/>
        </w:rPr>
        <w:t>  Sarbanes-Oxley</w:t>
      </w:r>
      <w:r>
        <w:rPr>
          <w:rFonts w:ascii="Times New Roman" w:cs="Times New Roman" w:eastAsia="Times New Roman" w:hAnsi="Times New Roman"/>
          <w:sz w:val="18"/>
          <w:szCs w:val="18"/>
          <w:color w:val="auto"/>
        </w:rPr>
        <w:t>. There is, and has been, no failure on the part of the Company or any of the Company’s directors or officers, in their capacities as such, to comply in all material respects with any applicable provision of the Sarbanes-Oxley Act and the rules and regulations promulgated thereunder. Each of the principal executive officer and the principal financial officer of the Company (or each former principal executive officer of the Company and each former principal financial officer of the Company as applicable) has made all certifications required by Sections 302 and 906 of the Sarbanes-Oxley Act with respect to all reports, schedules, forms, statements and other documents required to be filed by it or furnished by it to the Commission. For purposes of the preceding sentence, “principal executive officer” and “principal financial officer” shall have the meanings given to such terms in the Sarbanes-Oxley Act.</w:t>
      </w:r>
    </w:p>
    <w:p>
      <w:pPr>
        <w:spacing w:after="0" w:line="189" w:lineRule="exact"/>
        <w:rPr>
          <w:sz w:val="20"/>
          <w:szCs w:val="20"/>
          <w:color w:val="auto"/>
        </w:rPr>
      </w:pPr>
    </w:p>
    <w:p>
      <w:pPr>
        <w:jc w:val="both"/>
        <w:ind w:right="20" w:firstLine="1296"/>
        <w:spacing w:after="0" w:line="312" w:lineRule="auto"/>
        <w:rPr>
          <w:sz w:val="20"/>
          <w:szCs w:val="20"/>
          <w:color w:val="auto"/>
        </w:rPr>
      </w:pPr>
      <w:r>
        <w:rPr>
          <w:rFonts w:ascii="Times New Roman" w:cs="Times New Roman" w:eastAsia="Times New Roman" w:hAnsi="Times New Roman"/>
          <w:sz w:val="17"/>
          <w:szCs w:val="17"/>
          <w:color w:val="auto"/>
        </w:rPr>
        <w:t>(gg)         </w:t>
      </w:r>
      <w:r>
        <w:rPr>
          <w:rFonts w:ascii="Times New Roman" w:cs="Times New Roman" w:eastAsia="Times New Roman" w:hAnsi="Times New Roman"/>
          <w:sz w:val="17"/>
          <w:szCs w:val="17"/>
          <w:u w:val="single" w:color="auto"/>
          <w:color w:val="auto"/>
        </w:rPr>
        <w:t>  Brokers</w:t>
      </w:r>
      <w:r>
        <w:rPr>
          <w:rFonts w:ascii="Times New Roman" w:cs="Times New Roman" w:eastAsia="Times New Roman" w:hAnsi="Times New Roman"/>
          <w:sz w:val="17"/>
          <w:szCs w:val="17"/>
          <w:color w:val="auto"/>
        </w:rPr>
        <w:t>. Neither the Company nor any of the Subsidiaries has incurred any liability for any finder’s fees, brokerage commissions or similar payments in connection with the transactions herein contemplated, except as may otherwise exist with respect to or pursuant to this Agreement.</w:t>
      </w:r>
    </w:p>
    <w:p>
      <w:pPr>
        <w:spacing w:after="0" w:line="14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(hh)         </w:t>
      </w:r>
      <w:r>
        <w:rPr>
          <w:rFonts w:ascii="Times New Roman" w:cs="Times New Roman" w:eastAsia="Times New Roman" w:hAnsi="Times New Roman"/>
          <w:sz w:val="18"/>
          <w:szCs w:val="18"/>
          <w:u w:val="single" w:color="auto"/>
          <w:color w:val="auto"/>
        </w:rPr>
        <w:t>  Labor Disputes</w:t>
      </w:r>
      <w:r>
        <w:rPr>
          <w:rFonts w:ascii="Times New Roman" w:cs="Times New Roman" w:eastAsia="Times New Roman" w:hAnsi="Times New Roman"/>
          <w:sz w:val="18"/>
          <w:szCs w:val="18"/>
          <w:color w:val="auto"/>
        </w:rPr>
        <w:t>. No labor disturbance by or dispute with employees of the Company or any of its Subsidiaries exists or, to the knowledge of the Company, is threatened which would result in a Material Adverse Effect.</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  Investment Company Act</w:t>
      </w:r>
      <w:r>
        <w:rPr>
          <w:rFonts w:ascii="Times New Roman" w:cs="Times New Roman" w:eastAsia="Times New Roman" w:hAnsi="Times New Roman"/>
          <w:sz w:val="18"/>
          <w:szCs w:val="18"/>
          <w:color w:val="auto"/>
        </w:rPr>
        <w:t xml:space="preserve">. Neither the Company nor any of the Subsidiaries is, or will be, either after receipt of payment for the Offered Shares or after the application of the proceeds therefrom as described under “Use of Proceeds” in the Registration Statement, the Time of Sale Prospectus or the Prospectus, required to register as an “investment company” or an entity “controlled” by an “investment company,” as such terms are defined in the Investment Company Act of 1940 (the </w:t>
      </w:r>
      <w:r>
        <w:rPr>
          <w:rFonts w:ascii="Times New Roman" w:cs="Times New Roman" w:eastAsia="Times New Roman" w:hAnsi="Times New Roman"/>
          <w:sz w:val="18"/>
          <w:szCs w:val="18"/>
          <w:b w:val="1"/>
          <w:bCs w:val="1"/>
          <w:color w:val="auto"/>
        </w:rPr>
        <w:t>“Investment Company Act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(jj)            </w:t>
      </w:r>
      <w:r>
        <w:rPr>
          <w:rFonts w:ascii="Times New Roman" w:cs="Times New Roman" w:eastAsia="Times New Roman" w:hAnsi="Times New Roman"/>
          <w:sz w:val="18"/>
          <w:szCs w:val="18"/>
          <w:u w:val="single" w:color="auto"/>
          <w:color w:val="auto"/>
        </w:rPr>
        <w:t>  Money Laundering Laws</w:t>
      </w:r>
      <w:r>
        <w:rPr>
          <w:rFonts w:ascii="Times New Roman" w:cs="Times New Roman" w:eastAsia="Times New Roman" w:hAnsi="Times New Roman"/>
          <w:sz w:val="18"/>
          <w:szCs w:val="18"/>
          <w:color w:val="auto"/>
        </w:rPr>
        <w:t>. 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applicable jurisdictions, the rules and regulations thereunder and any related or similar applicable rules, regulations or guidelines, issued, administered or enforced by any governmental agency (collectively, the “</w:t>
      </w:r>
      <w:r>
        <w:rPr>
          <w:rFonts w:ascii="Times New Roman" w:cs="Times New Roman" w:eastAsia="Times New Roman" w:hAnsi="Times New Roman"/>
          <w:sz w:val="18"/>
          <w:szCs w:val="18"/>
          <w:b w:val="1"/>
          <w:bCs w:val="1"/>
          <w:color w:val="auto"/>
        </w:rPr>
        <w:t>Money Laundering Laws</w:t>
      </w:r>
      <w:r>
        <w:rPr>
          <w:rFonts w:ascii="Times New Roman" w:cs="Times New Roman" w:eastAsia="Times New Roman" w:hAnsi="Times New Roman"/>
          <w:sz w:val="18"/>
          <w:szCs w:val="18"/>
          <w:color w:val="auto"/>
        </w:rPr>
        <w:t>”) and no action, suit or proceeding by or before any court or governmental agency, authority or body or any arbitrator involving the Company or any of its subsidiaries with respect to the Money Laundering Laws is pending or, to the best knowledge of the Company, threatened.</w:t>
      </w:r>
    </w:p>
    <w:p>
      <w:pPr>
        <w:spacing w:after="0" w:line="187"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(kk)          </w:t>
      </w:r>
      <w:r>
        <w:rPr>
          <w:rFonts w:ascii="Times New Roman" w:cs="Times New Roman" w:eastAsia="Times New Roman" w:hAnsi="Times New Roman"/>
          <w:sz w:val="18"/>
          <w:szCs w:val="18"/>
          <w:u w:val="single" w:color="auto"/>
          <w:color w:val="auto"/>
        </w:rPr>
        <w:t>  Off-Balance Sheet Arrangements</w:t>
      </w:r>
      <w:r>
        <w:rPr>
          <w:rFonts w:ascii="Times New Roman" w:cs="Times New Roman" w:eastAsia="Times New Roman" w:hAnsi="Times New Roman"/>
          <w:sz w:val="18"/>
          <w:szCs w:val="18"/>
          <w:color w:val="auto"/>
        </w:rPr>
        <w:t>. There are no transactions, arrangements and other relationships between and/or among the Company, and/or any of its affiliates and any unconsolidated entity, including any structural finance, special purpose or limited purpose entity (each, an “</w:t>
      </w:r>
      <w:r>
        <w:rPr>
          <w:rFonts w:ascii="Times New Roman" w:cs="Times New Roman" w:eastAsia="Times New Roman" w:hAnsi="Times New Roman"/>
          <w:sz w:val="18"/>
          <w:szCs w:val="18"/>
          <w:b w:val="1"/>
          <w:bCs w:val="1"/>
          <w:color w:val="auto"/>
        </w:rPr>
        <w:t>Off-Balance Sheet Transaction</w:t>
      </w:r>
      <w:r>
        <w:rPr>
          <w:rFonts w:ascii="Times New Roman" w:cs="Times New Roman" w:eastAsia="Times New Roman" w:hAnsi="Times New Roman"/>
          <w:sz w:val="18"/>
          <w:szCs w:val="18"/>
          <w:color w:val="auto"/>
        </w:rPr>
        <w:t>”) that could reasonably be expected to affect materially the Company’s liquidity or the availability of or requirements for its capital resources, including those Off-Balance Sheet Transactions described in the Commission’s Statement about Management’s Discussion and Analysis of Financial Conditions and Results of Operations (Release Nos. 33-8056; 34-45321; FR-61), required to be described in the Prospectus which have not been described as required.</w:t>
      </w:r>
    </w:p>
    <w:p>
      <w:pPr>
        <w:spacing w:after="0" w:line="187"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(ll)            </w:t>
      </w:r>
      <w:r>
        <w:rPr>
          <w:rFonts w:ascii="Times New Roman" w:cs="Times New Roman" w:eastAsia="Times New Roman" w:hAnsi="Times New Roman"/>
          <w:sz w:val="18"/>
          <w:szCs w:val="18"/>
          <w:u w:val="single" w:color="auto"/>
          <w:color w:val="auto"/>
        </w:rPr>
        <w:t>  ERISA</w:t>
      </w:r>
      <w:r>
        <w:rPr>
          <w:rFonts w:ascii="Times New Roman" w:cs="Times New Roman" w:eastAsia="Times New Roman" w:hAnsi="Times New Roman"/>
          <w:sz w:val="18"/>
          <w:szCs w:val="18"/>
          <w:color w:val="auto"/>
        </w:rPr>
        <w:t>. To the knowledge of the Company, each material employee benefit plan, within the meaning of Section 3(3) of the Employee Retirement Income Security Act of 1974 (“</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that is maintained, administered or contributed to by the Company or any of its affiliates for employees or former employees of the Company and any of its Subsidiaries has been maintained in material compliance with its terms and the requirements of any applicable statutes, orders, rules and regulations, including ERISA and the Internal Revenue Code of 1986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no prohibited transaction, within the meaning of Section 406 of ERISA or Section 4975 of the Code, has occurred which would result in a material liability to the Company with respect to any such plan excluding transactions effected pursuant to a statutory or administrative exemption; and for each such plan that is subject to the funding rules of Section 412 of the Code or Section 302 of ERISA, no “accumulated funding deficiency” as defined in Section 412 of the Code has been incurred, whether or not waived, and the fair market value of the assets of each such plan (excluding for these purposes accrued but unpaid contributions) exceeds the present value of all benefits accrued under such plan determined using reasonable actuarial assumptions.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(mm)        </w:t>
      </w:r>
      <w:r>
        <w:rPr>
          <w:rFonts w:ascii="Times New Roman" w:cs="Times New Roman" w:eastAsia="Times New Roman" w:hAnsi="Times New Roman"/>
          <w:sz w:val="18"/>
          <w:szCs w:val="18"/>
          <w:u w:val="single" w:color="auto"/>
          <w:color w:val="auto"/>
        </w:rPr>
        <w:t>  Forward-Looking Statements</w:t>
      </w:r>
      <w:r>
        <w:rPr>
          <w:rFonts w:ascii="Times New Roman" w:cs="Times New Roman" w:eastAsia="Times New Roman" w:hAnsi="Times New Roman"/>
          <w:sz w:val="18"/>
          <w:szCs w:val="18"/>
          <w:color w:val="auto"/>
        </w:rPr>
        <w:t>. Each financial or operational projection or other “forward-looking statement” (as defined by Section 27A of the Securities Act or Section 21E of the Exchange Act) contained in the Registration Statement, the Time of Sale Prospectus or the Prospectus (i) was so included by the Company in good faith and with reasonable basis after due consideration by the Company of the underlying assumptions, estimates and other applicable facts and circumstances and (ii) is accompanied by meaningful cautionary statements identifying those factors that could cause actual results to differ materially from those in such forward-looking statement. No such statement was made with the knowledge of an executive officer or director of the Company that is was false or misleading.</w:t>
      </w:r>
    </w:p>
    <w:p>
      <w:pPr>
        <w:spacing w:after="0" w:line="18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(nn)         </w:t>
      </w:r>
      <w:r>
        <w:rPr>
          <w:rFonts w:ascii="Times New Roman" w:cs="Times New Roman" w:eastAsia="Times New Roman" w:hAnsi="Times New Roman"/>
          <w:sz w:val="18"/>
          <w:szCs w:val="18"/>
          <w:u w:val="single" w:color="auto"/>
          <w:color w:val="auto"/>
        </w:rPr>
        <w:t>  Margin Rules</w:t>
      </w:r>
      <w:r>
        <w:rPr>
          <w:rFonts w:ascii="Times New Roman" w:cs="Times New Roman" w:eastAsia="Times New Roman" w:hAnsi="Times New Roman"/>
          <w:sz w:val="18"/>
          <w:szCs w:val="18"/>
          <w:color w:val="auto"/>
        </w:rPr>
        <w:t>. Neither the issuance, sale and delivery of the Offered Shares nor the application of the proceeds thereof by the Company as described in the Registration Statement and the Prospectus will violate Regulation T, U or X of the Board of Governors of the Federal Reserve System or any other regulation of such Board of Governors.</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(oo)         </w:t>
      </w:r>
      <w:r>
        <w:rPr>
          <w:rFonts w:ascii="Times New Roman" w:cs="Times New Roman" w:eastAsia="Times New Roman" w:hAnsi="Times New Roman"/>
          <w:sz w:val="18"/>
          <w:szCs w:val="18"/>
          <w:u w:val="single" w:color="auto"/>
          <w:color w:val="auto"/>
        </w:rPr>
        <w:t>  Insurance</w:t>
      </w:r>
      <w:r>
        <w:rPr>
          <w:rFonts w:ascii="Times New Roman" w:cs="Times New Roman" w:eastAsia="Times New Roman" w:hAnsi="Times New Roman"/>
          <w:sz w:val="18"/>
          <w:szCs w:val="18"/>
          <w:color w:val="auto"/>
        </w:rPr>
        <w:t>. The Company and each of its Subsidiaries carry, or are covered by, insurance in such amounts and covering such risks as the Company and each of its Subsidiaries reasonably believe are adequate for the conduct of their properties and as is customary for companies engaged in similar businesses in similar industries.</w:t>
      </w:r>
    </w:p>
    <w:p>
      <w:pPr>
        <w:spacing w:after="0" w:line="17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(pp)         </w:t>
      </w:r>
      <w:r>
        <w:rPr>
          <w:rFonts w:ascii="Times New Roman" w:cs="Times New Roman" w:eastAsia="Times New Roman" w:hAnsi="Times New Roman"/>
          <w:sz w:val="18"/>
          <w:szCs w:val="18"/>
          <w:u w:val="single" w:color="auto"/>
          <w:color w:val="auto"/>
        </w:rPr>
        <w:t>  Anti-Corruption and Anti-Bribery Law</w:t>
      </w:r>
      <w:r>
        <w:rPr>
          <w:rFonts w:ascii="Times New Roman" w:cs="Times New Roman" w:eastAsia="Times New Roman" w:hAnsi="Times New Roman"/>
          <w:sz w:val="18"/>
          <w:szCs w:val="18"/>
          <w:color w:val="auto"/>
        </w:rPr>
        <w:t>. Neither the Company nor any of its subsidiaries nor any director, officer, or employee of the Company or any of its subsidiaries, nor to the knowledge of the Company, any agent, affiliate or other person acting on behalf of the Company or any of its subsidiaries has, in the course of its actions for, or on behalf of, the Company or any of its subsidiaries (i) used any corporate funds for any unlawful contribution, gift, entertainment or other unlawful expenses relating to political activity; (ii) made or taken any act in furtherance of an offer, promise, or authorization of any direct or indirect unlawful payment or benefit to any foreign or domestic government official or employee, including of any government-owned or controlled entity or public international organization, or any political party, party official, or candidate for political office; (iii) violated or is in violation of any provision of the U.S. Foreign Corrupt Practices Act of 1977, as amended (the “</w:t>
      </w:r>
      <w:r>
        <w:rPr>
          <w:rFonts w:ascii="Times New Roman" w:cs="Times New Roman" w:eastAsia="Times New Roman" w:hAnsi="Times New Roman"/>
          <w:sz w:val="18"/>
          <w:szCs w:val="18"/>
          <w:b w:val="1"/>
          <w:bCs w:val="1"/>
          <w:color w:val="auto"/>
        </w:rPr>
        <w:t>FCPA</w:t>
      </w:r>
      <w:r>
        <w:rPr>
          <w:rFonts w:ascii="Times New Roman" w:cs="Times New Roman" w:eastAsia="Times New Roman" w:hAnsi="Times New Roman"/>
          <w:sz w:val="18"/>
          <w:szCs w:val="18"/>
          <w:color w:val="auto"/>
        </w:rPr>
        <w:t>”), the UK Bribery Act 2010, or any other applicable anti-bribery or anti-corruption law; or (iv) made, offered, authorized, requested, or taken an act in furtherance of any unlawful bribe, rebate, payoff, influence payment, kickback or other unlawful payment or benefit. The Company and its subsidiaries and, to the knowledge of the Company, the Company’s affiliates have conducted their respective businesses in compliance with the FCPA and have instituted and maintain policies and procedures designed to ensure, and which are reasonably expected to continue to ensure, continued compliance therewith.</w:t>
      </w:r>
    </w:p>
    <w:p>
      <w:pPr>
        <w:spacing w:after="0" w:line="19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(qq)         </w:t>
      </w:r>
      <w:r>
        <w:rPr>
          <w:rFonts w:ascii="Times New Roman" w:cs="Times New Roman" w:eastAsia="Times New Roman" w:hAnsi="Times New Roman"/>
          <w:sz w:val="18"/>
          <w:szCs w:val="18"/>
          <w:u w:val="single" w:color="auto"/>
          <w:color w:val="auto"/>
        </w:rPr>
        <w:t>  No Conflicts</w:t>
      </w:r>
      <w:r>
        <w:rPr>
          <w:rFonts w:ascii="Times New Roman" w:cs="Times New Roman" w:eastAsia="Times New Roman" w:hAnsi="Times New Roman"/>
          <w:sz w:val="18"/>
          <w:szCs w:val="18"/>
          <w:color w:val="auto"/>
        </w:rPr>
        <w:t>. Neither the execution of this Agreement, nor the issuance, offering or sale of the Offered Shares, nor the consummation of any of the transactions contemplated herein and therein, nor the compliance by the Company with the terms and provisions hereof and thereof will conflict with, or will result in a breach of, any of the terms and provisions of, or has constituted or will constitute a default under, or has resulted in or will result in the creation or imposition of any lien, charge or encumbrance upon any property or assets of the Company pursuant to the terms of any contract or other agreement to which the Company may be bound or to which any of the property or assets of the Company is subject, except</w:t>
      </w:r>
    </w:p>
    <w:p>
      <w:pPr>
        <w:spacing w:after="0" w:line="3" w:lineRule="exact"/>
        <w:rPr>
          <w:sz w:val="20"/>
          <w:szCs w:val="20"/>
          <w:color w:val="auto"/>
        </w:rPr>
      </w:pPr>
    </w:p>
    <w:p>
      <w:pPr>
        <w:jc w:val="both"/>
        <w:ind w:firstLine="8"/>
        <w:spacing w:after="0" w:line="253" w:lineRule="auto"/>
        <w:tabs>
          <w:tab w:leader="none" w:pos="23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conflicts, breaches or defaults as may have been waived and (ii) such conflicts, breaches and defaults that would not have a Material Adverse Effect; nor will such action result (x) in any violation of the provisions of the organizational or governing documents of the Company, or (y) in any material violation of the provisions of any statute or any order, rule or regulation applicable to the Company or of any Governmental Authority having jurisdiction over the Company.</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(rr)           </w:t>
      </w:r>
      <w:r>
        <w:rPr>
          <w:rFonts w:ascii="Times New Roman" w:cs="Times New Roman" w:eastAsia="Times New Roman" w:hAnsi="Times New Roman"/>
          <w:sz w:val="18"/>
          <w:szCs w:val="18"/>
          <w:u w:val="single" w:color="auto"/>
          <w:color w:val="auto"/>
        </w:rPr>
        <w:t>  Sanctions</w:t>
      </w:r>
      <w:r>
        <w:rPr>
          <w:rFonts w:ascii="Times New Roman" w:cs="Times New Roman" w:eastAsia="Times New Roman" w:hAnsi="Times New Roman"/>
          <w:sz w:val="18"/>
          <w:szCs w:val="18"/>
          <w:color w:val="auto"/>
        </w:rPr>
        <w:t>. Neither the Company nor any of its subsidiaries, directors, officers, or employees, nor, to the knowledge of the Company, after due inquiry, any agent, affiliate or other person acting on behalf of the Company or any of its subsidiaries is currently the subject or the target of any U.S. sanctions administered by the Office of Foreign Assets Control of the U.S. Department of the Treasury (“</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or the U.S. Department of State, the United Nations Security Council, the European Union, His Majesty’s Treasury of the United Kingdom, or other relevant sanctions authority (collectively, “</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nor is the Company or any of its subsidiaries located, organized or resident in a country or territory that is the subject or the target of Sanctions, including, without limitation, Crimea, the so-called Donetsk People’s Republic and the so-called Luhansk People’s Republic regions of Ukraine, Cuba, Iran, North Korea, and Syria (before July 1, 2025); and the Company will not directly or indirectly use the proceeds of this offering, or lend, contribute or otherwise make available such proceeds to any subsidiary, or any joint venture partner or other person or entity, for the purpose of financing the activities of or business with any person, or in any country or territory, that at the time of such financing, is the subject or the target of Sanctions or in any other manner that will result in a violation by any person (including any person participating in the transaction whether as underwriter, advisor, investor or otherwise) of applicable Sanctions. For the past five years, the Company and its subsidiaries have not knowingly engaged in and are not now knowingly engaged in any dealings or transactions with any person that at the time of the dealing or transaction is or was the subject or the target of Sanctions or with any Sanctioned Country.</w:t>
      </w:r>
    </w:p>
    <w:p>
      <w:pPr>
        <w:spacing w:after="0" w:line="187"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(ss)          </w:t>
      </w:r>
      <w:r>
        <w:rPr>
          <w:rFonts w:ascii="Times New Roman" w:cs="Times New Roman" w:eastAsia="Times New Roman" w:hAnsi="Times New Roman"/>
          <w:sz w:val="18"/>
          <w:szCs w:val="18"/>
          <w:u w:val="single" w:color="auto"/>
          <w:color w:val="auto"/>
        </w:rPr>
        <w:t>  Compliance with Laws</w:t>
      </w:r>
      <w:r>
        <w:rPr>
          <w:rFonts w:ascii="Times New Roman" w:cs="Times New Roman" w:eastAsia="Times New Roman" w:hAnsi="Times New Roman"/>
          <w:sz w:val="18"/>
          <w:szCs w:val="18"/>
          <w:color w:val="auto"/>
        </w:rPr>
        <w:t>. Each of the Company and its Subsidiaries: (A) is and at all times has been in compliance with all statutes, rules, or regulations applicable to the ownership, testing, development, manufacture, packaging, processing, use, distribution, marketing, labeling, promotion, sale, offer for sale, storage, import, export or disposal of any product manufactured or distributed by the Company or its Subsidiaries (“</w:t>
      </w:r>
      <w:r>
        <w:rPr>
          <w:rFonts w:ascii="Times New Roman" w:cs="Times New Roman" w:eastAsia="Times New Roman" w:hAnsi="Times New Roman"/>
          <w:sz w:val="18"/>
          <w:szCs w:val="18"/>
          <w:b w:val="1"/>
          <w:bCs w:val="1"/>
          <w:color w:val="auto"/>
        </w:rPr>
        <w:t>Applicable Laws</w:t>
      </w:r>
      <w:r>
        <w:rPr>
          <w:rFonts w:ascii="Times New Roman" w:cs="Times New Roman" w:eastAsia="Times New Roman" w:hAnsi="Times New Roman"/>
          <w:sz w:val="18"/>
          <w:szCs w:val="18"/>
          <w:color w:val="auto"/>
        </w:rPr>
        <w:t>”), except as could not, individually or in the aggregate, reasonably be expected to result in a Material Adverse Effect; (B) has not received any FDA Form 483, notice of adverse finding, warning letter, untitled letter or other correspondence or notice from the FDA or any other Governmental Authority alleging or asserting noncompliance with any Applicable Laws or any licenses, certificates, approvals, clearances, authorizations, permits and supplements or amendments thereto required by any such Applicable Laws (“</w:t>
      </w:r>
      <w:r>
        <w:rPr>
          <w:rFonts w:ascii="Times New Roman" w:cs="Times New Roman" w:eastAsia="Times New Roman" w:hAnsi="Times New Roman"/>
          <w:sz w:val="18"/>
          <w:szCs w:val="18"/>
          <w:b w:val="1"/>
          <w:bCs w:val="1"/>
          <w:color w:val="auto"/>
        </w:rPr>
        <w:t>Authorizations</w:t>
      </w:r>
      <w:r>
        <w:rPr>
          <w:rFonts w:ascii="Times New Roman" w:cs="Times New Roman" w:eastAsia="Times New Roman" w:hAnsi="Times New Roman"/>
          <w:sz w:val="18"/>
          <w:szCs w:val="18"/>
          <w:color w:val="auto"/>
        </w:rPr>
        <w:t>”); (C) possesses all material Authorizations and such Authorizations are valid and in full force and effect and are not in material violation of any term of any such Authorizations; (D) has not received notice of any claim, action, suit, proceeding, hearing, enforcement, investigation, arbitration or other action from any Governmental Authority or third party alleging that any product operation or activity is in violation of any Applicable Laws or Authorizations and has no knowledge that any such Governmental Authority or third party is considering any such claim, litigation, arbitration, action, suit, investigation or proceeding; (E) has not received notice that any Governmental Authority has taken, is taking or intends to take action to limit, suspend, modify or revoke any Authorizations and has no knowledge that any such Governmental Authority is considering such action; (F) has filed, obtained, maintained or submitted all material reports, documents, forms, notices, applications, records, claims, submissions and supplements or amendments as required by any Applicable Laws or Authorizations and that all such reports, documents, forms, notices, applications, records, claims, submissions and supplements or amendments were complete and correct on the date filed (or were corrected or supplemented by a subsequent submission); and (G) has not, either voluntarily or involuntarily, initiated, conducted, or issued or caused to be initiated, conducted or issued, any recall, market withdrawal or replacement, safety alert, post sale warning, “dear healthcare provider” letter, or other notice or action relating to the alleged lack of safety or efficacy of any product or any alleged product defect or violation and, to the Company’s knowledge, no third party has initiated, conducted or intends to initiate any such notice or action.</w:t>
      </w:r>
    </w:p>
    <w:p>
      <w:pPr>
        <w:spacing w:after="0" w:line="191"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(tt)           </w:t>
      </w:r>
      <w:r>
        <w:rPr>
          <w:rFonts w:ascii="Times New Roman" w:cs="Times New Roman" w:eastAsia="Times New Roman" w:hAnsi="Times New Roman"/>
          <w:sz w:val="18"/>
          <w:szCs w:val="18"/>
          <w:u w:val="single" w:color="auto"/>
          <w:color w:val="auto"/>
        </w:rPr>
        <w:t>  Statistical and Market-Related Data</w:t>
      </w:r>
      <w:r>
        <w:rPr>
          <w:rFonts w:ascii="Times New Roman" w:cs="Times New Roman" w:eastAsia="Times New Roman" w:hAnsi="Times New Roman"/>
          <w:sz w:val="18"/>
          <w:szCs w:val="18"/>
          <w:color w:val="auto"/>
        </w:rPr>
        <w:t>. All statistical, demographic and market-related data included in the Registration Statement, the Time of Sale Prospectus or the Prospectus are based on or derived from sources that the Company believes to be reliable and accurate or represent the Company’s good faith estimates that are made on the basis of data derived from such sources.</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(uu)         </w:t>
      </w:r>
      <w:r>
        <w:rPr>
          <w:rFonts w:ascii="Times New Roman" w:cs="Times New Roman" w:eastAsia="Times New Roman" w:hAnsi="Times New Roman"/>
          <w:sz w:val="18"/>
          <w:szCs w:val="18"/>
          <w:u w:val="single" w:color="auto"/>
          <w:color w:val="auto"/>
        </w:rPr>
        <w:t>  Stock Exchange Listing</w:t>
      </w:r>
      <w:r>
        <w:rPr>
          <w:rFonts w:ascii="Times New Roman" w:cs="Times New Roman" w:eastAsia="Times New Roman" w:hAnsi="Times New Roman"/>
          <w:sz w:val="18"/>
          <w:szCs w:val="18"/>
          <w:color w:val="auto"/>
        </w:rPr>
        <w:t>. The Shares are registered pursuant to Section 12(b) or 12(g) of the Exchange Act and are listed on The Nasdaq Capital Market (the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and the Company has taken no action designed to, or likely to have the effect of, terminating the registration of the Shares under the Exchange Act or delisting the Shares from the Nasdaq, nor has the Company received any notification that the Commission or the Nasdaq is contemplating terminating such registration or listing. To the Company’s knowledge, it is in compliance with all applicable listing requirements of Nasdaq.</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(vv)         </w:t>
      </w:r>
      <w:r>
        <w:rPr>
          <w:rFonts w:ascii="Times New Roman" w:cs="Times New Roman" w:eastAsia="Times New Roman" w:hAnsi="Times New Roman"/>
          <w:sz w:val="18"/>
          <w:szCs w:val="18"/>
          <w:u w:val="single" w:color="auto"/>
          <w:color w:val="auto"/>
        </w:rPr>
        <w:t>  Related-Party Transactions</w:t>
      </w:r>
      <w:r>
        <w:rPr>
          <w:rFonts w:ascii="Times New Roman" w:cs="Times New Roman" w:eastAsia="Times New Roman" w:hAnsi="Times New Roman"/>
          <w:sz w:val="18"/>
          <w:szCs w:val="18"/>
          <w:color w:val="auto"/>
        </w:rPr>
        <w:t>. There are no business relationships or related-party transactions involving the Company or any of its subsidiaries or any other person required to be described in the Registration Statement, the Time of Sale Prospectus or the Prospectus that have not been described as required.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(ww)       </w:t>
      </w:r>
      <w:r>
        <w:rPr>
          <w:rFonts w:ascii="Times New Roman" w:cs="Times New Roman" w:eastAsia="Times New Roman" w:hAnsi="Times New Roman"/>
          <w:sz w:val="18"/>
          <w:szCs w:val="18"/>
          <w:u w:val="single" w:color="auto"/>
          <w:color w:val="auto"/>
        </w:rPr>
        <w:t>  FINRA Matters</w:t>
      </w:r>
      <w:r>
        <w:rPr>
          <w:rFonts w:ascii="Times New Roman" w:cs="Times New Roman" w:eastAsia="Times New Roman" w:hAnsi="Times New Roman"/>
          <w:sz w:val="18"/>
          <w:szCs w:val="18"/>
          <w:color w:val="auto"/>
        </w:rPr>
        <w:t>. All of the information provided to the Underwriters or to counsel for the Underwriters by the Company, its counsel, its officers and directors and the holders of any securities (debt or equity) or options to acquire any securities of the Company in connection with the offering of the Offered Shares is true, complete, correct and compliant with FINRA’s rules and any letters, filings or other supplemental information provided to FINRA pursuant to FINRA Rules is true, complete and correct.</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(xx)            </w:t>
      </w:r>
      <w:r>
        <w:rPr>
          <w:rFonts w:ascii="Times New Roman" w:cs="Times New Roman" w:eastAsia="Times New Roman" w:hAnsi="Times New Roman"/>
          <w:sz w:val="18"/>
          <w:szCs w:val="18"/>
          <w:u w:val="single" w:color="auto"/>
          <w:color w:val="auto"/>
        </w:rPr>
        <w:t>Parties to Lock-Up Agreements</w:t>
      </w:r>
      <w:r>
        <w:rPr>
          <w:rFonts w:ascii="Times New Roman" w:cs="Times New Roman" w:eastAsia="Times New Roman" w:hAnsi="Times New Roman"/>
          <w:sz w:val="18"/>
          <w:szCs w:val="18"/>
          <w:color w:val="auto"/>
        </w:rPr>
        <w:t xml:space="preserve">. The Company has furnished to the Underwriters a letter agreement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Lock-up Agreement</w:t>
      </w:r>
      <w:r>
        <w:rPr>
          <w:rFonts w:ascii="Times New Roman" w:cs="Times New Roman" w:eastAsia="Times New Roman" w:hAnsi="Times New Roman"/>
          <w:sz w:val="18"/>
          <w:szCs w:val="18"/>
          <w:color w:val="auto"/>
        </w:rPr>
        <w:t xml:space="preserve">”) from each of the persons listed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Such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lists under an appropriate caption the directors and executive officers of the Company. If any additional persons shall become directors or executive officers of the Company prior to the end of the Company Lock-up Period (as defined below), the Company shall cause each such person, prior to or contemporaneously with their appointment or election as a director or executive officer of the Company, to execute and deliver to the Representatives a Lock-up Agreement.</w:t>
      </w:r>
    </w:p>
    <w:p>
      <w:pPr>
        <w:spacing w:after="0" w:line="18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(yy)         </w:t>
      </w:r>
      <w:r>
        <w:rPr>
          <w:rFonts w:ascii="Times New Roman" w:cs="Times New Roman" w:eastAsia="Times New Roman" w:hAnsi="Times New Roman"/>
          <w:sz w:val="18"/>
          <w:szCs w:val="18"/>
          <w:u w:val="single" w:color="auto"/>
          <w:color w:val="auto"/>
        </w:rPr>
        <w:t>  Cybersecurity</w:t>
      </w:r>
      <w:r>
        <w:rPr>
          <w:rFonts w:ascii="Times New Roman" w:cs="Times New Roman" w:eastAsia="Times New Roman" w:hAnsi="Times New Roman"/>
          <w:sz w:val="18"/>
          <w:szCs w:val="18"/>
          <w:color w:val="auto"/>
        </w:rPr>
        <w:t>. The Company and its subsidiaries’ information technology assets and equipment, computers, systems, networks, hardware, software, websites, applications, and databases (collectively, “</w:t>
      </w:r>
      <w:r>
        <w:rPr>
          <w:rFonts w:ascii="Times New Roman" w:cs="Times New Roman" w:eastAsia="Times New Roman" w:hAnsi="Times New Roman"/>
          <w:sz w:val="18"/>
          <w:szCs w:val="18"/>
          <w:b w:val="1"/>
          <w:bCs w:val="1"/>
          <w:color w:val="auto"/>
        </w:rPr>
        <w:t>IT Systems</w:t>
      </w:r>
      <w:r>
        <w:rPr>
          <w:rFonts w:ascii="Times New Roman" w:cs="Times New Roman" w:eastAsia="Times New Roman" w:hAnsi="Times New Roman"/>
          <w:sz w:val="18"/>
          <w:szCs w:val="18"/>
          <w:color w:val="auto"/>
        </w:rPr>
        <w:t>”) are adequate for, and operate and perform in all material respects as required in connection with the operation of the business of the Company and its subsidiaries as currently conducted, free and clear of all material bugs, errors, defects, Trojan horses, time bombs, malware and other corruptants. The Company and its subsidiaries have implemented and maintained commercially reasonable physical, technical and administrative controls, policies, procedures, and safeguards to maintain and protect their material confidential information and the integrity, continuous operation, redundancy and security of all IT Systems and data, including all “</w:t>
      </w:r>
      <w:r>
        <w:rPr>
          <w:rFonts w:ascii="Times New Roman" w:cs="Times New Roman" w:eastAsia="Times New Roman" w:hAnsi="Times New Roman"/>
          <w:sz w:val="18"/>
          <w:szCs w:val="18"/>
          <w:b w:val="1"/>
          <w:bCs w:val="1"/>
          <w:color w:val="auto"/>
        </w:rPr>
        <w:t>Personal Data</w:t>
      </w:r>
      <w:r>
        <w:rPr>
          <w:rFonts w:ascii="Times New Roman" w:cs="Times New Roman" w:eastAsia="Times New Roman" w:hAnsi="Times New Roman"/>
          <w:sz w:val="18"/>
          <w:szCs w:val="18"/>
          <w:color w:val="auto"/>
        </w:rPr>
        <w:t>” (defined below) and all sensitive, confidential or regulated data (“</w:t>
      </w:r>
      <w:r>
        <w:rPr>
          <w:rFonts w:ascii="Times New Roman" w:cs="Times New Roman" w:eastAsia="Times New Roman" w:hAnsi="Times New Roman"/>
          <w:sz w:val="18"/>
          <w:szCs w:val="18"/>
          <w:b w:val="1"/>
          <w:bCs w:val="1"/>
          <w:color w:val="auto"/>
        </w:rPr>
        <w:t>Confidential Data</w:t>
      </w:r>
      <w:r>
        <w:rPr>
          <w:rFonts w:ascii="Times New Roman" w:cs="Times New Roman" w:eastAsia="Times New Roman" w:hAnsi="Times New Roman"/>
          <w:sz w:val="18"/>
          <w:szCs w:val="18"/>
          <w:color w:val="auto"/>
        </w:rPr>
        <w:t>”) used in connection with their businesses. “</w:t>
      </w:r>
      <w:r>
        <w:rPr>
          <w:rFonts w:ascii="Times New Roman" w:cs="Times New Roman" w:eastAsia="Times New Roman" w:hAnsi="Times New Roman"/>
          <w:sz w:val="18"/>
          <w:szCs w:val="18"/>
          <w:b w:val="1"/>
          <w:bCs w:val="1"/>
          <w:color w:val="auto"/>
        </w:rPr>
        <w:t>Personal Data</w:t>
      </w:r>
      <w:r>
        <w:rPr>
          <w:rFonts w:ascii="Times New Roman" w:cs="Times New Roman" w:eastAsia="Times New Roman" w:hAnsi="Times New Roman"/>
          <w:sz w:val="18"/>
          <w:szCs w:val="18"/>
          <w:color w:val="auto"/>
        </w:rPr>
        <w:t>” means</w:t>
      </w:r>
    </w:p>
    <w:p>
      <w:pPr>
        <w:spacing w:after="0" w:line="3" w:lineRule="exact"/>
        <w:rPr>
          <w:sz w:val="20"/>
          <w:szCs w:val="20"/>
          <w:color w:val="auto"/>
        </w:rPr>
      </w:pPr>
    </w:p>
    <w:p>
      <w:pPr>
        <w:jc w:val="both"/>
        <w:ind w:firstLine="8"/>
        <w:spacing w:after="0" w:line="250" w:lineRule="auto"/>
        <w:tabs>
          <w:tab w:leader="none" w:pos="23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natural person’s name, street address, telephone number, e-mail address, photograph, social security number or tax identification number, driver’s license number, passport number, credit card number, bank information, or customer or account number; (ii) any information which would qualify as “personally identifying information” under the Federal Trade Commission Act, as amended; (iii) “personal data” as defined by GDPR (as defined below);</w:t>
      </w:r>
    </w:p>
    <w:p>
      <w:pPr>
        <w:spacing w:after="0" w:line="1" w:lineRule="exact"/>
        <w:rPr>
          <w:rFonts w:ascii="Times New Roman" w:cs="Times New Roman" w:eastAsia="Times New Roman" w:hAnsi="Times New Roman"/>
          <w:sz w:val="18"/>
          <w:szCs w:val="18"/>
          <w:color w:val="auto"/>
        </w:rPr>
      </w:pPr>
    </w:p>
    <w:p>
      <w:pPr>
        <w:jc w:val="both"/>
        <w:ind w:firstLine="8"/>
        <w:spacing w:after="0" w:line="251" w:lineRule="auto"/>
        <w:tabs>
          <w:tab w:leader="none" w:pos="32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information which would qualify as “protected health information” under the Health Insurance Portability and Accountability Act of 1996, as amended by the Health Information Technology for Economic and Clinical Health Act (collectively, “</w:t>
      </w:r>
      <w:r>
        <w:rPr>
          <w:rFonts w:ascii="Times New Roman" w:cs="Times New Roman" w:eastAsia="Times New Roman" w:hAnsi="Times New Roman"/>
          <w:sz w:val="18"/>
          <w:szCs w:val="18"/>
          <w:b w:val="1"/>
          <w:bCs w:val="1"/>
          <w:color w:val="auto"/>
        </w:rPr>
        <w:t>HIPAA</w:t>
      </w:r>
      <w:r>
        <w:rPr>
          <w:rFonts w:ascii="Times New Roman" w:cs="Times New Roman" w:eastAsia="Times New Roman" w:hAnsi="Times New Roman"/>
          <w:sz w:val="18"/>
          <w:szCs w:val="18"/>
          <w:color w:val="auto"/>
        </w:rPr>
        <w:t>”); (v) any “personal information” as defined by the California Consumer Privacy Act (“</w:t>
      </w:r>
      <w:r>
        <w:rPr>
          <w:rFonts w:ascii="Times New Roman" w:cs="Times New Roman" w:eastAsia="Times New Roman" w:hAnsi="Times New Roman"/>
          <w:sz w:val="18"/>
          <w:szCs w:val="18"/>
          <w:b w:val="1"/>
          <w:bCs w:val="1"/>
          <w:color w:val="auto"/>
        </w:rPr>
        <w:t>CCPA</w:t>
      </w:r>
      <w:r>
        <w:rPr>
          <w:rFonts w:ascii="Times New Roman" w:cs="Times New Roman" w:eastAsia="Times New Roman" w:hAnsi="Times New Roman"/>
          <w:sz w:val="18"/>
          <w:szCs w:val="18"/>
          <w:color w:val="auto"/>
        </w:rPr>
        <w:t>”); and (vi) any other piece of information that allows the identification of such natural person, or his or her family, or permits the collection or analysis of any data related to an identified person’s health or sexual orientation. There have been no breaches, violations, outages or unauthorized uses of or accesses to same, except for those that have been remedied without material cost or liability or the duty to notify any other person, nor any incidents under internal review or investigations relating to the same that, in each case, would reasonably be likely to result in a Material Adverse Effect. The Company and its subsidiaries are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Confidential Data, and Personal Data and to the protection of such IT Systems, Confidential Data, and Personal Data from unauthorized use, access, misappropriation or modification.</w:t>
      </w:r>
    </w:p>
    <w:p>
      <w:pPr>
        <w:spacing w:after="0" w:line="19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(zz)          </w:t>
      </w:r>
      <w:r>
        <w:rPr>
          <w:rFonts w:ascii="Times New Roman" w:cs="Times New Roman" w:eastAsia="Times New Roman" w:hAnsi="Times New Roman"/>
          <w:sz w:val="18"/>
          <w:szCs w:val="18"/>
          <w:u w:val="single" w:color="auto"/>
          <w:color w:val="auto"/>
        </w:rPr>
        <w:t>  Compliance with Data Privacy Laws</w:t>
      </w:r>
      <w:r>
        <w:rPr>
          <w:rFonts w:ascii="Times New Roman" w:cs="Times New Roman" w:eastAsia="Times New Roman" w:hAnsi="Times New Roman"/>
          <w:sz w:val="18"/>
          <w:szCs w:val="18"/>
          <w:color w:val="auto"/>
        </w:rPr>
        <w:t>. The Company and its subsidiaries are, and at all prior times were, in material compliance with all applicable state and federal data privacy and security laws and regulations, including without limitation HIPAA, CCPA, and the European Union General Data Protection Regulation (“</w:t>
      </w:r>
      <w:r>
        <w:rPr>
          <w:rFonts w:ascii="Times New Roman" w:cs="Times New Roman" w:eastAsia="Times New Roman" w:hAnsi="Times New Roman"/>
          <w:sz w:val="18"/>
          <w:szCs w:val="18"/>
          <w:b w:val="1"/>
          <w:bCs w:val="1"/>
          <w:color w:val="auto"/>
        </w:rPr>
        <w:t>GDPR</w:t>
      </w:r>
      <w:r>
        <w:rPr>
          <w:rFonts w:ascii="Times New Roman" w:cs="Times New Roman" w:eastAsia="Times New Roman" w:hAnsi="Times New Roman"/>
          <w:sz w:val="18"/>
          <w:szCs w:val="18"/>
          <w:color w:val="auto"/>
        </w:rPr>
        <w:t>”) (EU 2016/679) (collectively, the “</w:t>
      </w:r>
      <w:r>
        <w:rPr>
          <w:rFonts w:ascii="Times New Roman" w:cs="Times New Roman" w:eastAsia="Times New Roman" w:hAnsi="Times New Roman"/>
          <w:sz w:val="18"/>
          <w:szCs w:val="18"/>
          <w:b w:val="1"/>
          <w:bCs w:val="1"/>
          <w:color w:val="auto"/>
        </w:rPr>
        <w:t>Privacy Laws</w:t>
      </w:r>
      <w:r>
        <w:rPr>
          <w:rFonts w:ascii="Times New Roman" w:cs="Times New Roman" w:eastAsia="Times New Roman" w:hAnsi="Times New Roman"/>
          <w:sz w:val="18"/>
          <w:szCs w:val="18"/>
          <w:color w:val="auto"/>
        </w:rPr>
        <w:t>”). To ensure compliance with the Privacy Laws, the Company and its subsidiaries have in place, comply with, and take appropriate steps reasonably designed to ensure compliance in all material respects with their policies and procedures relating to data privacy and security and the collection, storage, use, processing, disclosure, handling, and analysis of Personal Data and Confidential Data (the “</w:t>
      </w:r>
      <w:r>
        <w:rPr>
          <w:rFonts w:ascii="Times New Roman" w:cs="Times New Roman" w:eastAsia="Times New Roman" w:hAnsi="Times New Roman"/>
          <w:sz w:val="18"/>
          <w:szCs w:val="18"/>
          <w:b w:val="1"/>
          <w:bCs w:val="1"/>
          <w:color w:val="auto"/>
        </w:rPr>
        <w:t>Policies</w:t>
      </w:r>
      <w:r>
        <w:rPr>
          <w:rFonts w:ascii="Times New Roman" w:cs="Times New Roman" w:eastAsia="Times New Roman" w:hAnsi="Times New Roman"/>
          <w:sz w:val="18"/>
          <w:szCs w:val="18"/>
          <w:color w:val="auto"/>
        </w:rPr>
        <w:t>”). The Company and its subsidiaries have at all times made all disclosures to users or customers required by applicable laws and regulatory rules or requirements, and none of such disclosures made or contained in any Policy have been inaccurate or in violation of any applicable laws and regulatory rules or requirements in any material respect. The Company further certifies that neither it nor any subsidiary: (i) has received notice of any actual or potential liability under or relating to, or actual or potential violation of, any of the Privacy Laws, and has no knowledge of any event or condition that would reasonably be expected to result in any such notice; (ii) is currently conducting or paying for, in whole or in part, any investigation, remediation, or other corrective action pursuant to any Privacy Law; or (iii) is a party to any order, decree, or agreement that imposes any obligation or liability under any Privacy Law.</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(aaa)        </w:t>
      </w:r>
      <w:r>
        <w:rPr>
          <w:rFonts w:ascii="Times New Roman" w:cs="Times New Roman" w:eastAsia="Times New Roman" w:hAnsi="Times New Roman"/>
          <w:sz w:val="18"/>
          <w:szCs w:val="18"/>
          <w:u w:val="single" w:color="auto"/>
          <w:color w:val="auto"/>
        </w:rPr>
        <w:t>  No Contract Terminations</w:t>
      </w:r>
      <w:r>
        <w:rPr>
          <w:rFonts w:ascii="Times New Roman" w:cs="Times New Roman" w:eastAsia="Times New Roman" w:hAnsi="Times New Roman"/>
          <w:sz w:val="18"/>
          <w:szCs w:val="18"/>
          <w:color w:val="auto"/>
        </w:rPr>
        <w:t>. Neither the Company nor any of its subsidiaries has sent or received any communication regarding termination of, or intent not to renew, any of the contracts or agreements referred to or described in any preliminary prospectus, the Prospectus or any free writing prospectus, or referred to or described in, or filed as an exhibit to, the Registration Statement, or any document incorporated by reference therein, and no such termination or non-renewal has been threatened by the Company or any of its subsidiaries or, to the Company’s knowledge, any other party to any such contract or agreement, which threat of termination or non-renewal has not been rescinded as of the date hereof.</w:t>
      </w:r>
    </w:p>
    <w:p>
      <w:pPr>
        <w:spacing w:after="0" w:line="18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(bbb)       </w:t>
      </w:r>
      <w:r>
        <w:rPr>
          <w:rFonts w:ascii="Times New Roman" w:cs="Times New Roman" w:eastAsia="Times New Roman" w:hAnsi="Times New Roman"/>
          <w:sz w:val="18"/>
          <w:szCs w:val="18"/>
          <w:u w:val="single" w:color="auto"/>
          <w:color w:val="auto"/>
        </w:rPr>
        <w:t>  Dividend Restrictions</w:t>
      </w:r>
      <w:r>
        <w:rPr>
          <w:rFonts w:ascii="Times New Roman" w:cs="Times New Roman" w:eastAsia="Times New Roman" w:hAnsi="Times New Roman"/>
          <w:sz w:val="18"/>
          <w:szCs w:val="18"/>
          <w:color w:val="auto"/>
        </w:rPr>
        <w:t>. No subsidiary of the Company is prohibited or restricted, directly or indirectly, from paying dividends to the Company, or from making any other distribution with respect to such subsidiary’s equity securities or from repaying to the Company or any other subsidiary of the Company any amounts that may from time to time become due under any loans or advances to such subsidiary from the Company or from transferring any property or assets to the Company or to any other subsidiary.</w:t>
      </w:r>
    </w:p>
    <w:p>
      <w:pPr>
        <w:spacing w:after="0" w:line="18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(ccc)        </w:t>
      </w:r>
      <w:r>
        <w:rPr>
          <w:rFonts w:ascii="Times New Roman" w:cs="Times New Roman" w:eastAsia="Times New Roman" w:hAnsi="Times New Roman"/>
          <w:sz w:val="18"/>
          <w:szCs w:val="18"/>
          <w:u w:val="single" w:color="auto"/>
          <w:color w:val="auto"/>
        </w:rPr>
        <w:t>  Outbound Investment Security Program</w:t>
      </w:r>
      <w:r>
        <w:rPr>
          <w:rFonts w:ascii="Times New Roman" w:cs="Times New Roman" w:eastAsia="Times New Roman" w:hAnsi="Times New Roman"/>
          <w:sz w:val="18"/>
          <w:szCs w:val="18"/>
          <w:color w:val="auto"/>
        </w:rPr>
        <w:t>. Neither the Company nor any of its subsidiaries is a “covered foreign person”, as that term is defined in 31 C.F.R. § 850.209. Neither the Company nor any of its subsidiaries currently engages, or has plans to engage, directly or indirectly, in a “covered activity”, as that term is defined in in 31 C.F.R. § 850.208 (“</w:t>
      </w:r>
      <w:r>
        <w:rPr>
          <w:rFonts w:ascii="Times New Roman" w:cs="Times New Roman" w:eastAsia="Times New Roman" w:hAnsi="Times New Roman"/>
          <w:sz w:val="18"/>
          <w:szCs w:val="18"/>
          <w:u w:val="single" w:color="auto"/>
          <w:color w:val="auto"/>
        </w:rPr>
        <w:t>Covered Activity</w:t>
      </w:r>
      <w:r>
        <w:rPr>
          <w:rFonts w:ascii="Times New Roman" w:cs="Times New Roman" w:eastAsia="Times New Roman" w:hAnsi="Times New Roman"/>
          <w:sz w:val="18"/>
          <w:szCs w:val="18"/>
          <w:color w:val="auto"/>
        </w:rPr>
        <w:t>”). The Company does not have any joint ventures that engage in or plan to engage in any Covered Activity. The Company also does not, directly or indirectly, hold a board seat on, have a voting or equity interest in, or have any contractual power to direct or cause the direction of the management or policies of any person or persons that engages or plans to engage in any Covered Activity.</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certificate signed by any officer of the Company or any of its subsidiaries and delivered to any Underwriter or to counsel for the Underwriters in connection with the offering, or the purchase and sale, of the Offered Shares shall be deemed a representation and warranty by the Company to each Underwriter as to the matters covered thereby.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a reasonable basis for making each of the representations set forth in this Section 1. The Company acknowledges that the Underwriters and, for purposes of the opinions to be delivered pursuant to Section 6, counsel to the Company and counsel to the Underwriters, will rely upon the accuracy and truthfulness of the foregoing representations and hereby consents to such reliance.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u w:val="single" w:color="auto"/>
          <w:color w:val="auto"/>
        </w:rPr>
        <w:t>  Purchase, Sale and Delivery of the Offered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The Firm Shares</w:t>
      </w:r>
      <w:r>
        <w:rPr>
          <w:rFonts w:ascii="Times New Roman" w:cs="Times New Roman" w:eastAsia="Times New Roman" w:hAnsi="Times New Roman"/>
          <w:sz w:val="18"/>
          <w:szCs w:val="18"/>
          <w:color w:val="auto"/>
        </w:rPr>
        <w:t xml:space="preserve">. Upon the terms herein set forth, the Company agrees to issue and sell to the several Underwriters an aggregate of 10,345,000 Firm Shares. On the basis of the representations, warranties and agreements herein contained, and upon the terms but subject to the conditions herein set forth, the Underwriters agree, severally and not jointly, to purchase from the Company the respective number of Firm Shares set forth opposite their names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The purchase price per Firm Share to be paid by the several Underwriters to the Company shall be $27.26 per share.</w:t>
      </w:r>
    </w:p>
    <w:p>
      <w:pPr>
        <w:spacing w:after="0" w:line="180"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The First Closing Date</w:t>
      </w:r>
      <w:r>
        <w:rPr>
          <w:rFonts w:ascii="Times New Roman" w:cs="Times New Roman" w:eastAsia="Times New Roman" w:hAnsi="Times New Roman"/>
          <w:sz w:val="18"/>
          <w:szCs w:val="18"/>
          <w:color w:val="auto"/>
        </w:rPr>
        <w:t>. Delivery of the Firm Shares to be purchased by the Underwriters and payment therefor shall be made at the offices of Wilmer Cutler Pickering Hale and Dorr LLP (or such other place as may be agreed to by the Company and the Representatives) at 9:00 a.m. New York City time, on April 6, 2026 or such other time and date not later than 1:30 p.m. New York City time, on April 6, 2026 or as the Representatives shall designate by notice to the Company (the time and date of such closing are called the “</w:t>
      </w:r>
      <w:r>
        <w:rPr>
          <w:rFonts w:ascii="Times New Roman" w:cs="Times New Roman" w:eastAsia="Times New Roman" w:hAnsi="Times New Roman"/>
          <w:sz w:val="18"/>
          <w:szCs w:val="18"/>
          <w:b w:val="1"/>
          <w:bCs w:val="1"/>
          <w:color w:val="auto"/>
        </w:rPr>
        <w:t>First Closing Date</w:t>
      </w:r>
      <w:r>
        <w:rPr>
          <w:rFonts w:ascii="Times New Roman" w:cs="Times New Roman" w:eastAsia="Times New Roman" w:hAnsi="Times New Roman"/>
          <w:sz w:val="18"/>
          <w:szCs w:val="18"/>
          <w:color w:val="auto"/>
        </w:rPr>
        <w:t>”). The Company hereby acknowledges that circumstances under which the Representatives may provide notice to postpone the First Closing Date as originally scheduled include, but are not limited to, any determination by the Company or the Representatives to recirculate to the public copies of an amended or supplemented Prospectus or a delay as contemplated by the provisions of Section 11.</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The Option Shares; Option Closing Date</w:t>
      </w:r>
      <w:r>
        <w:rPr>
          <w:rFonts w:ascii="Times New Roman" w:cs="Times New Roman" w:eastAsia="Times New Roman" w:hAnsi="Times New Roman"/>
          <w:sz w:val="18"/>
          <w:szCs w:val="18"/>
          <w:color w:val="auto"/>
        </w:rPr>
        <w:t>. In addition, on the basis of the representations, warranties and agreements herein contained, and upon the terms but subject to the conditions herein set forth, the Company hereby grants an option to the several Underwriters to purchase, severally and not jointly, up to an aggregate of 1,551,750 Option Shares from the Company at the purchase price per share to be paid by the Underwriters for the Firm Shares. The option granted hereunder may be exercised at any time and from time to time in whole or in part upon notice by the Representatives to the Company, which notice may be given at any time within 30 days from the date of this Agreement. Such notice shall set forth (i) the aggregate number of Option Shares as to which the Underwriters are exercising the option and (ii) the time, date and place at which the Option Shares will be delivered (which time and date may be simultaneous with, but not earlier than, the First Closing Date; and in the event that such time and date are simultaneous with the First Closing Date, the term “</w:t>
      </w:r>
      <w:r>
        <w:rPr>
          <w:rFonts w:ascii="Times New Roman" w:cs="Times New Roman" w:eastAsia="Times New Roman" w:hAnsi="Times New Roman"/>
          <w:sz w:val="18"/>
          <w:szCs w:val="18"/>
          <w:b w:val="1"/>
          <w:bCs w:val="1"/>
          <w:color w:val="auto"/>
        </w:rPr>
        <w:t>First Closing Date</w:t>
      </w:r>
      <w:r>
        <w:rPr>
          <w:rFonts w:ascii="Times New Roman" w:cs="Times New Roman" w:eastAsia="Times New Roman" w:hAnsi="Times New Roman"/>
          <w:sz w:val="18"/>
          <w:szCs w:val="18"/>
          <w:color w:val="auto"/>
        </w:rPr>
        <w:t>” shall refer to the time and date of delivery of the Firm Shares and such Option Shares). Any such time and date of delivery, if subsequent to the First Closing Date, is called an “</w:t>
      </w:r>
      <w:r>
        <w:rPr>
          <w:rFonts w:ascii="Times New Roman" w:cs="Times New Roman" w:eastAsia="Times New Roman" w:hAnsi="Times New Roman"/>
          <w:sz w:val="18"/>
          <w:szCs w:val="18"/>
          <w:b w:val="1"/>
          <w:bCs w:val="1"/>
          <w:color w:val="auto"/>
        </w:rPr>
        <w:t>Option Closing Date</w:t>
      </w:r>
      <w:r>
        <w:rPr>
          <w:rFonts w:ascii="Times New Roman" w:cs="Times New Roman" w:eastAsia="Times New Roman" w:hAnsi="Times New Roman"/>
          <w:sz w:val="18"/>
          <w:szCs w:val="18"/>
          <w:color w:val="auto"/>
        </w:rPr>
        <w:t xml:space="preserve">,” shall be determined by the Representatives and shall not be earlier than three or later than five full Business Days after delivery of such notice of exercise. If any Option Shares are to be purchased, (a) each Underwriter agrees, severally and not jointly, to purchase the number of Option Shares (subject to such adjustments to eliminate fractional shares as the Representatives may determine) that bears the same proportion to the total number of Option Shares to be purchased as the number of Firm Shares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opposite the name of such Underwriter bears to the total number of Firm Shares and (b) the Company agrees to sell the number of Option Shares set forth in the first paragraph of this Agreement (subject to such adjustments to eliminate fractional shares as the Representatives may determine). The Representatives may cancel the option at any time prior to its expiration by giving written notice of such cancellation to the Company.</w:t>
      </w:r>
    </w:p>
    <w:p>
      <w:pPr>
        <w:spacing w:after="0" w:line="19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Public Offering of the Offered Shares</w:t>
      </w:r>
      <w:r>
        <w:rPr>
          <w:rFonts w:ascii="Times New Roman" w:cs="Times New Roman" w:eastAsia="Times New Roman" w:hAnsi="Times New Roman"/>
          <w:sz w:val="18"/>
          <w:szCs w:val="18"/>
          <w:color w:val="auto"/>
        </w:rPr>
        <w:t>. The Representatives hereby advise the Company that the Underwriters intend to offer for sale to the public, initially on the terms set forth in the Registration Statement, the Time of Sale Prospectus and the Prospectus, their respective portions of the Offered Shares as soon after this Agreement has been executed as the Representatives, in their sole judgment, have determined is advisable and practicable.</w:t>
      </w:r>
    </w:p>
    <w:p>
      <w:pPr>
        <w:spacing w:after="0" w:line="180"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Payment for the Offered Shares</w:t>
      </w:r>
      <w:r>
        <w:rPr>
          <w:rFonts w:ascii="Times New Roman" w:cs="Times New Roman" w:eastAsia="Times New Roman" w:hAnsi="Times New Roman"/>
          <w:sz w:val="18"/>
          <w:szCs w:val="18"/>
          <w:color w:val="auto"/>
        </w:rPr>
        <w:t>. (i) Payment for the Offered Shares shall be made at the First Closing Date (and, if applicable, at each Option Closing Date) by wire transfer of immediately available funds to the order of the Company. (ii) It is understood that the Representatives have been authorized, for their own account and the accounts of the several Underwriters, to accept delivery of and receipt for, and make payment of the purchase price for, the Firm Shares and any Option Shares the Underwriters have agreed to purchase. Each of Leerink Partners LLC and TD Securities (USA) LLC, individually and not as the Representatives of the Underwriters, may (but shall not be obligated to) make payment for any Offered Shares to be purchased by any Underwriter whose funds shall not have been received by the Representatives by the First Closing Date or the applicable Option Closing Date, as the case may be, for the account of such Underwriter, but any such payment shall not relieve such Underwriter from any of its obligations under this Agreement.</w:t>
      </w:r>
    </w:p>
    <w:p>
      <w:pPr>
        <w:spacing w:after="0" w:line="19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Delivery of the Offered Shares</w:t>
      </w:r>
      <w:r>
        <w:rPr>
          <w:rFonts w:ascii="Times New Roman" w:cs="Times New Roman" w:eastAsia="Times New Roman" w:hAnsi="Times New Roman"/>
          <w:sz w:val="18"/>
          <w:szCs w:val="18"/>
          <w:color w:val="auto"/>
        </w:rPr>
        <w:t>. The Company shall deliver, or cause to be delivered to the Representatives for the accounts of the several Underwriters the Firm Shares at the First Closing Date, against the irrevocable release of a wire transfer of immediately available funds for the amount of the purchase price therefor. The Company shall also deliver, or cause to be delivered through the facilities of DTC unless the Representatives shall otherwise instruct, to the Representatives for the accounts of the several Underwriters, the Option Shares the Underwriters have agreed to purchase at the First Closing Date or the applicable Option Closing Date, as the case may be, against the release of a wire transfer of immediately available funds for the amount of the purchase price therefor. If the Representatives so elect, delivery of the Offered Shares may be made by credit to the accounts designated by the Representatives through The Depository Trust Company’s full fast transfer or DWAC programs. The Offered Shares shall be registered in book-entry form in such names and denominations as the Representatives shall have requested at least two full Business Days prior to the First Closing Date (or the applicable Option Closing Date, as the case may be) and shall be made available for inspection on the Business Day preceding the First Closing Date (or the applicable Option Closing Date, as the case may be) at a location in New York City as the Representatives may designate. Time shall be of the essence, and delivery at the time and place specified in this Agreement is a further condition to the obligations of the Underwriters.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ind w:left="660"/>
        <w:spacing w:after="0"/>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u w:val="single" w:color="auto"/>
          <w:color w:val="auto"/>
        </w:rPr>
        <w:t>  Additional Covenants of the Company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Company further covenants and agrees with each Underwriter as follows:</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Commission Filing Fees</w:t>
      </w:r>
      <w:r>
        <w:rPr>
          <w:rFonts w:ascii="Times New Roman" w:cs="Times New Roman" w:eastAsia="Times New Roman" w:hAnsi="Times New Roman"/>
          <w:sz w:val="18"/>
          <w:szCs w:val="18"/>
          <w:color w:val="auto"/>
        </w:rPr>
        <w:t>. The Company agrees to pay the required Commission filing fees relating to the Offered Shares within the time required by Rule 456(b)(1) under the Securities Act without regard to the proviso therein and otherwise in accordance with Rules 456(b) and 457(r) under the Securities Act.</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Delivery of Registration Statement, Time of Sale Prospectus and Prospectus</w:t>
      </w:r>
      <w:r>
        <w:rPr>
          <w:rFonts w:ascii="Times New Roman" w:cs="Times New Roman" w:eastAsia="Times New Roman" w:hAnsi="Times New Roman"/>
          <w:sz w:val="18"/>
          <w:szCs w:val="18"/>
          <w:color w:val="auto"/>
        </w:rPr>
        <w:t>. The Company shall furnish to the Representatives in New York City, without charge, prior to 10:00 a.m. New York City time on the Business Day next succeeding the date of this Agreement and during the period when a prospectus relating to the Offered Shares is required by the Securities Act to be delivered (whether physically or through compliance with Rule 172 under the Securities Act or any similar rule) in connection with sales of the Offered Shares, as many copies of the Time of Sale Prospectus, the Prospectus and any supplements and amendments thereto or to the Registration Statement as the Representatives may reasonably request.</w:t>
      </w:r>
    </w:p>
    <w:p>
      <w:pPr>
        <w:spacing w:after="0" w:line="18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Representatives’ Review of Proposed Amendments and Supplements</w:t>
      </w:r>
      <w:r>
        <w:rPr>
          <w:rFonts w:ascii="Times New Roman" w:cs="Times New Roman" w:eastAsia="Times New Roman" w:hAnsi="Times New Roman"/>
          <w:sz w:val="18"/>
          <w:szCs w:val="18"/>
          <w:color w:val="auto"/>
        </w:rPr>
        <w:t>. During the period when a prospectus relating to the Offered Shares is required by the Securities Act to be delivered (whether physically or through compliance with Rule 172 under the Securities Act or any similar rule), the Company (i) will furnish to the Representatives for review, a reasonable period of time prior to the proposed time of filing of any proposed amendment or supplement to the Registration Statement, a copy of each such amendment or supplement and (ii) will not amend or supplement the Registration Statement (including any amendment or supplement through incorporation of any report filed under the Exchange Act) without the Representatives’ prior written consent. Prior to amending or supplementing any preliminary prospectus, the Time of Sale Prospectus or the Prospectus (including any amendment or supplement through incorporation of any report filed under the Exchange Act), the Company shall furnish to the Representatives for review, a reasonable amount of time prior to the time of filing or use of the proposed amendment or supplement, a copy of each such proposed amendment or supplement. The Company shall not file or use any such proposed amendment or supplement without the Representatives’ prior written consent. The Company shall file with the Commission within the applicable period specified in Rule 424(b) under the Securities Act any prospectus required to be filed pursuant to such Rule.</w:t>
      </w:r>
    </w:p>
    <w:p>
      <w:pPr>
        <w:spacing w:after="0" w:line="192"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Free Writing Prospectuses</w:t>
      </w:r>
      <w:r>
        <w:rPr>
          <w:rFonts w:ascii="Times New Roman" w:cs="Times New Roman" w:eastAsia="Times New Roman" w:hAnsi="Times New Roman"/>
          <w:sz w:val="18"/>
          <w:szCs w:val="18"/>
          <w:color w:val="auto"/>
        </w:rPr>
        <w:t xml:space="preserve">. The Company shall furnish to the Representatives for review, a reasonable amount of time prior to the proposed time of filing or use thereof, a copy of each proposed free writing prospectus or any amendment or supplement thereto prepared by or on behalf of, used by, or referred to by the Company, and the Company shall not file, use or refer to any proposed free writing prospectus or any amendment or supplement thereto without the Representatives’ prior written consent. The Company shall furnish to each Underwriter, without charge, as many copies of any free writing prospectus prepared by or on behalf of, used by or referred to by the Company as such Underwriter may reasonably request. If at any time when a prospectus is required by the Securities Act to be delivered (whether physically or through compliance with Rule 172 under the Securities Act or any similar rule) in connection with sales of the Offered Shares (but in any event if at any time through and including the First Closing Date) there occurred or occurs an event or development as a result of which any free writing prospectus prepared by or on behalf of, used by, or referred to by the Company conflicted or would conflict with the information contained in the Registration Statement or included or would include an untrue statement of a material fact or omitted or would omit to state a material fact necessary in order to make the statements therein, in the light of the circumstances prevailing at such time, not misleading, the Company shall promptly amend or supplement such free writing prospectus to eliminate or correct such conflict so that the statements in such free writing prospectus as so amended or supplemented will not include an untrue statement of a material fact or omit to state a material fact necessary in order to make the statements therein, in the light of the circumstances prevailing at such time, not misleading, as the case may be;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prior to amending or supplementing any such free writing prospectus, the Company shall furnish to the Representatives for review, a reasonable amount of time prior to the proposed time of filing or use thereof, a copy of such proposed amended or supplemented free writing prospectus, and the Company shall not file, use or refer to any such amended or supplemented free writing prospectus without the Representatives’ prior written consent.</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Filing of Underwriter Free Writing Prospectuses</w:t>
      </w:r>
      <w:r>
        <w:rPr>
          <w:rFonts w:ascii="Times New Roman" w:cs="Times New Roman" w:eastAsia="Times New Roman" w:hAnsi="Times New Roman"/>
          <w:sz w:val="18"/>
          <w:szCs w:val="18"/>
          <w:color w:val="auto"/>
        </w:rPr>
        <w:t>. The Company shall not take any action that would result in an Underwriter or the Company being required to file with the Commission pursuant to Rule 433(d) under the Securities Act a free writing prospectus prepared by or on behalf of such Underwriter that such Underwriter otherwise would not have been required to file thereunder.</w:t>
      </w:r>
    </w:p>
    <w:p>
      <w:pPr>
        <w:spacing w:after="0" w:line="17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Amendments and Supplements to Time of Sale Prospectus</w:t>
      </w:r>
      <w:r>
        <w:rPr>
          <w:rFonts w:ascii="Times New Roman" w:cs="Times New Roman" w:eastAsia="Times New Roman" w:hAnsi="Times New Roman"/>
          <w:sz w:val="18"/>
          <w:szCs w:val="18"/>
          <w:color w:val="auto"/>
        </w:rPr>
        <w:t>. If the Time of Sale Prospectus is being used to solicit offers to buy the Offered Shares at a time when the Prospectus is not yet available to prospective purchasers, and any event shall occur or condition exist as a result of which it is necessary to amend or supplement the Time of Sale Prospectus so that the Time of Sale Prospectus does not include an untrue statement of a material fact or omit to state a material fact necessary in order to make the statements therein, in the light of the circumstances when delivered to a prospective purchaser, not misleading, or if any event shall occur or condition exist as a result of which the Time of Sale Prospectus conflicts with the information contained in the Registration Statement, or if, in the opinion of counsel for the Underwriters, it is necessary to amend or supplement the Time of Sale Prospectus to comply with applicable Law, the Company shall (subject to Section 3(b) and Section 3(c)) promptly prepare, file with the Commission and furnish, at its own expense, to the Underwriters and to any dealer upon request, either amendments or supplements to the Time of Sale Prospectus so that the statements in the Time of Sale Prospectus as so amended or supplemented will not include an untrue statement of a material fact or omit to state a material fact necessary in order to make the statements therein, in the light of the circumstances when delivered to a prospective purchaser, not misleading or so that the Time of Sale Prospectus, as amended or supplemented, will no longer conflict with the information contained in the Registration Statement, or so that the Time of Sale Prospectus, as amended or supplemented, will comply with applicable Law.</w:t>
      </w:r>
    </w:p>
    <w:p>
      <w:pPr>
        <w:spacing w:after="0" w:line="190"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(g)              Certain Notifications and Required Actions. After the date of this Agreement, the Company shall promptly advise the Representatives in writing of: (i) the receipt of any comments of, or requests for additional or supplemental information from, the Commission; (ii) the time and date of any filing of any post-effective amendment to the Registration Statement or any amendment or supplement to any preliminary prospectus, the Time of Sale Prospectus, any free writing prospectus or the Prospectus; (iii) the time and date that any post-effective amendment to the Registration Statement becomes effective; and (iv) the issuance by the Commission of any stop order suspending the effectiveness of the Registration Statement or any post-effective amendment thereto or any amendment or supplement to any preliminary prospectus, the Time of Sale Prospectus or the Prospectus or of any order preventing or suspending the use of any preliminary prospectus, the Time of Sale Prospectus, any free writing prospectus or the Prospectus, or of any proceedings to remove, suspend or terminate from listing or quotation the Shares from any securities exchange upon which they are listed for trading or included or designated for quotation, or of the threatening or initiation of any proceedings for any of such purposes. If the Commission shall enter any such stop order at any time, the Company will use its best efforts to obtain the lifting of such order at the earliest possible moment. Additionally, the Company agrees that it shall comply with all applicable provisions of Rule 424(b), Rule 433 and Rule 430B under the Securities Act and will use its reasonable efforts to confirm that any filings made by the Company under Rule 424(b) or Rule 433 were received in a timely manner by the Commission. If, after the date of this Agreement and during any time when a prospectus is required by the Securities Act to be delivered (whether physically or through compliance with Rule 172 under the Securities Act or any similar rule), the Company receives notice pursuant to Rule 401(g)(2) under the Securities Act from the Commission or otherwise ceases to be eligible to use the automatic shelf registration form, the Company shall promptly advise the Representatives in writing of such notice or ineligibility and will (i) promptly file a new registration statement or post-effective amendment on the proper form relating to the Offered Shares, (ii) use its best efforts to cause such registration statement or post-effective amendment to be declared effective by the Commission as soon as practicable and (iii) promptly notify the Representatives in writing of such effectiveness.</w:t>
      </w:r>
    </w:p>
    <w:p>
      <w:pPr>
        <w:spacing w:after="0" w:line="19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  Amendments and Supplements to the Prospectus and Other Securities Act Matters</w:t>
      </w:r>
      <w:r>
        <w:rPr>
          <w:rFonts w:ascii="Times New Roman" w:cs="Times New Roman" w:eastAsia="Times New Roman" w:hAnsi="Times New Roman"/>
          <w:sz w:val="18"/>
          <w:szCs w:val="18"/>
          <w:color w:val="auto"/>
        </w:rPr>
        <w:t>. If any event shall occur or condition exist as a result of which it is necessary to amend or supplement the Prospectus so that the Prospectus does not include an untrue statement of a material fact or omit to state a material fact necessary in order to make the statements therein, in the light of the circumstances when the Prospectus is delivered (whether physically or through compliance with Rule 172 under the Securities Act or any similar rule) to a purchaser, not misleading, or if in the opinion of the Representatives or counsel for the Underwriters it is otherwise necessary to amend or supplement the Prospectus to comply with applicable Law, the Company agrees (subject to Section 3(b) and Section 3(c)) to promptly prepare, file with the Commission and furnish, at its own expense, to the Underwriters and to any dealer upon request, amendments or supplements to the Prospectus so that the statements in the Prospectus as so amended or supplemented will not include an untrue statement of a material fact or omit to state a material fact necessary in order to make the statements therein, in the light of the circumstances when the Prospectus is delivered (whether physically or through compliance with Rule 172 under the Securities Act or any similar rule) to a purchaser, not misleading or so that the Prospectus, as amended or supplemented, will comply with applicable Law. Neither the Representatives’ consent to, nor delivery of, any such amendment or supplement shall constitute a waiver of any of the Company’s obligations under Section 3(b) or Section 3(c).</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Blue Sky Compliance</w:t>
      </w:r>
      <w:r>
        <w:rPr>
          <w:rFonts w:ascii="Times New Roman" w:cs="Times New Roman" w:eastAsia="Times New Roman" w:hAnsi="Times New Roman"/>
          <w:sz w:val="18"/>
          <w:szCs w:val="18"/>
          <w:color w:val="auto"/>
        </w:rPr>
        <w:t>. The Company shall cooperate with the Representatives and counsel for the Underwriters to qualify or register the Offered Shares for sale under (or obtain exemptions from the application of) the state securities or blue sky Laws or Canadian provincial securities Laws (or other foreign Laws) of those jurisdictions designated by the Representatives, shall comply with such Laws and shall continue such qualifications, registrations and exemptions in effect so long as required for the distribution of the Offered Shares. The Company shall not be required to qualify as a foreign corporation or to take any action that would subject it to general service of process in any such jurisdiction where it is not presently qualified or where it would be subject to taxation as a foreign corporation. The Company will advise the Representatives promptly of the suspension of the qualification or registration of (or any such exemption relating to) the Offered Shares for offering, sale or trading in any jurisdiction or any initiation or threat of any proceeding for any such purpose, and in the event of the issuance of any order suspending such qualification, registration or exemption, the Company shall use its best efforts to obtain the withdrawal thereof at the earliest possible moment.</w:t>
      </w:r>
    </w:p>
    <w:p>
      <w:pPr>
        <w:spacing w:after="0" w:line="188"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u w:val="single" w:color="auto"/>
          <w:color w:val="auto"/>
        </w:rPr>
        <w:t>  Use of Proceeds</w:t>
      </w:r>
      <w:r>
        <w:rPr>
          <w:rFonts w:ascii="Times New Roman" w:cs="Times New Roman" w:eastAsia="Times New Roman" w:hAnsi="Times New Roman"/>
          <w:sz w:val="18"/>
          <w:szCs w:val="18"/>
          <w:color w:val="auto"/>
        </w:rPr>
        <w:t>. The Company shall apply the net proceeds from the sale of the Offered Shares sold by it in the manner described under the caption “Use of Proceeds” in the Registration Statement, the Time of Sale Prospectus and the Prospectus.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u w:val="single" w:color="auto"/>
          <w:color w:val="auto"/>
        </w:rPr>
        <w:t>  Transfer Agent</w:t>
      </w:r>
      <w:r>
        <w:rPr>
          <w:rFonts w:ascii="Times New Roman" w:cs="Times New Roman" w:eastAsia="Times New Roman" w:hAnsi="Times New Roman"/>
          <w:sz w:val="18"/>
          <w:szCs w:val="18"/>
          <w:color w:val="auto"/>
        </w:rPr>
        <w:t>. The Company shall engage and maintain, at its expense, a registrar and transfer agent for the Shares.</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u w:val="single" w:color="auto"/>
          <w:color w:val="auto"/>
        </w:rPr>
        <w:t>  Earnings Statement</w:t>
      </w:r>
      <w:r>
        <w:rPr>
          <w:rFonts w:ascii="Times New Roman" w:cs="Times New Roman" w:eastAsia="Times New Roman" w:hAnsi="Times New Roman"/>
          <w:sz w:val="18"/>
          <w:szCs w:val="18"/>
          <w:color w:val="auto"/>
        </w:rPr>
        <w:t>. The Company will make generally available to its security holders and to the Representatives as soon as practicable an earnings statement (which need not be audited) covering a period of at least twelve months beginning with the first fiscal quarter of the Company commencing after the date of this Agreement that will satisfy the provisions of Section 11(a) of the Securities Act and the rules and regulations of the Commission thereunder.</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(m)          </w:t>
      </w:r>
      <w:r>
        <w:rPr>
          <w:rFonts w:ascii="Times New Roman" w:cs="Times New Roman" w:eastAsia="Times New Roman" w:hAnsi="Times New Roman"/>
          <w:sz w:val="18"/>
          <w:szCs w:val="18"/>
          <w:u w:val="single" w:color="auto"/>
          <w:color w:val="auto"/>
        </w:rPr>
        <w:t>  Continued Compliance with Securities Laws</w:t>
      </w:r>
      <w:r>
        <w:rPr>
          <w:rFonts w:ascii="Times New Roman" w:cs="Times New Roman" w:eastAsia="Times New Roman" w:hAnsi="Times New Roman"/>
          <w:sz w:val="18"/>
          <w:szCs w:val="18"/>
          <w:color w:val="auto"/>
        </w:rPr>
        <w:t>. The Company will comply with the Securities Act and the Exchange Act so as to permit the completion of the distribution of the Offered Shares as contemplated by this Agreement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Registration Statement, the Time of Sale Prospectus and the Prospectus. Without limiting the generality of the foregoing, the Company will, during the period when a prospectus relating to the Offered Shares is required by the Securities Act to be delivered (whether physically or through compliance with Rule 172 under the Securities Act or any similar rule), file on a timely basis with the Commission and the Nasdaq all reports and documents required to be filed under the Exchange Act.</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           </w:t>
      </w:r>
      <w:r>
        <w:rPr>
          <w:rFonts w:ascii="Times New Roman" w:cs="Times New Roman" w:eastAsia="Times New Roman" w:hAnsi="Times New Roman"/>
          <w:sz w:val="18"/>
          <w:szCs w:val="18"/>
          <w:u w:val="single" w:color="auto"/>
          <w:color w:val="auto"/>
        </w:rPr>
        <w:t>  Listing</w:t>
      </w:r>
      <w:r>
        <w:rPr>
          <w:rFonts w:ascii="Times New Roman" w:cs="Times New Roman" w:eastAsia="Times New Roman" w:hAnsi="Times New Roman"/>
          <w:sz w:val="18"/>
          <w:szCs w:val="18"/>
          <w:color w:val="auto"/>
        </w:rPr>
        <w:t>. The Company will use its best efforts to list, subject to notice of issuance, the Offered Shares on the Nasdaq.</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(o)           </w:t>
      </w:r>
      <w:r>
        <w:rPr>
          <w:rFonts w:ascii="Times New Roman" w:cs="Times New Roman" w:eastAsia="Times New Roman" w:hAnsi="Times New Roman"/>
          <w:sz w:val="18"/>
          <w:szCs w:val="18"/>
          <w:u w:val="single" w:color="auto"/>
          <w:color w:val="auto"/>
        </w:rPr>
        <w:t>  Company to Provide Copy of the Prospectus in Form That May be Downloaded from the Internet</w:t>
      </w:r>
      <w:r>
        <w:rPr>
          <w:rFonts w:ascii="Times New Roman" w:cs="Times New Roman" w:eastAsia="Times New Roman" w:hAnsi="Times New Roman"/>
          <w:sz w:val="18"/>
          <w:szCs w:val="18"/>
          <w:color w:val="auto"/>
        </w:rPr>
        <w:t>. If requested by the Representatives, the Company shall cause to be prepared and delivered, at its expense, within one Business Day from the effective date of this Agreement, to the Underwriters, an “</w:t>
      </w:r>
      <w:r>
        <w:rPr>
          <w:rFonts w:ascii="Times New Roman" w:cs="Times New Roman" w:eastAsia="Times New Roman" w:hAnsi="Times New Roman"/>
          <w:sz w:val="18"/>
          <w:szCs w:val="18"/>
          <w:b w:val="1"/>
          <w:bCs w:val="1"/>
          <w:color w:val="auto"/>
        </w:rPr>
        <w:t>electronic Prospectus</w:t>
      </w:r>
      <w:r>
        <w:rPr>
          <w:rFonts w:ascii="Times New Roman" w:cs="Times New Roman" w:eastAsia="Times New Roman" w:hAnsi="Times New Roman"/>
          <w:sz w:val="18"/>
          <w:szCs w:val="18"/>
          <w:color w:val="auto"/>
        </w:rPr>
        <w:t>” to be used by the Underwriters in connection with the offering and sale of the Offered Shares. As used herein, the term “</w:t>
      </w:r>
      <w:r>
        <w:rPr>
          <w:rFonts w:ascii="Times New Roman" w:cs="Times New Roman" w:eastAsia="Times New Roman" w:hAnsi="Times New Roman"/>
          <w:sz w:val="18"/>
          <w:szCs w:val="18"/>
          <w:b w:val="1"/>
          <w:bCs w:val="1"/>
          <w:color w:val="auto"/>
        </w:rPr>
        <w:t>electronic Prospectus</w:t>
      </w:r>
      <w:r>
        <w:rPr>
          <w:rFonts w:ascii="Times New Roman" w:cs="Times New Roman" w:eastAsia="Times New Roman" w:hAnsi="Times New Roman"/>
          <w:sz w:val="18"/>
          <w:szCs w:val="18"/>
          <w:color w:val="auto"/>
        </w:rPr>
        <w:t>” means a form of Time of Sale Prospectus, and any amendment or supplement thereto, that meets each of the following conditions: (i) it shall be encoded in an electronic format, satisfactory to the Representatives, that may be transmitted electronically by the Representatives and the other Underwriters to offerees and purchasers of the Offered Shares; (ii) it shall disclose the same information as the paper Time of Sale Prospectus, except to the extent that graphic and image material cannot be disseminated electronically, in which case such graphic and image material shall be replaced in the electronic Prospectus with a fair and accurate narrative description or tabular representation of such material, as appropriate; and (iii) it shall be in or convertible into a paper format or an electronic format, satisfactory to the Representatives, that will allow investors to store and have continuously ready access to the Time of Sale Prospectus at any future time, without charge to investors (other than any fee charged for subscription to the Internet as a whole and for on-line time). The Company hereby confirms that it has included or will include in the Prospectus filed pursuant to EDGAR or otherwise with the Commission and in the Registration Statement at the time it was declared effective an undertaking that, upon receipt of a request by an investor or his or her representative, the Company shall transmit or cause to be transmitted promptly, without charge, a paper copy of the Time of Sale Prospectus.</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jc w:val="both"/>
        <w:ind w:firstLine="1296"/>
        <w:spacing w:after="0" w:line="267" w:lineRule="auto"/>
        <w:rPr>
          <w:sz w:val="20"/>
          <w:szCs w:val="20"/>
          <w:color w:val="auto"/>
        </w:rPr>
      </w:pPr>
      <w:r>
        <w:rPr>
          <w:rFonts w:ascii="Times New Roman" w:cs="Times New Roman" w:eastAsia="Times New Roman" w:hAnsi="Times New Roman"/>
          <w:sz w:val="17"/>
          <w:szCs w:val="17"/>
          <w:color w:val="auto"/>
        </w:rPr>
        <w:t>(p)           </w:t>
      </w:r>
      <w:r>
        <w:rPr>
          <w:rFonts w:ascii="Times New Roman" w:cs="Times New Roman" w:eastAsia="Times New Roman" w:hAnsi="Times New Roman"/>
          <w:sz w:val="17"/>
          <w:szCs w:val="17"/>
          <w:u w:val="single" w:color="auto"/>
          <w:color w:val="auto"/>
        </w:rPr>
        <w:t>  Agreement Not to Offer or Sell Additional Shares</w:t>
      </w:r>
      <w:r>
        <w:rPr>
          <w:rFonts w:ascii="Times New Roman" w:cs="Times New Roman" w:eastAsia="Times New Roman" w:hAnsi="Times New Roman"/>
          <w:sz w:val="17"/>
          <w:szCs w:val="17"/>
          <w:color w:val="auto"/>
        </w:rPr>
        <w:t>. During the period commencing on and including the date hereof and continuing through and including the 60th day following the date of the Prospectus (such period, as extended as described below, being referred to herein as the “</w:t>
      </w:r>
      <w:r>
        <w:rPr>
          <w:rFonts w:ascii="Times New Roman" w:cs="Times New Roman" w:eastAsia="Times New Roman" w:hAnsi="Times New Roman"/>
          <w:sz w:val="17"/>
          <w:szCs w:val="17"/>
          <w:b w:val="1"/>
          <w:bCs w:val="1"/>
          <w:color w:val="auto"/>
        </w:rPr>
        <w:t>Lock-up Period</w:t>
      </w:r>
      <w:r>
        <w:rPr>
          <w:rFonts w:ascii="Times New Roman" w:cs="Times New Roman" w:eastAsia="Times New Roman" w:hAnsi="Times New Roman"/>
          <w:sz w:val="17"/>
          <w:szCs w:val="17"/>
          <w:color w:val="auto"/>
        </w:rPr>
        <w:t>”), the Company will not, without the prior written consent of the Representatives (which consent may be withheld in its sole discretion), directly or indirectly: (i) sell, offer to sell, contract to sell or lend any Shares or Related Securities (as defined below); (ii) effect any short sale, or establish or increase any “put equivalent position” (as defined in Rule 16a-1(h) under the Exchange Act) or liquidate or decrease any “call equivalent position” (as defined in Rule 16a-1(b) under the Exchange Act) of any Shares or Related Securities; (iii) pledge, hypothecate or grant any security interest in any Shares or Related Securities, or in any other way transfer or dispose of any Shares or Related Securities; (iv) enter into any swap, hedge or similar arrangement or agreement that transfers, in whole or in part, the economic risk of ownership of any Shares or Related Securities, regardless of whether any such transaction is to be settled in securities, in cash or otherwise; (v) announce the offering of any Shares or Related Securities; (vi) submit or file any registration statement under the Securities Act in respect of any Shares or Related Securities (other than as contemplated by this Agreement with respect to the Offered Shares); (vii) effect a revise stock split, recapitalization, share consolidation, reclassification or similar transaction affecting the outstanding Shares, or</w:t>
      </w:r>
    </w:p>
    <w:p>
      <w:pPr>
        <w:spacing w:after="0" w:line="2" w:lineRule="exact"/>
        <w:rPr>
          <w:sz w:val="20"/>
          <w:szCs w:val="20"/>
          <w:color w:val="auto"/>
        </w:rPr>
      </w:pPr>
    </w:p>
    <w:p>
      <w:pPr>
        <w:jc w:val="both"/>
        <w:ind w:firstLine="8"/>
        <w:spacing w:after="0" w:line="251" w:lineRule="auto"/>
        <w:tabs>
          <w:tab w:leader="none" w:pos="40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publicly announce the intention to do any of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may (A) effect the transactions contemplated hereby and (B) issue Shares or options to purchase Shares, or issue Shares upon exercise of warrants or options, pursuant to any stock option, stock bonus or other stock plan or arrangement described in the Registration Statement, the Time of Sale Prospectus and the Prospectus or pursuant to plans approved by the Company’s stockholders subsequent to the date of the Prospectus, (C) file any registration statements on Form S-8 with respect to any stock option, stock bonus or other stock plan or arrangement of the Company, (D) issue Shares upon the exercise of any warrants outstanding on the date hereof, (E) issue Shares in full or partial satisfaction of milestone obligations due to third parties; and (F) issue, in connection with mergers or acquisitions of businesses, entities, property or other assets, joint ventures, licenses, commercial relationships or strategic alliances, of Shares (the shares referred to in clause (F) and so issued, the “</w:t>
      </w:r>
      <w:r>
        <w:rPr>
          <w:rFonts w:ascii="Times New Roman" w:cs="Times New Roman" w:eastAsia="Times New Roman" w:hAnsi="Times New Roman"/>
          <w:sz w:val="18"/>
          <w:szCs w:val="18"/>
          <w:b w:val="1"/>
          <w:bCs w:val="1"/>
          <w:color w:val="auto"/>
        </w:rPr>
        <w:t>Carveout Shares</w:t>
      </w:r>
      <w:r>
        <w:rPr>
          <w:rFonts w:ascii="Times New Roman" w:cs="Times New Roman" w:eastAsia="Times New Roman" w:hAnsi="Times New Roman"/>
          <w:sz w:val="18"/>
          <w:szCs w:val="18"/>
          <w:color w:val="auto"/>
        </w:rPr>
        <w:t xml:space="preserve">”) not exceeding in the aggregate that number of shares equal to five percent (5%) of the Company’s outstanding Shares, determined as of the First Closing Date, provided that the Company shall cause each such recipient of Carveout Shares to execute and deliver to the Representatives a lock-up agreement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for the balance of the Lock-up Period. For purposes of the foregoing, “</w:t>
      </w:r>
      <w:r>
        <w:rPr>
          <w:rFonts w:ascii="Times New Roman" w:cs="Times New Roman" w:eastAsia="Times New Roman" w:hAnsi="Times New Roman"/>
          <w:sz w:val="18"/>
          <w:szCs w:val="18"/>
          <w:b w:val="1"/>
          <w:bCs w:val="1"/>
          <w:color w:val="auto"/>
        </w:rPr>
        <w:t>Related Securities</w:t>
      </w:r>
      <w:r>
        <w:rPr>
          <w:rFonts w:ascii="Times New Roman" w:cs="Times New Roman" w:eastAsia="Times New Roman" w:hAnsi="Times New Roman"/>
          <w:sz w:val="18"/>
          <w:szCs w:val="18"/>
          <w:color w:val="auto"/>
        </w:rPr>
        <w:t>” shall mean any options or warrants or other rights to acquire Shares or any securities exchangeable or exercisable for or convertible into Shares, or to acquire other securities or rights ultimately exchangeable or exercisable for, or convertible into, Shares.</w:t>
      </w:r>
    </w:p>
    <w:p>
      <w:pPr>
        <w:spacing w:after="0" w:line="19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(q)           </w:t>
      </w:r>
      <w:r>
        <w:rPr>
          <w:rFonts w:ascii="Times New Roman" w:cs="Times New Roman" w:eastAsia="Times New Roman" w:hAnsi="Times New Roman"/>
          <w:sz w:val="18"/>
          <w:szCs w:val="18"/>
          <w:u w:val="single" w:color="auto"/>
          <w:color w:val="auto"/>
        </w:rPr>
        <w:t>  Future Reports to the Representatives</w:t>
      </w:r>
      <w:r>
        <w:rPr>
          <w:rFonts w:ascii="Times New Roman" w:cs="Times New Roman" w:eastAsia="Times New Roman" w:hAnsi="Times New Roman"/>
          <w:sz w:val="18"/>
          <w:szCs w:val="18"/>
          <w:color w:val="auto"/>
        </w:rPr>
        <w:t xml:space="preserve">. During the period of three years hereafter, the Company will furnish to the Representatives, c/o Leerink Partners LLC, 53 State Street, 40th Floor, Boston, MA 02109, Attention: Syndicate Department and c/o TD Securities (USA) LLC, 1 Vanderbilt Avenue, New York, New York 10017, Attention: Attention: Head of Equity Capital Markets: (i) as soon as practicable after the end of each fiscal year, copies of the Annual Report of the Company containing the balance sheet of the Company as of the close of such fiscal year and statements of income, stockholders’ equity and cash flows for the year then ended and the opinion thereon of the Company’s independent public or certified public accountants; (ii) as soon as practicable after the filing thereof, copies of each proxy statement, Annual Report on Form 10-K, Quarterly Report on Form 10-Q, Current Report on Form 8-K or other report filed by the Company with the Commission, FINRA or any securities exchange; and (iii) as soon as available, copies of any report or communication of the Company furnished or made available generally to holders of its capital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requirements of this Section 3(p) shall be satisfied to the extent that such reports, statement, communications, financial statements or other documents are available on EDGAR.</w:t>
      </w:r>
    </w:p>
    <w:p>
      <w:pPr>
        <w:spacing w:after="0" w:line="194"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(r)            </w:t>
      </w:r>
      <w:r>
        <w:rPr>
          <w:rFonts w:ascii="Times New Roman" w:cs="Times New Roman" w:eastAsia="Times New Roman" w:hAnsi="Times New Roman"/>
          <w:sz w:val="18"/>
          <w:szCs w:val="18"/>
          <w:u w:val="single" w:color="auto"/>
          <w:color w:val="auto"/>
        </w:rPr>
        <w:t>  Investment Limitation</w:t>
      </w:r>
      <w:r>
        <w:rPr>
          <w:rFonts w:ascii="Times New Roman" w:cs="Times New Roman" w:eastAsia="Times New Roman" w:hAnsi="Times New Roman"/>
          <w:sz w:val="18"/>
          <w:szCs w:val="18"/>
          <w:color w:val="auto"/>
        </w:rPr>
        <w:t>. The Company shall not invest or otherwise use the proceeds received by the Company from its sale of the Offered Shares in such a manner as would require the Company or any of its subsidiaries to register as an investment company under the Investment Company Act.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(s)            </w:t>
      </w:r>
      <w:r>
        <w:rPr>
          <w:rFonts w:ascii="Times New Roman" w:cs="Times New Roman" w:eastAsia="Times New Roman" w:hAnsi="Times New Roman"/>
          <w:sz w:val="18"/>
          <w:szCs w:val="18"/>
          <w:u w:val="single" w:color="auto"/>
          <w:color w:val="auto"/>
        </w:rPr>
        <w:t>  No Stabilization or Manipulation; Compliance with Regulation M</w:t>
      </w:r>
      <w:r>
        <w:rPr>
          <w:rFonts w:ascii="Times New Roman" w:cs="Times New Roman" w:eastAsia="Times New Roman" w:hAnsi="Times New Roman"/>
          <w:sz w:val="18"/>
          <w:szCs w:val="18"/>
          <w:color w:val="auto"/>
        </w:rPr>
        <w:t>. The Company will not take, and will ensure that no affiliate of the Company will take, directly or indirectly, without giving effect to activities by the Underwriters, any action designed to or that might cause or result in stabilization or manipulation of the price of the Shares or any reference security with respect to the Shares, whether to facilitate the sale or resale of the Offered Shares or otherwise, and the Company will, and shall cause each of its affiliates to, comply with all applicable provisions of Regulation M.</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(t)            </w:t>
      </w:r>
      <w:r>
        <w:rPr>
          <w:rFonts w:ascii="Times New Roman" w:cs="Times New Roman" w:eastAsia="Times New Roman" w:hAnsi="Times New Roman"/>
          <w:sz w:val="18"/>
          <w:szCs w:val="18"/>
          <w:u w:val="single" w:color="auto"/>
          <w:color w:val="auto"/>
        </w:rPr>
        <w:t>  Enforce Lock-Up Agreements</w:t>
      </w:r>
      <w:r>
        <w:rPr>
          <w:rFonts w:ascii="Times New Roman" w:cs="Times New Roman" w:eastAsia="Times New Roman" w:hAnsi="Times New Roman"/>
          <w:sz w:val="18"/>
          <w:szCs w:val="18"/>
          <w:color w:val="auto"/>
        </w:rPr>
        <w:t>. During the Lock-up Period, the Company will enforce all agreements between the Company and any of its security holders that restrict or prohibit, expressly or in operation, the offer, sale or transfer of Shares or Related Securities or any of the other actions restricted or prohibited under the terms of the form of Lock-up Agreement. In addition, the Company will direct the transfer agent to place stop transfer restrictions upon any such securities of the Company that are bound by such “lock-up” agreements for the duration of the periods contemplated in such agreements, including, without limitation, “lock-up” agreements entered into by the Company’s officers and directors pursuant to 1(xx) hereof.</w:t>
      </w:r>
    </w:p>
    <w:p>
      <w:pPr>
        <w:spacing w:after="0" w:line="18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(u)           </w:t>
      </w:r>
      <w:r>
        <w:rPr>
          <w:rFonts w:ascii="Times New Roman" w:cs="Times New Roman" w:eastAsia="Times New Roman" w:hAnsi="Times New Roman"/>
          <w:sz w:val="18"/>
          <w:szCs w:val="18"/>
          <w:u w:val="single" w:color="auto"/>
          <w:color w:val="auto"/>
        </w:rPr>
        <w:t>  Company to Provide Interim Financial Statements</w:t>
      </w:r>
      <w:r>
        <w:rPr>
          <w:rFonts w:ascii="Times New Roman" w:cs="Times New Roman" w:eastAsia="Times New Roman" w:hAnsi="Times New Roman"/>
          <w:sz w:val="18"/>
          <w:szCs w:val="18"/>
          <w:color w:val="auto"/>
        </w:rPr>
        <w:t>. Prior to the First Closing Date and each applicable Option Closing Date, the Company will furnish the Underwriters, as soon as they have been prepared by or are available to the Company, a copy of any unaudited interim financial statements of the Company for any period subsequent to the period covered by the most recent financial statements appearing in the Registration Statement and the Prospectus.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Representatives, on behalf of the several Underwriters, may, in their sole discretion, waive in writing the performance by the Company of any one or more of the foregoing covenants or extend the time for their performance. </w:t>
      </w:r>
    </w:p>
    <w:p>
      <w:pPr>
        <w:spacing w:after="0" w:line="16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4.               </w:t>
      </w:r>
      <w:r>
        <w:rPr>
          <w:rFonts w:ascii="Times New Roman" w:cs="Times New Roman" w:eastAsia="Times New Roman" w:hAnsi="Times New Roman"/>
          <w:sz w:val="18"/>
          <w:szCs w:val="18"/>
          <w:u w:val="single" w:color="auto"/>
          <w:color w:val="auto"/>
        </w:rPr>
        <w:t>  Payment of Expenses</w:t>
      </w:r>
      <w:r>
        <w:rPr>
          <w:rFonts w:ascii="Times New Roman" w:cs="Times New Roman" w:eastAsia="Times New Roman" w:hAnsi="Times New Roman"/>
          <w:sz w:val="18"/>
          <w:szCs w:val="18"/>
          <w:color w:val="auto"/>
        </w:rPr>
        <w:t>. The Company agrees to pay all costs, fees and expenses incurred in connection with the performance of its obligations hereunder and in connection with the transactions contemplated hereby, including (i) all expenses incident to the issuance and delivery of the Offered Shares (including all printing and engraving costs), (ii) all fees and expenses of the registrar and transfer agent of the Shares, (iii) all necessary issue, transfer and other stamp taxes in connection with the issuance and sale of the Offered Shares to the Underwriters, (iv) all fees and expenses of the Company’s counsel, independent public or certified public accountants and other advisors, (v) all costs and expenses incurred in connection with the preparation, printing, filing, shipping and distribution of the Registration Statement (including financial statements, exhibits, schedules, consents and certificates of experts), the Time of Sale Prospectus, the Prospectus, each free writing prospectus prepared by or on behalf of, used by, or referred to by the Company, and each preliminary prospectus and all amendments and supplements thereto, and this Agreement, (vi) all filing fees, attorneys’ fees and expenses incurred by the Company or the Underwriters in connection with qualifying or registering (or obtaining exemptions from the qualification or registration of) all or any part of the Offered Shares for offer and sale under the state securities or blue sky Laws or the provincial securities Laws of Canada, and, if requested by the Representatives, preparing and printing a “Blue Sky Survey” or memorandum and a “Canadian wrapper”, and any supplements thereto, advising the Underwriters of such qualifications, registrations and exemptions, in an amount not to exceed $7,500, (vii) the costs, fees and expenses incurred by the Underwriters in connection with determining their compliance with the rules and regulations of FINRA related to the Underwriters’ participation in the offering and distribution of the Offered Shares, including any related filing fees and the legal fees of, and disbursements by, counsel to the Underwriters, in an amount not to exceed $15,000, (viii) the costs and expenses of the Company relating to investor presentations on any “road show” undertaken in connection with the offering of the Shares,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Representatives, employees and officers of the Company and any such consultants, and the cost of any aircraft chartered in connection with the Road Show; provided, however, that any such aircraft shall only be chartered with the Company’s prior written consent, (ix) the fees and expenses associated with listing the Offered Shares on the Nasdaq, and (x) all other fees, costs and expenses of the nature referred to in Item 13 of Part II of the Registration Statement. Any such amount payable to the Underwriters may be deducted from the purchase price for the Offered Shares. Except as provided in this Section 4 or in Section 7, Section 9 or Section 10, the Underwriters shall pay their own expenses, including the fees and disbursements of their counsel.</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5.               </w:t>
      </w:r>
      <w:r>
        <w:rPr>
          <w:rFonts w:ascii="Times New Roman" w:cs="Times New Roman" w:eastAsia="Times New Roman" w:hAnsi="Times New Roman"/>
          <w:sz w:val="18"/>
          <w:szCs w:val="18"/>
          <w:u w:val="single" w:color="auto"/>
          <w:color w:val="auto"/>
        </w:rPr>
        <w:t>  Covenant of the Underwriters</w:t>
      </w:r>
      <w:r>
        <w:rPr>
          <w:rFonts w:ascii="Times New Roman" w:cs="Times New Roman" w:eastAsia="Times New Roman" w:hAnsi="Times New Roman"/>
          <w:sz w:val="18"/>
          <w:szCs w:val="18"/>
          <w:color w:val="auto"/>
        </w:rPr>
        <w:t>. Each Underwriter severally and not jointly covenants with the Company not to take any action that would result in the Company being required to file with the Commission pursuant to Rule 433(d) under the Securities Act a free writing prospectus prepared by or on behalf of such Underwriter that otherwise would not, but for such actions, be required to be filed by the Company under Rule 433(d).</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6.               </w:t>
      </w:r>
      <w:r>
        <w:rPr>
          <w:rFonts w:ascii="Times New Roman" w:cs="Times New Roman" w:eastAsia="Times New Roman" w:hAnsi="Times New Roman"/>
          <w:sz w:val="18"/>
          <w:szCs w:val="18"/>
          <w:u w:val="single" w:color="auto"/>
          <w:color w:val="auto"/>
        </w:rPr>
        <w:t>  Conditions of the Obligations of the Underwriters</w:t>
      </w:r>
      <w:r>
        <w:rPr>
          <w:rFonts w:ascii="Times New Roman" w:cs="Times New Roman" w:eastAsia="Times New Roman" w:hAnsi="Times New Roman"/>
          <w:sz w:val="18"/>
          <w:szCs w:val="18"/>
          <w:color w:val="auto"/>
        </w:rPr>
        <w:t>. The respective obligations of the several Underwriters hereunder to purchase and pay for the Offered Shares as provided herein on the First Closing Date and, with respect to the Option Shares, each Option Closing Date, shall be subject to the accuracy of the representations and warranties on the part of the Company set forth in Section 1 as of the date hereof and as of the First Closing Date as though then made and, with respect to the Option Shares, as of each Option Closing Date as though then made, to the timely performance by the Company of its covenants and other obligations hereunder, and to each of the following additional conditions:</w:t>
      </w:r>
    </w:p>
    <w:p>
      <w:pPr>
        <w:spacing w:after="0" w:line="18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Comfort Letter</w:t>
      </w:r>
      <w:r>
        <w:rPr>
          <w:rFonts w:ascii="Times New Roman" w:cs="Times New Roman" w:eastAsia="Times New Roman" w:hAnsi="Times New Roman"/>
          <w:sz w:val="18"/>
          <w:szCs w:val="18"/>
          <w:color w:val="auto"/>
        </w:rPr>
        <w:t>. On the date hereof, the Representatives shall have received from PricewaterhouseCoopers LLP, independent registered public accountants for the Company, a letter dated the date hereof addressed to the Underwriters, in form and substance satisfactory to the Representatives, containing statements and information of the type ordinarily included in accountant’s “comfort letters” to underwriters, delivered according to Statement of Auditing Standards No. 72 (or any successor bulletin), with respect to the audited and unaudited financial statements and certain financial information contained in the Registration Statement, the Time of Sale Prospectus, and each free writing prospectus, if any.</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Compliance with Registration Requirements; No Stop Order; No Objection from FINRA</w:t>
      </w:r>
      <w:r>
        <w:rPr>
          <w:rFonts w:ascii="Times New Roman" w:cs="Times New Roman" w:eastAsia="Times New Roman" w:hAnsi="Times New Roman"/>
          <w:sz w:val="18"/>
          <w:szCs w:val="18"/>
          <w:color w:val="auto"/>
        </w:rPr>
        <w:t>. For the period from and after the date of this Agreement and through and including the First Closing Date and, with respect to any Option Shares purchased after the First Closing Date, each Option Closing Date:</w:t>
      </w:r>
    </w:p>
    <w:p>
      <w:pPr>
        <w:spacing w:after="0" w:line="176" w:lineRule="exact"/>
        <w:rPr>
          <w:sz w:val="20"/>
          <w:szCs w:val="20"/>
          <w:color w:val="auto"/>
        </w:rPr>
      </w:pPr>
    </w:p>
    <w:p>
      <w:pPr>
        <w:jc w:val="both"/>
        <w:ind w:right="20" w:firstLine="1944"/>
        <w:spacing w:after="0" w:line="261" w:lineRule="auto"/>
        <w:rPr>
          <w:sz w:val="20"/>
          <w:szCs w:val="20"/>
          <w:color w:val="auto"/>
        </w:rPr>
      </w:pPr>
      <w:r>
        <w:rPr>
          <w:rFonts w:ascii="Times New Roman" w:cs="Times New Roman" w:eastAsia="Times New Roman" w:hAnsi="Times New Roman"/>
          <w:sz w:val="18"/>
          <w:szCs w:val="18"/>
          <w:color w:val="auto"/>
        </w:rPr>
        <w:t>(i)                 The Company shall have filed the Prospectus with the Commission (including the information required by Rule 430A under the Securities Act) in the manner and within the time period required by Rule 424(b) under the Securities Act; or the Company shall have filed a post-effective amendment to the Registration Statement containing the information required by such Rule 430A, and such post-effective amendment shall have become effective.</w:t>
      </w:r>
    </w:p>
    <w:p>
      <w:pPr>
        <w:spacing w:after="0" w:line="180" w:lineRule="exact"/>
        <w:rPr>
          <w:sz w:val="20"/>
          <w:szCs w:val="20"/>
          <w:color w:val="auto"/>
        </w:rPr>
      </w:pPr>
    </w:p>
    <w:p>
      <w:pPr>
        <w:jc w:val="both"/>
        <w:ind w:right="20" w:firstLine="1944"/>
        <w:spacing w:after="0" w:line="282" w:lineRule="auto"/>
        <w:rPr>
          <w:sz w:val="20"/>
          <w:szCs w:val="20"/>
          <w:color w:val="auto"/>
        </w:rPr>
      </w:pPr>
      <w:r>
        <w:rPr>
          <w:rFonts w:ascii="Times New Roman" w:cs="Times New Roman" w:eastAsia="Times New Roman" w:hAnsi="Times New Roman"/>
          <w:sz w:val="18"/>
          <w:szCs w:val="18"/>
          <w:color w:val="auto"/>
        </w:rPr>
        <w:t>(ii)                No stop order suspending the effectiveness of the Registration Statement or any post-effective amendment to the Registration Statement shall be in effect, and no proceedings for such purpose shall have been instituted or threatened by the Commission.</w:t>
      </w:r>
    </w:p>
    <w:p>
      <w:pPr>
        <w:spacing w:after="0" w:line="162" w:lineRule="exact"/>
        <w:rPr>
          <w:sz w:val="20"/>
          <w:szCs w:val="20"/>
          <w:color w:val="auto"/>
        </w:rPr>
      </w:pPr>
    </w:p>
    <w:p>
      <w:pPr>
        <w:jc w:val="both"/>
        <w:ind w:right="20" w:firstLine="1944"/>
        <w:spacing w:after="0" w:line="282" w:lineRule="auto"/>
        <w:rPr>
          <w:sz w:val="20"/>
          <w:szCs w:val="20"/>
          <w:color w:val="auto"/>
        </w:rPr>
      </w:pPr>
      <w:r>
        <w:rPr>
          <w:rFonts w:ascii="Times New Roman" w:cs="Times New Roman" w:eastAsia="Times New Roman" w:hAnsi="Times New Roman"/>
          <w:sz w:val="18"/>
          <w:szCs w:val="18"/>
          <w:color w:val="auto"/>
        </w:rPr>
        <w:t>(iii)              If a filing has been made with FINRA, FINRA shall have raised no objection to the fairness and reasonableness of the underwriting terms and arrangements.</w:t>
      </w:r>
    </w:p>
    <w:p>
      <w:pPr>
        <w:spacing w:after="0" w:line="16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No Material Adverse Effect or Ratings Agency Change</w:t>
      </w:r>
      <w:r>
        <w:rPr>
          <w:rFonts w:ascii="Times New Roman" w:cs="Times New Roman" w:eastAsia="Times New Roman" w:hAnsi="Times New Roman"/>
          <w:sz w:val="18"/>
          <w:szCs w:val="18"/>
          <w:color w:val="auto"/>
        </w:rPr>
        <w:t>. For the period from and after the date of this Agreement and through and including the First Closing Date and, with respect to any Option Shares purchased after the First Closing Date, each Option Closing Date, in the judgment of the Representatives there shall not have occurred any material adverse change in the authorized capital stock of the Company or any Material Adverse Effect or any development that would cause a Material Adverse Effect, or a downgrading in or withdrawal of the rating assigned to any of the Company’s securities (other than asset backed securities) by any rating organization or a public announcement by any rating organization that it has under surveillance or review its rating of any of the Company’s securities (other than asset backed securities), the effect of which, in the case of any such action by a rating organization described above.</w:t>
      </w:r>
    </w:p>
    <w:p>
      <w:pPr>
        <w:spacing w:after="0" w:line="18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Opinion of Counsel for the Company</w:t>
      </w:r>
      <w:r>
        <w:rPr>
          <w:rFonts w:ascii="Times New Roman" w:cs="Times New Roman" w:eastAsia="Times New Roman" w:hAnsi="Times New Roman"/>
          <w:sz w:val="18"/>
          <w:szCs w:val="18"/>
          <w:color w:val="auto"/>
        </w:rPr>
        <w:t>. On each of the First Closing Date and each Option Closing Date the Representatives shall have received the opinion and negative assurance letter of Lowenstein Sandler LLP, counsel for the Company, dated as of such date, in form and substance satisfactory to the Representatives.</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Opinions of Intellectual Property and Regulatory Counsels</w:t>
      </w:r>
      <w:r>
        <w:rPr>
          <w:rFonts w:ascii="Times New Roman" w:cs="Times New Roman" w:eastAsia="Times New Roman" w:hAnsi="Times New Roman"/>
          <w:sz w:val="18"/>
          <w:szCs w:val="18"/>
          <w:color w:val="auto"/>
        </w:rPr>
        <w:t>. On each of the First Closing Date and each Option Closing Date, the Representatives shall have received the opinion of Phillip Walters of the Company with respect to intellectual property and the opinion of Freddy A. Jimenez of the Company with respect to regulatory matters, dated as of such date, in form and substance satisfactory to the Representatives.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Opinion of Counsel for the Underwriters</w:t>
      </w:r>
      <w:r>
        <w:rPr>
          <w:rFonts w:ascii="Times New Roman" w:cs="Times New Roman" w:eastAsia="Times New Roman" w:hAnsi="Times New Roman"/>
          <w:sz w:val="18"/>
          <w:szCs w:val="18"/>
          <w:color w:val="auto"/>
        </w:rPr>
        <w:t>. On each of the First Closing Date and each Option Closing Date the Representatives shall have received the opinion of Wilmer Cutler Pickering Hale and Dorr LLP, counsel for the Underwriters in connection with the offer and sale of the Offered Shares, in form and substance satisfactory to the Representatives, dated as of such date.</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Officers’ Certificate</w:t>
      </w:r>
      <w:r>
        <w:rPr>
          <w:rFonts w:ascii="Times New Roman" w:cs="Times New Roman" w:eastAsia="Times New Roman" w:hAnsi="Times New Roman"/>
          <w:sz w:val="18"/>
          <w:szCs w:val="18"/>
          <w:color w:val="auto"/>
        </w:rPr>
        <w:t>. On each of the First Closing Date and each Option Closing Date, the Representatives shall have received a certificate executed by the Chief Executive Officer or President of the Company and the Chief Financial Officer of the Company, dated as of such date, to the effect set forth in Section 6(b)(ii) and further to the effect that:</w:t>
      </w:r>
    </w:p>
    <w:p>
      <w:pPr>
        <w:spacing w:after="0" w:line="17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(i)                for the period from and including the date of this Agreement through and including such date, there has not occurred any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 Adverse Effect;</w:t>
      </w:r>
    </w:p>
    <w:p>
      <w:pPr>
        <w:spacing w:after="0" w:line="207" w:lineRule="exact"/>
        <w:rPr>
          <w:sz w:val="20"/>
          <w:szCs w:val="20"/>
          <w:color w:val="auto"/>
        </w:rPr>
      </w:pPr>
    </w:p>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(ii)               the representations, warranties and covenants of the Company set forth in Section 1 are true and correct with the same force and effect as though expressly made on and as of such date; and</w:t>
      </w:r>
    </w:p>
    <w:p>
      <w:pPr>
        <w:spacing w:after="0" w:line="162" w:lineRule="exact"/>
        <w:rPr>
          <w:sz w:val="20"/>
          <w:szCs w:val="20"/>
          <w:color w:val="auto"/>
        </w:rPr>
      </w:pPr>
    </w:p>
    <w:p>
      <w:pPr>
        <w:jc w:val="both"/>
        <w:ind w:right="20" w:firstLine="1944"/>
        <w:spacing w:after="0" w:line="282" w:lineRule="auto"/>
        <w:rPr>
          <w:sz w:val="20"/>
          <w:szCs w:val="20"/>
          <w:color w:val="auto"/>
        </w:rPr>
      </w:pPr>
      <w:r>
        <w:rPr>
          <w:rFonts w:ascii="Times New Roman" w:cs="Times New Roman" w:eastAsia="Times New Roman" w:hAnsi="Times New Roman"/>
          <w:sz w:val="18"/>
          <w:szCs w:val="18"/>
          <w:color w:val="auto"/>
        </w:rPr>
        <w:t>(iii)              the Company has complied with all the agreements hereunder and satisfied all the conditions on its part to be performed or satisfied hereunder at or prior to such date.</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  Chief Financial Officer’s Certificate</w:t>
      </w:r>
      <w:r>
        <w:rPr>
          <w:rFonts w:ascii="Times New Roman" w:cs="Times New Roman" w:eastAsia="Times New Roman" w:hAnsi="Times New Roman"/>
          <w:sz w:val="18"/>
          <w:szCs w:val="18"/>
          <w:color w:val="auto"/>
        </w:rPr>
        <w:t>. On each of the First Closing Date and each Option Closing Date, the Representatives shall have received a certificate executed by the Chief Financial Officer of the Company, dated as of such date, in form and substance satisfactory to the Representatives.</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Bring-down Comfort Letter</w:t>
      </w:r>
      <w:r>
        <w:rPr>
          <w:rFonts w:ascii="Times New Roman" w:cs="Times New Roman" w:eastAsia="Times New Roman" w:hAnsi="Times New Roman"/>
          <w:sz w:val="18"/>
          <w:szCs w:val="18"/>
          <w:color w:val="auto"/>
        </w:rPr>
        <w:t>. On each of the First Closing Date and each Option Closing Date the Representatives shall have received from PricewaterhouseCoopers LLP, independent registered public accountants for the Company, a letter dated such date, in form and substance satisfactory to the Representatives, which letter shall: (i) reaffirm the statements made in the letter furnished by them pursuant to Section 6(a), except that the specified date referred to therein for the carrying out of procedures shall be no more than three Business Days prior to the First Closing Date or the applicable Option Closing Date, as the case may be; and (ii) cover certain financial information contained in the Prospectus.</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u w:val="single" w:color="auto"/>
          <w:color w:val="auto"/>
        </w:rPr>
        <w:t>  Lock-Up Agreements</w:t>
      </w:r>
      <w:r>
        <w:rPr>
          <w:rFonts w:ascii="Times New Roman" w:cs="Times New Roman" w:eastAsia="Times New Roman" w:hAnsi="Times New Roman"/>
          <w:sz w:val="18"/>
          <w:szCs w:val="18"/>
          <w:color w:val="auto"/>
        </w:rPr>
        <w:t xml:space="preserve">. On or prior to the date hereof, the Company shall have furnished to the Representatives an agreement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from the directors and executive officers (as defined in Rule 16a-1(f) under the Exchange Act), and each such agreement shall be in full force and effect on each of the First Closing Date and each Option Closing Date.</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u w:val="single" w:color="auto"/>
          <w:color w:val="auto"/>
        </w:rPr>
        <w:t>  Rule 462(b) Registration Statement</w:t>
      </w:r>
      <w:r>
        <w:rPr>
          <w:rFonts w:ascii="Times New Roman" w:cs="Times New Roman" w:eastAsia="Times New Roman" w:hAnsi="Times New Roman"/>
          <w:sz w:val="18"/>
          <w:szCs w:val="18"/>
          <w:color w:val="auto"/>
        </w:rPr>
        <w:t>. In the event that a Rule 462(b) Registration Statement is filed in connection with the offering contemplated by this Agreement, such Rule 462(b) Registration Statement shall have been filed with the Commission on the date of this Agreement and shall have become effective automatically upon such filing.</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u w:val="single" w:color="auto"/>
          <w:color w:val="auto"/>
        </w:rPr>
        <w:t>  Nasdaq</w:t>
      </w:r>
      <w:r>
        <w:rPr>
          <w:rFonts w:ascii="Times New Roman" w:cs="Times New Roman" w:eastAsia="Times New Roman" w:hAnsi="Times New Roman"/>
          <w:sz w:val="18"/>
          <w:szCs w:val="18"/>
          <w:color w:val="auto"/>
        </w:rPr>
        <w:t>. The Company shall have submitted a listing of additional shares notification form to Nasdaq with respect to the Offered Shares and shall have received no objection thereto from Nasdaq.</w:t>
      </w:r>
    </w:p>
    <w:p>
      <w:pPr>
        <w:spacing w:after="0" w:line="16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(m)          </w:t>
      </w:r>
      <w:r>
        <w:rPr>
          <w:rFonts w:ascii="Times New Roman" w:cs="Times New Roman" w:eastAsia="Times New Roman" w:hAnsi="Times New Roman"/>
          <w:sz w:val="18"/>
          <w:szCs w:val="18"/>
          <w:u w:val="single" w:color="auto"/>
          <w:color w:val="auto"/>
        </w:rPr>
        <w:t>  Additional Documents</w:t>
      </w:r>
      <w:r>
        <w:rPr>
          <w:rFonts w:ascii="Times New Roman" w:cs="Times New Roman" w:eastAsia="Times New Roman" w:hAnsi="Times New Roman"/>
          <w:sz w:val="18"/>
          <w:szCs w:val="18"/>
          <w:color w:val="auto"/>
        </w:rPr>
        <w:t>. On or before each of the First Closing Date and each Option Closing Date, the Representatives and counsel for the Underwriters shall have received such information, documents and opinions as they may reasonably request for the purposes of enabling them to pass upon the issuance and sale of the Offered Shares as contemplated herein, or in order to evidence the accuracy of any of the representations and warranties, or the satisfaction of any of the conditions or agreements, herein contained; and all proceedings taken by the Company in connection with the issuance and sale of the Offered Shares as contemplated herein and in connection with the other transactions contemplated by this Agreement shall be satisfactory in form and substance to the Representatives and counsel for the Underwriters.</w:t>
      </w:r>
    </w:p>
    <w:p>
      <w:pPr>
        <w:spacing w:after="0" w:line="187"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If any condition specified in this Section 6 is not satisfied when and as required to be satisfied, this Agreement may be terminated by the Representatives by notice from the Representatives to the Company at any time on or prior to the First Closing Date and, with respect to the Option Shares, at any time on or prior to the applicable Option Closing Date, which termination shall be without liability on the part of any party to any other party, except that Section 4, Section 7, Section 9 and Section 10 shall at all times be effective and shall survive such termination.</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7.               </w:t>
      </w:r>
      <w:r>
        <w:rPr>
          <w:rFonts w:ascii="Times New Roman" w:cs="Times New Roman" w:eastAsia="Times New Roman" w:hAnsi="Times New Roman"/>
          <w:sz w:val="18"/>
          <w:szCs w:val="18"/>
          <w:u w:val="single" w:color="auto"/>
          <w:color w:val="auto"/>
        </w:rPr>
        <w:t>  Reimbursement of Underwriters’ Expenses</w:t>
      </w:r>
      <w:r>
        <w:rPr>
          <w:rFonts w:ascii="Times New Roman" w:cs="Times New Roman" w:eastAsia="Times New Roman" w:hAnsi="Times New Roman"/>
          <w:sz w:val="18"/>
          <w:szCs w:val="18"/>
          <w:color w:val="auto"/>
        </w:rPr>
        <w:t>. If this Agreement is terminated by the Representatives pursuant to Section 6, Section 11 or Section 12, or if the sale to the Underwriters of the Offered Shares on the First Closing Date is not consummated because of any refusal, inability or failure on the part of the Company to perform any agreement herein or to comply with any provision hereof, the Company agrees to reimburse the Representatives and the other Underwriters (or such Underwriters as have terminated this Agreement with respect to themselves), severally, upon demand for all out-of-pocket expenses that shall have been reasonably incurred by the Representatives and the Underwriters in connection with the proposed purchase and the offering and sale of the Offered Shares, including, but not limited to, fees and disbursements of counsel, printing expenses, travel expenses, postage, facsimile and telephone charges.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8.               </w:t>
      </w:r>
      <w:r>
        <w:rPr>
          <w:rFonts w:ascii="Times New Roman" w:cs="Times New Roman" w:eastAsia="Times New Roman" w:hAnsi="Times New Roman"/>
          <w:sz w:val="18"/>
          <w:szCs w:val="18"/>
          <w:u w:val="single" w:color="auto"/>
          <w:color w:val="auto"/>
        </w:rPr>
        <w:t>  Effectiveness of this Agreement</w:t>
      </w:r>
      <w:r>
        <w:rPr>
          <w:rFonts w:ascii="Times New Roman" w:cs="Times New Roman" w:eastAsia="Times New Roman" w:hAnsi="Times New Roman"/>
          <w:sz w:val="18"/>
          <w:szCs w:val="18"/>
          <w:color w:val="auto"/>
        </w:rPr>
        <w:t>. This Agreement shall become effective upon the execution and delivery hereof by the parties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9.               </w:t>
      </w:r>
      <w:r>
        <w:rPr>
          <w:rFonts w:ascii="Times New Roman" w:cs="Times New Roman" w:eastAsia="Times New Roman" w:hAnsi="Times New Roman"/>
          <w:sz w:val="18"/>
          <w:szCs w:val="18"/>
          <w:u w:val="single" w:color="auto"/>
          <w:color w:val="auto"/>
        </w:rPr>
        <w:t>  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Indemnification of the Underwriters</w:t>
      </w:r>
      <w:r>
        <w:rPr>
          <w:rFonts w:ascii="Times New Roman" w:cs="Times New Roman" w:eastAsia="Times New Roman" w:hAnsi="Times New Roman"/>
          <w:sz w:val="18"/>
          <w:szCs w:val="18"/>
          <w:color w:val="auto"/>
        </w:rPr>
        <w:t>. The Company agrees to indemnify and hold harmless each Underwriter, its affiliates, partners, members, directors, officers, employees and agents, and each person, if any, who controls any Underwriter within the meaning of the Securities Act or the Exchange Act against any loss, claim, damage, liability or expense, as incurred, to which such Underwriter or such affiliate, partner, member, director, officer, employee, agent or controlling person may become subject, under the Securities Act, the Exchange Act, other federal or state statutory law or regulation, or the laws or regulations of foreign jurisdictions where Offered Shares have been offered or sold or at common law or otherwise (including in settlement of any litigation, if such settlement is effected with the written consent of the Company), insofar as such loss, claim, damage, liability or expense (or actions in respect thereof as contemplated below) arises out of or is based upon:</w:t>
      </w:r>
    </w:p>
    <w:p>
      <w:pPr>
        <w:spacing w:after="0" w:line="189"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(i)                any untrue statement or alleged untrue statement of a material fact contained in the Registration Statement (or any amendment thereto) or the omission or alleged omission to state therein a material fact required to be stated therein or necessary to make the statements therein not misleading; or</w:t>
      </w:r>
    </w:p>
    <w:p>
      <w:pPr>
        <w:spacing w:after="0" w:line="176" w:lineRule="exact"/>
        <w:rPr>
          <w:sz w:val="20"/>
          <w:szCs w:val="20"/>
          <w:color w:val="auto"/>
        </w:rPr>
      </w:pPr>
    </w:p>
    <w:p>
      <w:pPr>
        <w:jc w:val="both"/>
        <w:ind w:firstLine="1944"/>
        <w:spacing w:after="0" w:line="261" w:lineRule="auto"/>
        <w:rPr>
          <w:sz w:val="20"/>
          <w:szCs w:val="20"/>
          <w:color w:val="auto"/>
        </w:rPr>
      </w:pPr>
      <w:r>
        <w:rPr>
          <w:rFonts w:ascii="Times New Roman" w:cs="Times New Roman" w:eastAsia="Times New Roman" w:hAnsi="Times New Roman"/>
          <w:sz w:val="18"/>
          <w:szCs w:val="18"/>
          <w:color w:val="auto"/>
        </w:rPr>
        <w:t>(ii)               any untrue statement or alleged untrue statement of a material fact included in any preliminary prospectus, the Time of Sale Prospectus, any free writing prospectus that the Company has used, referred to or filed, or is required to file, pursuant to Rule 433(d) of the Securities Act, or the Prospectus (or any amendment or supplement to the foregoing), or the omission or alleged omission to state therein a material fact necessary in order to make the statements, in the light of the circumstances under which they were made, not misleading; or</w:t>
      </w:r>
    </w:p>
    <w:p>
      <w:pPr>
        <w:spacing w:after="0" w:line="180" w:lineRule="exact"/>
        <w:rPr>
          <w:sz w:val="20"/>
          <w:szCs w:val="20"/>
          <w:color w:val="auto"/>
        </w:rPr>
      </w:pPr>
    </w:p>
    <w:p>
      <w:pPr>
        <w:jc w:val="both"/>
        <w:ind w:firstLine="1944"/>
        <w:spacing w:after="0" w:line="253" w:lineRule="auto"/>
        <w:rPr>
          <w:sz w:val="20"/>
          <w:szCs w:val="20"/>
          <w:color w:val="auto"/>
        </w:rPr>
      </w:pPr>
      <w:r>
        <w:rPr>
          <w:rFonts w:ascii="Times New Roman" w:cs="Times New Roman" w:eastAsia="Times New Roman" w:hAnsi="Times New Roman"/>
          <w:sz w:val="18"/>
          <w:szCs w:val="18"/>
          <w:color w:val="auto"/>
        </w:rPr>
        <w:t xml:space="preserve">(iii)               any act or failure to act or any alleged act or failure to act by any Underwriter in connection with, or relating in any manner to, the Shares or the offering contemplated hereby, and which is included as part of or referred to in any loss, claim, damage, liability or action arising out of or based upon any matter covered by clause (i) or (ii) above; and to reimburse each Underwriter and each such affiliate, partner, member, director, officer, employee, agent and controlling person for any and all expenses (including the fees and disbursements of counsel) as such expenses are incurred by such Underwriter or such affiliate, partner, member, director, officer, employee, agent or controlling person in connection with investigating, defending, settling, compromising or paying any such loss, claim, damage, liability, expense or 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foregoing indemnity agreement shall not apply to any loss, claim, damage, liability or expense to the extent, but only to the extent, arising out of or based upon any untrue statement or alleged untrue statement or omission or alleged omission made in reliance upon and in conformity with information relating to any Underwriter furnished to the Company by the Representatives in writing expressly for use in the Registration Statement, any preliminary prospectus, the Time of Sale Prospectus, any such free writing prospectus or the Prospectus (or any amendment or supplement thereto), it being understood and agreed that the only such information consists of the information described in ‎Section 9(b) below. The indemnity agreement set forth in this ‎Section 9(a) shall be in addition to any liabilities that the Company may otherwise have.</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Indemnification of the Company, its Directors and Officers</w:t>
      </w:r>
      <w:r>
        <w:rPr>
          <w:rFonts w:ascii="Times New Roman" w:cs="Times New Roman" w:eastAsia="Times New Roman" w:hAnsi="Times New Roman"/>
          <w:sz w:val="18"/>
          <w:szCs w:val="18"/>
          <w:color w:val="auto"/>
        </w:rPr>
        <w:t>. Each Underwriter agrees, severally and not jointly, to indemnify and hold harmless the Company, each of its directors, each of its officers who signed the Registration Statement and each person, if any, who controls the Company within the meaning of the Securities Act or the Exchange Act, against any loss, claim, damage, liability or expense, as incurred, to which the Company, or any such director, officer or controlling person may become subject, under the Securities Act, the Exchange Act or other federal or state statutory law or regulation, or at common law or otherwise (including in settlement of any litigation, if such settlement is effected with the written consent of such Underwriter), insofar as such loss, claim, damage, liability or expense (or actions in respect thereof as contemplated below) arises out of or is based upon (i) any untrue statement or alleged untrue statement of a material fact contained in the Registration Statement, or any amendment thereto, or any omission or alleged omission to state therein a material fact required to be stated therein or necessary to make the statements therein not misleading or</w:t>
      </w:r>
    </w:p>
    <w:p>
      <w:pPr>
        <w:spacing w:after="0" w:line="1" w:lineRule="exact"/>
        <w:rPr>
          <w:sz w:val="20"/>
          <w:szCs w:val="20"/>
          <w:color w:val="auto"/>
        </w:rPr>
      </w:pPr>
    </w:p>
    <w:p>
      <w:pPr>
        <w:jc w:val="both"/>
        <w:ind w:firstLine="8"/>
        <w:spacing w:after="0" w:line="250" w:lineRule="auto"/>
        <w:tabs>
          <w:tab w:leader="none" w:pos="26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untrue statement or alleged untrue statement of a material fact included in any preliminary prospectus, the Time of Sale Prospectus, any free writing prospectus that the Company has used, referred to or filed, or is required to file, pursuant to Rule 433 of the Securities Act or the Prospectus (or any amendment or supplement to the foregoing) or the omission or alleged omission to state therein a material fact necessary in order to make the statements, in the light of the circumstances under which they were made, not misleading, in each case to the extent, but only to the extent, that such untrue statement or alleged untrue statement or omission or alleged omission was made in the Registration Statement, such preliminary prospectus, the Time of Sale Prospectus, such free writing prospectus or the Prospectus (or any amendment or supplement to the foregoing), in reliance upon and in conformity with information relating to such Underwriter furnished to the Company by the Representatives in writing expressly for use therein; and to reimburse the Company, or any such director, officer or controlling person for any and all expenses (including the fees and disbursements of counsel) as such expenses are incurred by the Company, or any such director, officer or controlling person in connection with investigating, defending, settling, compromising or paying any such loss, claim, damage, liability, expense or action. The Company hereby acknowledges that the only information that the Representatives have furnished to the Company expressly for use in the Registration Statement, any preliminary prospectus, the Time of Sale Prospectus, any free writing prospectus that the Company has filed, or is required to file, pursuant to Rule 433(d) of the Securities Act or the Prospectus (or any amendment or supplement to the foregoing) are (i) the statements set forth in the sentences and figure relating to selling concession appearing in the first paragraph under the heading “Underwriting—Discounts and Commissions” and (ii) the statements concerning the Underwriters contained in the second and third paragraphs under the heading “Underwriting—Price Stabilization, Short Positions and Penalty Bids.” each under the caption “Underwriting” in the</w:t>
      </w:r>
    </w:p>
    <w:p>
      <w:pPr>
        <w:spacing w:after="0" w:line="5" w:lineRule="exact"/>
        <w:rPr>
          <w:rFonts w:ascii="Times New Roman" w:cs="Times New Roman" w:eastAsia="Times New Roman" w:hAnsi="Times New Roman"/>
          <w:sz w:val="18"/>
          <w:szCs w:val="18"/>
          <w:color w:val="auto"/>
        </w:rPr>
      </w:pP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Preliminary Prospectus and Prospectus (the “</w:t>
      </w:r>
      <w:r>
        <w:rPr>
          <w:rFonts w:ascii="Times New Roman" w:cs="Times New Roman" w:eastAsia="Times New Roman" w:hAnsi="Times New Roman"/>
          <w:sz w:val="18"/>
          <w:szCs w:val="18"/>
          <w:b w:val="1"/>
          <w:bCs w:val="1"/>
          <w:color w:val="auto"/>
        </w:rPr>
        <w:t>Underwriter Information</w:t>
      </w:r>
      <w:r>
        <w:rPr>
          <w:rFonts w:ascii="Times New Roman" w:cs="Times New Roman" w:eastAsia="Times New Roman" w:hAnsi="Times New Roman"/>
          <w:sz w:val="18"/>
          <w:szCs w:val="18"/>
          <w:color w:val="auto"/>
        </w:rPr>
        <w:t>”). The indemnity agreement set forth in this Section‎ 9(b) shall be in addition to any liabilities that each Underwriter may otherwise have.</w:t>
      </w:r>
    </w:p>
    <w:p>
      <w:pPr>
        <w:spacing w:after="0" w:line="181"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Notifications and Other Indemnification Procedures</w:t>
      </w:r>
      <w:r>
        <w:rPr>
          <w:rFonts w:ascii="Times New Roman" w:cs="Times New Roman" w:eastAsia="Times New Roman" w:hAnsi="Times New Roman"/>
          <w:sz w:val="18"/>
          <w:szCs w:val="18"/>
          <w:color w:val="auto"/>
        </w:rPr>
        <w:t xml:space="preserve">. Promptly after receipt by an indemnified party under this ‎Section 9 of notice of the commencement of any action, such indemnified party will, if a claim in respect thereof is to be made against an indemnifying party under this ‎Section 9, notify the indemnifying party in writing of the commencement thereof, but the omission to so notify the indemnifying party will not relieve the indemnifying party from any liability which it may have to any indemnified party to the extent the indemnifying party is not materially prejudiced as a proximate result of such failure and shall not in any event relieve the indemnifying party from any liability that it may have otherwise than on account of this indemnity agreement. In case any such action is brought against any indemnified party and such indemnified party seeks or intends to seek indemnity from an indemnifying party, the indemnifying party will be entitled to participate in, and, to the extent that it shall elect, jointly with all other indemnifying parties similarly notified, by written notice delivered to the indemnified party promptly after receiving the aforesaid notice from such indemnified party, to assume the defense thereof with counsel reasonably satisfactory to such indemnified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defendants in any such action include both the indemnified party and the indemnifying party and the indemnified party shall have reasonably concluded that a conflict may arise between the positions of the indemnifying party and the indemnified party in conducting the defense of any such action or that there may be legal defenses available to it and/or other indemnified parties which are different from or additional to those available to the indemnifying party, the indemnified party or parties shall have the right to select separate counsel to assume such legal defenses and to otherwise participate in the defense of such action on behalf of such indemnified party or parties. Upon receipt of notice from the indemnifying party to such indemnified party of such indemnifying party’s election to so assume the defense of such action and approval by the indemnified party of counsel, the indemnifying party will not be liable to such indemnified party</w:t>
      </w:r>
    </w:p>
    <w:p>
      <w:pPr>
        <w:spacing w:after="0" w:line="1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under this Section‎ 9 for any legal or other expenses subsequently incurred by such indemnified party in connection with the defense thereof unless (i) the indemnified party shall have employed separate counsel in accordance with the proviso to the preceding sentence (it being understood, however, that the indemnifying party shall not be liable for the fees and expenses of more than one separate counsel (together with local counsel), representing the indemnified parties who are parties to such action), which counsel (together with any local counsel) for the indemnified parties shall be selected by the Representatives (in the case of counsel for the indemnified parties referred to in Section 9(a) above) or by the Company (in the case of counsel for the indemnified parties referred to in ‎Section 9(b) above) or (ii) the indemnifying party shall not have employed counsel satisfactory to the indemnified party to represent the indemnified party within a reasonable time after notice of commencement of the action or (iii) the indemnifying party has authorized in writing the employment of counsel for the indemnified party at the expense of the indemnifying party, in each of which cases the fees and expenses of counsel shall be at the expense of the indemnifying party and shall be paid as they are incurred.</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Settlements</w:t>
      </w:r>
      <w:r>
        <w:rPr>
          <w:rFonts w:ascii="Times New Roman" w:cs="Times New Roman" w:eastAsia="Times New Roman" w:hAnsi="Times New Roman"/>
          <w:sz w:val="18"/>
          <w:szCs w:val="18"/>
          <w:color w:val="auto"/>
        </w:rPr>
        <w:t>. The indemnifying party under this ‎Section 9 shall not be liable for any settlement of any proceeding effected without its written consent, but if settled with such consent or if there be a final judgment for the plaintiff, the indemnifying party agrees to indemnify the indemnified party against any loss, claim, damage, liability or expense by reason of such settlement or judgment. Notwithstanding the foregoing sentence, if at any time an indemnified party shall have requested an indemnifying party to reimburse the indemnified party for fees and expenses of counsel as contemplated by ‎Section 9(c) hereof, the indemnifying party shall be liable for any settlement of any proceeding effected without its written consent if (i) such settlement is entered into more than 30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compromise or consent to the entry of judgment in any pending or threatened action, suit or proceeding in respect of which any indemnified party is or could have been a party and indemnity was or could have been sought hereunder by such indemnified party, unless such settlement, compromise or consent includes an unconditional release of such indemnified party from all liability on claims that are the subject matter of such action, suit or proceeding and does not include an admission of fault or culpability or a failure to act by or on behalf of such indemnified party.</w:t>
      </w:r>
    </w:p>
    <w:p>
      <w:pPr>
        <w:spacing w:after="0" w:line="19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10.            </w:t>
      </w:r>
      <w:r>
        <w:rPr>
          <w:rFonts w:ascii="Times New Roman" w:cs="Times New Roman" w:eastAsia="Times New Roman" w:hAnsi="Times New Roman"/>
          <w:sz w:val="18"/>
          <w:szCs w:val="18"/>
          <w:u w:val="single" w:color="auto"/>
          <w:color w:val="auto"/>
        </w:rPr>
        <w:t>  Contribution</w:t>
      </w:r>
      <w:r>
        <w:rPr>
          <w:rFonts w:ascii="Times New Roman" w:cs="Times New Roman" w:eastAsia="Times New Roman" w:hAnsi="Times New Roman"/>
          <w:sz w:val="18"/>
          <w:szCs w:val="18"/>
          <w:color w:val="auto"/>
        </w:rPr>
        <w:t>. In order to provide for just and equitable contribution in circumstances in which the indemnification provided for in the foregoing paragraphs of Section 9 is applicable in accordance with its terms but for any reason is held to be unavailable or insufficient from the Company or the Underwriters, the Company and the Underwriters will contribute to the total losses, claims, liabilities, expenses and damages (including any investigative, legal and other expenses reasonably incurred in connection with, and any amount paid in settlement of, any action, suit or proceeding or any claim asserted) to which any indemnified party may be subject in such proportion as shall be appropriate to reflect the relative benefits received by the Company on the one hand and the Underwriters on the other hand. The relative benefits received by the Company on the one hand and the Underwriters on the other hand shall be deemed to be in the same proportion as the total net proceeds from the sale of the Offered Shares (before deducting expenses) received by the Company bear to the total compensation received by the Underwriters (before deducting expenses) from the sale of Offered Shares on behalf of the Company. If, but only if, the allocation provided by the foregoing sentence is not permitted by applicable Law, the allocation of contribution shall be made in such proportion as is appropriate to reflect not only the relative benefits referred to in the foregoing sentence but also the relative fault of the Company, on the one hand, and the Underwriters, on the other hand, with respect to the statements or omission that resulted in such loss, claim, liability, expense or damage, or action in respect thereof, as well as any other relevant equitable considerations with respect to such offering. Such relative fault shall be determined by reference to, among other things, whether the untrue or alleged untrue statement of a material fact or omission or alleged omission to state a material fact relates to information supplied by the Company or the Underwriters, the intent of the parties and their relative knowledge, access to information and opportunity to correct or prevent such statement or omission. The Company and the Underwriters agree that it would not be just and equitable if contributions pursuant to this Section 10 were to be determined by pro rata allocation or by any other method of allocation that does not take into account the equitable considerations referred to herein. The amount paid or payable by an indemnified party as a result of the loss, claim, liability, expense, or damage, or action in respect thereof, referred to above in this Section 10 shall be deemed to include, for the purpose of this Section 10, any legal or other expenses reasonably incurred by such indemnified party in connection with investigating or defending any such action or claim to the extent consistent with Section 9(c). Notwithstanding the foregoing provisions of Section 9 and this Section 10, the Underwriters shall not be required to contribute any amount in excess of the commissions actually received by it under this Agreement and no person found guilty of fraudulent misrepresentation (within the meaning of Section 11(f) of the Securities Act) will be entitled to contribution from any person who was not guilty of such fraudulent misrepresentation. For purposes of this Section 10, any person who controls a party to this Agreement within the meaning of the Securities Act, any affiliates of the respective Underwriters and any officers, directors, partners, employees or agents of the Underwriters or their respective affiliates, will have the same rights to contribution as that party, and each director of the Company and each officer of the Company who signed the Registration Statement will have the same rights to contribution as the Company, subject in each case to the provisions hereof. Any party entitled to contribution, promptly after receipt of notice of commencement of any action against such party in respect of which a claim for contribution may be made under this Section 10, will notify any such party or parties from whom contribution may be sought, but the omission to so notify will not relieve that party or parties from whom contribution may be sought from any other obligation it or they may have under this Section 10 except to the extent that the failure to so notify such other party materially prejudiced the substantive rights or defenses of the party from whom contribution is sought. Except for a settlement entered into pursuant to the last sentence of Section 9(c), no party will be liable for contribution with respect to any action or claim settled without its written consent if such consent is required pursuant to Section 9(c).</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u w:val="single" w:color="auto"/>
          <w:color w:val="auto"/>
        </w:rPr>
        <w:t>  Default of One or More of the Several Underwriters</w:t>
      </w:r>
      <w:r>
        <w:rPr>
          <w:rFonts w:ascii="Times New Roman" w:cs="Times New Roman" w:eastAsia="Times New Roman" w:hAnsi="Times New Roman"/>
          <w:sz w:val="18"/>
          <w:szCs w:val="18"/>
          <w:color w:val="auto"/>
        </w:rPr>
        <w:t xml:space="preserve">. If, on the First Closing Date or any Option Closing Date, any one or more of the several Underwriters shall fail or refuse to purchase Offered Shares that it or they have agreed to purchase hereunder on such date, and the aggregate number of Offered Shares which such defaulting Underwriter or Underwriters agreed but failed or refused to purchase does not exceed 10% of the aggregate number of the Offered Shares to be purchased on such date, the Representatives may make arrangements satisfactory to the Company for the purchase of such Offered Shares by other persons, including any of the Underwriters, but if no such arrangements are made by such date, the other Underwriters shall be obligated, severally and not jointly, in the proportions that the number of Firm Shares set forth opposite their respective names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bears to the aggregate number of Firm Shares set forth opposite the names of all such non-defaulting Underwriters, or in such other proportions as may be specified by the Representatives with the consent of the non-defaulting Underwriters, to purchase the Offered Shares which such defaulting Underwriter or Underwriters agreed but failed or refused to purchase on such date. If, on the First Closing Date or any Option Closing Date, any one or more of the several Underwriters shall fail or refuse to purchase Offered Shares that it or they have agreed to purchase hereunder on such date, and the aggregate number of Offered Shares which such defaulting Underwriter or Underwriters agreed but failed or refused to purchase exceeds 10% of the aggregate number of Offered Shares to be purchased on such date, and arrangements satisfactory to the Representatives and the Company for the purchase of such Offered Shares are not made within 48 hours after such default, this Agreement shall terminate without liability of any party to any other party except that the provisions of Section 4, Section 7, Section 9 and Section 10 shall at all times be effective and shall survive such termination. In any such case either the Representatives or the Company shall have the right to postpone the First Closing Date or the applicable Option Closing Date, as the case may be, but in no event for longer than seven days in order that the required changes, if any, to the Registration Statement and the Prospectus or any other documents or arrangements may be effected.</w:t>
      </w:r>
    </w:p>
    <w:p>
      <w:pPr>
        <w:spacing w:after="0" w:line="18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As used in this Agreement, the term “</w:t>
      </w:r>
      <w:r>
        <w:rPr>
          <w:rFonts w:ascii="Times New Roman" w:cs="Times New Roman" w:eastAsia="Times New Roman" w:hAnsi="Times New Roman"/>
          <w:sz w:val="18"/>
          <w:szCs w:val="18"/>
          <w:b w:val="1"/>
          <w:bCs w:val="1"/>
          <w:color w:val="auto"/>
        </w:rPr>
        <w:t>Underwriter</w:t>
      </w:r>
      <w:r>
        <w:rPr>
          <w:rFonts w:ascii="Times New Roman" w:cs="Times New Roman" w:eastAsia="Times New Roman" w:hAnsi="Times New Roman"/>
          <w:sz w:val="18"/>
          <w:szCs w:val="18"/>
          <w:color w:val="auto"/>
        </w:rPr>
        <w:t>” shall be deemed to include any person substituted for a defaulting Underwriter under this Section 11. Any action taken under this Section 11 shall not relieve any defaulting Underwriter from liability in respect of any default of such Underwriter under this Agreement.</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7"/>
          <w:szCs w:val="17"/>
          <w:color w:val="auto"/>
        </w:rPr>
        <w:t>12.           </w:t>
      </w:r>
      <w:r>
        <w:rPr>
          <w:rFonts w:ascii="Times New Roman" w:cs="Times New Roman" w:eastAsia="Times New Roman" w:hAnsi="Times New Roman"/>
          <w:sz w:val="17"/>
          <w:szCs w:val="17"/>
          <w:u w:val="single" w:color="auto"/>
          <w:color w:val="auto"/>
        </w:rPr>
        <w:t>  Termination of this Agreement</w:t>
      </w:r>
      <w:r>
        <w:rPr>
          <w:rFonts w:ascii="Times New Roman" w:cs="Times New Roman" w:eastAsia="Times New Roman" w:hAnsi="Times New Roman"/>
          <w:sz w:val="17"/>
          <w:szCs w:val="17"/>
          <w:color w:val="auto"/>
        </w:rPr>
        <w:t>. Prior to the purchase of the Firm Shares by the Underwriters on the First Closing Date, this Agreement may be terminated by the Representatives by notice given to the Company if at any time: (i) trading or quotation in any of the Company’s securities shall have been suspended or limited by the Commission or by the Nasdaq, or trading in securities generally on either the Nasdaq or the NYSE shall have been suspended or limited, or minimum or maximum prices shall have been generally established on any of such stock exchanges; (ii) a general banking moratorium shall have been declared by any of federal or New York authorities; (iii) there shall have occurred any outbreak or escalation of national or international hostilities or any crisis or calamity, or any change in the United States or international financial markets, or any substantial change or development involving a prospective substantial change in United States’ or international political, financial or economic conditions, as in the judgment of the Representatives is material and adverse and makes it impracticable to market the Offered Shares in the manner and on the terms described in the Time of Sale Prospectus or the Prospectus or to enforce contracts for the sale of securities; (iv) in the judgment of the Representatives there shall have occurred any change, or any development or event involving a prospective change, in the condition, financial or otherwise, or in the business, properties, earnings, results of operations or prospects of the Company and its Subsidiaries considered as one enterprise, whether or not arising in the ordinary course of business, that would have a Material Adverse Effect; or (v) the Company shall have sustained a loss by strike, fire, flood, earthquake, accident or other calamity of such character as in the judgment of the Representatives may interfere materially with the conduct of the business and operations of the Company regardless of whether or not such loss shall have been insured. Any termination pursuant to this Section 12 shall be without liability on the part of</w:t>
      </w:r>
    </w:p>
    <w:p>
      <w:pPr>
        <w:spacing w:after="0" w:line="9" w:lineRule="exact"/>
        <w:rPr>
          <w:sz w:val="20"/>
          <w:szCs w:val="20"/>
          <w:color w:val="auto"/>
        </w:rPr>
      </w:pPr>
    </w:p>
    <w:p>
      <w:pPr>
        <w:jc w:val="both"/>
        <w:ind w:firstLine="8"/>
        <w:spacing w:after="0" w:line="255" w:lineRule="auto"/>
        <w:tabs>
          <w:tab w:leader="none" w:pos="25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to any Underwriter, except that the Company shall be obligated to reimburse the expenses of the Representatives and the Underwriters pursuant to Section 4 or Section 7 hereof or (b) any Underwriter to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provisions of Section 9 and Section 10 shall at all times be effective and shall survive such termination.</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u w:val="single" w:color="auto"/>
          <w:color w:val="auto"/>
        </w:rPr>
        <w:t>  No Advisory or Fiduciary Relationship</w:t>
      </w:r>
      <w:r>
        <w:rPr>
          <w:rFonts w:ascii="Times New Roman" w:cs="Times New Roman" w:eastAsia="Times New Roman" w:hAnsi="Times New Roman"/>
          <w:sz w:val="18"/>
          <w:szCs w:val="18"/>
          <w:color w:val="auto"/>
        </w:rPr>
        <w:t>. The Company acknowledges and agrees that (a) the purchase and sale of the Offered Shares pursuant to this Agreement, including the determination of the public offering price of the Offered Shares and any related discounts and commissions, is an arm’s-length commercial transaction between the Company, on the one hand, and the several Underwriters, on the other hand, (b) in connection with the offering contemplated hereby and the process leading to such transaction, each Underwriter is and has been acting solely as a principal and is not the agent or fiduciary of the Company, or its stockholders, or its creditors, employees or any other party, (c) no Underwriter has assumed or will assume an advisory or fiduciary responsibility in favor of the Company with respect to the offering contemplated hereby or the process leading thereto (irrespective of whether such Underwriter has advised or is currently advising the Company on other matters) and no Underwriter has any obligation to the Company with respect to the offering contemplated hereby except the obligations expressly set forth in this Agreement, (d) the Underwriters and their respective affiliates may be engaged in a broad range of transactions that involve interests that differ from those of the Company, and (e) the Underwriters have not provided any legal, accounting, regulatory or tax advice with respect to the offering contemplated hereby and the Company has consulted its own legal, accounting, regulatory and tax advisors to the extent it deemed appropriate.</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14.           </w:t>
      </w:r>
      <w:r>
        <w:rPr>
          <w:rFonts w:ascii="Times New Roman" w:cs="Times New Roman" w:eastAsia="Times New Roman" w:hAnsi="Times New Roman"/>
          <w:sz w:val="18"/>
          <w:szCs w:val="18"/>
          <w:u w:val="single" w:color="auto"/>
          <w:color w:val="auto"/>
        </w:rPr>
        <w:t>  Representations and Indemnities to Survive Delivery</w:t>
      </w:r>
      <w:r>
        <w:rPr>
          <w:rFonts w:ascii="Times New Roman" w:cs="Times New Roman" w:eastAsia="Times New Roman" w:hAnsi="Times New Roman"/>
          <w:sz w:val="18"/>
          <w:szCs w:val="18"/>
          <w:color w:val="auto"/>
        </w:rPr>
        <w:t>. The respective indemnities, agreements, representations, warranties and other statements of the Company, its officers and the several Underwriters set forth in or made pursuant to this Agreement will remain in full force and effect, regardless of any investigation made by or on behalf of any Underwriter or the Company or any of its or their partners, affiliates, officers, directors or employees or any controlling person, as the case may be, and, anything herein to the contrary notwithstanding, will survive delivery of and payment for the Offered Shares sold hereunder and any termination of this Agreement.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15.           </w:t>
      </w:r>
      <w:r>
        <w:rPr>
          <w:rFonts w:ascii="Times New Roman" w:cs="Times New Roman" w:eastAsia="Times New Roman" w:hAnsi="Times New Roman"/>
          <w:sz w:val="18"/>
          <w:szCs w:val="18"/>
          <w:u w:val="single" w:color="auto"/>
          <w:color w:val="auto"/>
        </w:rPr>
        <w:t>  Notices</w:t>
      </w:r>
      <w:r>
        <w:rPr>
          <w:rFonts w:ascii="Times New Roman" w:cs="Times New Roman" w:eastAsia="Times New Roman" w:hAnsi="Times New Roman"/>
          <w:sz w:val="18"/>
          <w:szCs w:val="18"/>
          <w:color w:val="auto"/>
        </w:rPr>
        <w:t>. All communications hereunder shall be in writing and shall be mailed, hand delivered or telecopied and confirmed to the parties hereto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If to the Representatives:</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Leerink Partners LLC</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1301 Avenue of the Americas, 5th Floor</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New York, New York 10019</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Attention: Stuart R. Nayman, Esq.</w:t>
            </w:r>
          </w:p>
        </w:tc>
        <w:tc>
          <w:tcPr>
            <w:tcW w:w="0" w:type="dxa"/>
            <w:vAlign w:val="bottom"/>
          </w:tcPr>
          <w:p>
            <w:pPr>
              <w:spacing w:after="0"/>
              <w:rPr>
                <w:sz w:val="1"/>
                <w:szCs w:val="1"/>
                <w:color w:val="auto"/>
              </w:rPr>
            </w:pPr>
          </w:p>
        </w:tc>
      </w:tr>
      <w:tr>
        <w:trPr>
          <w:trHeight w:val="234"/>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0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TD Securities (USA) LLC</w:t>
            </w:r>
          </w:p>
        </w:tc>
        <w:tc>
          <w:tcPr>
            <w:tcW w:w="0" w:type="dxa"/>
            <w:vAlign w:val="bottom"/>
          </w:tcPr>
          <w:p>
            <w:pPr>
              <w:spacing w:after="0"/>
              <w:rPr>
                <w:sz w:val="1"/>
                <w:szCs w:val="1"/>
                <w:color w:val="auto"/>
              </w:rPr>
            </w:pPr>
          </w:p>
        </w:tc>
      </w:tr>
      <w:tr>
        <w:trPr>
          <w:trHeight w:val="198"/>
        </w:trPr>
        <w:tc>
          <w:tcPr>
            <w:tcW w:w="2040" w:type="dxa"/>
            <w:vAlign w:val="bottom"/>
          </w:tcPr>
          <w:p>
            <w:pPr>
              <w:spacing w:after="0"/>
              <w:rPr>
                <w:sz w:val="17"/>
                <w:szCs w:val="17"/>
                <w:color w:val="auto"/>
              </w:rPr>
            </w:pPr>
          </w:p>
        </w:tc>
        <w:tc>
          <w:tcPr>
            <w:tcW w:w="9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 Vanderbilt Avenue</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New York, New York 10017</w:t>
            </w:r>
          </w:p>
        </w:tc>
        <w:tc>
          <w:tcPr>
            <w:tcW w:w="0" w:type="dxa"/>
            <w:vAlign w:val="bottom"/>
          </w:tcPr>
          <w:p>
            <w:pPr>
              <w:spacing w:after="0"/>
              <w:rPr>
                <w:sz w:val="1"/>
                <w:szCs w:val="1"/>
                <w:color w:val="auto"/>
              </w:rPr>
            </w:pPr>
          </w:p>
        </w:tc>
      </w:tr>
      <w:tr>
        <w:trPr>
          <w:trHeight w:val="234"/>
        </w:trPr>
        <w:tc>
          <w:tcPr>
            <w:tcW w:w="2040" w:type="dxa"/>
            <w:vAlign w:val="bottom"/>
          </w:tcPr>
          <w:p>
            <w:pPr>
              <w:spacing w:after="0"/>
              <w:rPr>
                <w:sz w:val="20"/>
                <w:szCs w:val="20"/>
                <w:color w:val="auto"/>
              </w:rPr>
            </w:pP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Attention: Head of Equity Capital Markets, with a copy to CIBLegal@tdsecurities.com</w:t>
            </w:r>
          </w:p>
        </w:tc>
        <w:tc>
          <w:tcPr>
            <w:tcW w:w="0" w:type="dxa"/>
            <w:vAlign w:val="bottom"/>
          </w:tcPr>
          <w:p>
            <w:pPr>
              <w:spacing w:after="0"/>
              <w:rPr>
                <w:sz w:val="1"/>
                <w:szCs w:val="1"/>
                <w:color w:val="auto"/>
              </w:rPr>
            </w:pPr>
          </w:p>
        </w:tc>
      </w:tr>
      <w:tr>
        <w:trPr>
          <w:trHeight w:val="414"/>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with a copy to:</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Wilmer Cutler Pickering Hale and Dorr LLP</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250 Greenwich Street</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New York, NY 10007</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Attention: Lisa Firenze</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Facsimile: 212-230-8888</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If to the Company:</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Celldex Therapeutics, Inc.</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Perryville III Building</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53 Frontage Road, Suite 220</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Hampton, NJ 08827</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Attention: President and Chief Executive Officer</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Facsimile: 908-454-1911</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with a copy to:</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Lowenstein Sandler LLP</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1251 Avenue of the Americas</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New York, NY 10020</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Attention: Anthony O. Pergola, Esq.</w:t>
            </w:r>
          </w:p>
        </w:tc>
        <w:tc>
          <w:tcPr>
            <w:tcW w:w="0" w:type="dxa"/>
            <w:vAlign w:val="bottom"/>
          </w:tcPr>
          <w:p>
            <w:pPr>
              <w:spacing w:after="0"/>
              <w:rPr>
                <w:sz w:val="1"/>
                <w:szCs w:val="1"/>
                <w:color w:val="auto"/>
              </w:rPr>
            </w:pPr>
          </w:p>
        </w:tc>
      </w:tr>
      <w:tr>
        <w:trPr>
          <w:trHeight w:val="234"/>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Facsimile: 973-597-2445</w:t>
            </w:r>
          </w:p>
        </w:tc>
        <w:tc>
          <w:tcPr>
            <w:tcW w:w="0" w:type="dxa"/>
            <w:vAlign w:val="bottom"/>
          </w:tcPr>
          <w:p>
            <w:pPr>
              <w:spacing w:after="0"/>
              <w:rPr>
                <w:sz w:val="1"/>
                <w:szCs w:val="1"/>
                <w:color w:val="auto"/>
              </w:rPr>
            </w:pPr>
          </w:p>
        </w:tc>
      </w:tr>
      <w:tr>
        <w:trPr>
          <w:trHeight w:val="648"/>
        </w:trPr>
        <w:tc>
          <w:tcPr>
            <w:tcW w:w="2040" w:type="dxa"/>
            <w:vAlign w:val="bottom"/>
            <w:tcBorders>
              <w:bottom w:val="single" w:sz="8" w:color="auto"/>
            </w:tcBorders>
          </w:tcPr>
          <w:p>
            <w:pPr>
              <w:spacing w:after="0"/>
              <w:rPr>
                <w:sz w:val="24"/>
                <w:szCs w:val="24"/>
                <w:color w:val="auto"/>
              </w:rPr>
            </w:pPr>
          </w:p>
        </w:tc>
        <w:tc>
          <w:tcPr>
            <w:tcW w:w="9200" w:type="dxa"/>
            <w:vAlign w:val="bottom"/>
            <w:tcBorders>
              <w:bottom w:val="single" w:sz="8" w:color="auto"/>
            </w:tcBorders>
          </w:tcPr>
          <w:p>
            <w:pPr>
              <w:ind w:left="344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31" w:name="page32"/>
    <w:bookmarkEnd w:id="31"/>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Each party to this Agreement may change such address for notices by sending to the parties to this Agreement written notice of a new address for such purpose. Each such notice or other communication shall be deemed given (i) when delivered personally or by verifiable facsimile transmission (with an original to follow) on or before 4:30 p.m., New York City time, on a Business Day or, if such day is not a Business Day, on the next succeeding Business Day, (ii) on the next Business Day after timely delivery to a nationally-recognized overnight courier and (iii) on the Business Day actually received if deposited in the U.S. mail (certified or registered mail, return receipt requested, postage prepaid).</w:t>
      </w:r>
    </w:p>
    <w:p>
      <w:pPr>
        <w:spacing w:after="0" w:line="1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16.            </w:t>
      </w:r>
      <w:r>
        <w:rPr>
          <w:rFonts w:ascii="Times New Roman" w:cs="Times New Roman" w:eastAsia="Times New Roman" w:hAnsi="Times New Roman"/>
          <w:sz w:val="18"/>
          <w:szCs w:val="18"/>
          <w:u w:val="single" w:color="auto"/>
          <w:color w:val="auto"/>
        </w:rPr>
        <w:t>  Electronic Notice</w:t>
      </w:r>
      <w:r>
        <w:rPr>
          <w:rFonts w:ascii="Times New Roman" w:cs="Times New Roman" w:eastAsia="Times New Roman" w:hAnsi="Times New Roman"/>
          <w:sz w:val="18"/>
          <w:szCs w:val="18"/>
          <w:color w:val="auto"/>
        </w:rPr>
        <w:t>. An electronic communication (“</w:t>
      </w:r>
      <w:r>
        <w:rPr>
          <w:rFonts w:ascii="Times New Roman" w:cs="Times New Roman" w:eastAsia="Times New Roman" w:hAnsi="Times New Roman"/>
          <w:sz w:val="18"/>
          <w:szCs w:val="18"/>
          <w:b w:val="1"/>
          <w:bCs w:val="1"/>
          <w:color w:val="auto"/>
        </w:rPr>
        <w:t>Electronic Notice</w:t>
      </w:r>
      <w:r>
        <w:rPr>
          <w:rFonts w:ascii="Times New Roman" w:cs="Times New Roman" w:eastAsia="Times New Roman" w:hAnsi="Times New Roman"/>
          <w:sz w:val="18"/>
          <w:szCs w:val="18"/>
          <w:color w:val="auto"/>
        </w:rPr>
        <w:t>”) shall be deemed written notice for purposes of this Section 16 if sent to the electronic mail address specified by the receiving party under separate cover. Electronic Notice shall be deemed received at the time the party sending Electronic Notice receives verification of receipt by the receiving party. Any party receiving Electronic Notice may request and shall be entitled to receive the notice on paper, in a nonelectronic form (“</w:t>
      </w:r>
      <w:r>
        <w:rPr>
          <w:rFonts w:ascii="Times New Roman" w:cs="Times New Roman" w:eastAsia="Times New Roman" w:hAnsi="Times New Roman"/>
          <w:sz w:val="18"/>
          <w:szCs w:val="18"/>
          <w:b w:val="1"/>
          <w:bCs w:val="1"/>
          <w:color w:val="auto"/>
        </w:rPr>
        <w:t>Nonelectronic Notice</w:t>
      </w:r>
      <w:r>
        <w:rPr>
          <w:rFonts w:ascii="Times New Roman" w:cs="Times New Roman" w:eastAsia="Times New Roman" w:hAnsi="Times New Roman"/>
          <w:sz w:val="18"/>
          <w:szCs w:val="18"/>
          <w:color w:val="auto"/>
        </w:rPr>
        <w:t>”) which shall be sent to the requesting party within ten (10) days of receipt of the written request for Nonelectronic Notice.</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17.            </w:t>
      </w:r>
      <w:r>
        <w:rPr>
          <w:rFonts w:ascii="Times New Roman" w:cs="Times New Roman" w:eastAsia="Times New Roman" w:hAnsi="Times New Roman"/>
          <w:sz w:val="18"/>
          <w:szCs w:val="18"/>
          <w:u w:val="single" w:color="auto"/>
          <w:color w:val="auto"/>
        </w:rPr>
        <w:t>  Successors and Assigns</w:t>
      </w:r>
      <w:r>
        <w:rPr>
          <w:rFonts w:ascii="Times New Roman" w:cs="Times New Roman" w:eastAsia="Times New Roman" w:hAnsi="Times New Roman"/>
          <w:sz w:val="18"/>
          <w:szCs w:val="18"/>
          <w:color w:val="auto"/>
        </w:rPr>
        <w:t xml:space="preserve">. This Agreement shall inure to the benefit of and be binding upon the Company and the Underwriters and their respective successors and the parties referred to in Section 11. References to any of the parties contained in this Agreement shall be deemed to include the successors and permitted assigns of such party. Nothing in this Agreement, express or implied, is intended to confer upon any party other than the parties hereto or their respective successors and permitted assigns any rights, remedies, obligations or liabilities under or by reason of this Agreement, except as expressly provided in this Agreement. Neither party may assign its rights or obligations under this Agreement without the prior written consent of the other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each of the Representatives may assign its rights and obligations hereunder to an affiliate thereof without obtaining the Company’s consent. </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18.           </w:t>
      </w:r>
      <w:r>
        <w:rPr>
          <w:rFonts w:ascii="Times New Roman" w:cs="Times New Roman" w:eastAsia="Times New Roman" w:hAnsi="Times New Roman"/>
          <w:sz w:val="18"/>
          <w:szCs w:val="18"/>
          <w:u w:val="single" w:color="auto"/>
          <w:color w:val="auto"/>
        </w:rPr>
        <w:t>  Partial Unenforceability</w:t>
      </w:r>
      <w:r>
        <w:rPr>
          <w:rFonts w:ascii="Times New Roman" w:cs="Times New Roman" w:eastAsia="Times New Roman" w:hAnsi="Times New Roman"/>
          <w:sz w:val="18"/>
          <w:szCs w:val="18"/>
          <w:color w:val="auto"/>
        </w:rPr>
        <w:t>. The invalidity or unenforceability of any section, paragraph or provision of this Agreement shall not affect the validity or enforceability of any other section, paragraph or provision hereof. If any section, paragraph or provision of this Agreement is for any reason determined to be invalid or unenforceable, there shall be deemed to be made such minor changes (and only such minor changes) as are necessary to make it valid and enforceable.</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19.           </w:t>
      </w:r>
      <w:r>
        <w:rPr>
          <w:rFonts w:ascii="Times New Roman" w:cs="Times New Roman" w:eastAsia="Times New Roman" w:hAnsi="Times New Roman"/>
          <w:sz w:val="18"/>
          <w:szCs w:val="18"/>
          <w:u w:val="single" w:color="auto"/>
          <w:color w:val="auto"/>
        </w:rPr>
        <w:t>  Entire Agreement; Amendment; Severability; Waiver</w:t>
      </w:r>
      <w:r>
        <w:rPr>
          <w:rFonts w:ascii="Times New Roman" w:cs="Times New Roman" w:eastAsia="Times New Roman" w:hAnsi="Times New Roman"/>
          <w:sz w:val="18"/>
          <w:szCs w:val="18"/>
          <w:color w:val="auto"/>
        </w:rPr>
        <w:t>. This Agreement (including all schedules and exhibits attached hereto issued pursuant hereto) constitutes the entire agreement and supersedes all other prior and contemporaneous agreements and undertakings, both written and oral, among the parties hereto with regard to the subject matter hereof. Neither this Agreement nor any term hereof may be amended except pursuant to a written instrument executed by the Company and the Representatives. In the event that any one or more of the provisions contained herein, or the application thereof in any circumstance, is held invalid, illegal or unenforceable as written by a court of competent jurisdiction, then such provision shall be given full force and effect to the fullest possible extent that it is valid, legal and enforceable, and the remainder of the terms and provisions herein shall be construed as if such invalid, illegal or unenforceable term or provision was not contained herein, but only to the extent that giving effect to such provision and the remainder of the terms and provisions hereof shall be in accordance with the intent of the parties as reflected in this Agreement. No implied waiver by a party shall arise in the absence of a waiver in writing signed by such party. No failure or delay in exercising any right, power, or privilege hereunder shall operate as a waiver thereof, nor shall any single or partial exercise thereof preclude any other or further exercise thereof or the exercise of any right, power, or privilege hereunder.</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20.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GOVERNING LAW AND TIME; WAIVER OF JURY TRIAL</w:t>
      </w:r>
      <w:r>
        <w:rPr>
          <w:rFonts w:ascii="Times New Roman" w:cs="Times New Roman" w:eastAsia="Times New Roman" w:hAnsi="Times New Roman"/>
          <w:sz w:val="18"/>
          <w:szCs w:val="18"/>
          <w:b w:val="1"/>
          <w:bCs w:val="1"/>
          <w:color w:val="auto"/>
        </w:rPr>
        <w:t>. THIS AGREEMENT SHALL BE GOVERNED BY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CONSTRUED IN ACCORDANCE WITH THE LAWS OF THE STATE OF NEW YORK WITHOUT REGARD TO THE PRINCIPLES OF CONFLICTS OF LAWS. SPECIFIED TIMES OF DAY REFER TO NEW YORK CITY TIME. EACH PARTY HEREBY IRREVOCABLY WAIVES, TO THE FULLEST EXTENT PERMITTED BY APPLICABLE LAW, ANY AND ALL RIGHT TO TRIAL BY JURY IN ANY LEGAL PROCEEDING ARISING OUT OF OR RELATING TO THIS AGREEMENT OR THE TRANSACTIONS CONTEMPLATED HEREBY.</w:t>
      </w:r>
    </w:p>
    <w:p>
      <w:pPr>
        <w:spacing w:after="0" w:line="18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21.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CONSENT TO JURISDICTION</w:t>
      </w:r>
      <w:r>
        <w:rPr>
          <w:rFonts w:ascii="Times New Roman" w:cs="Times New Roman" w:eastAsia="Times New Roman" w:hAnsi="Times New Roman"/>
          <w:sz w:val="18"/>
          <w:szCs w:val="18"/>
          <w:b w:val="1"/>
          <w:bCs w:val="1"/>
          <w:color w:val="auto"/>
        </w:rPr>
        <w:t>. EACH PARTY HEREBY IRREVOCABLY SUBMITS TO THE EXCLUSIVE JURISDICTION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OF THE STATE AND FEDERAL COURTS SITTING IN THE CITY OF NEW YORK, BOROUGH OF MANHATTAN, FOR THE ADJUDICATION OF ANY DISPUTE HEREUNDER OR IN CONNECTION WITH ANY TRANSACTION CONTEMPLATED 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(CERTIFIED OR REGISTERED MAIL, RETURN RECEIPT REQUESTED) TO SUCH PARTY AT THE ADDRESS IN EFFECT FOR NOTICES TO IT UNDER THIS AGREEMENT AND AGREES THAT SUCH SERVICE SHALL CONSTITUTE GOOD AND SUFFICIENT SERVICE OF PROCESS AND NOTICE THEREOF. NOTHING CONTAINED HEREIN SHALL BE DEEMED TO LIMIT IN ANY WAY ANY RIGHT TO SERVE PROCESS IN ANY MANNER PERMITTED BY LAW.</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22.           </w:t>
      </w:r>
      <w:r>
        <w:rPr>
          <w:rFonts w:ascii="Times New Roman" w:cs="Times New Roman" w:eastAsia="Times New Roman" w:hAnsi="Times New Roman"/>
          <w:sz w:val="18"/>
          <w:szCs w:val="18"/>
          <w:u w:val="single" w:color="auto"/>
          <w:color w:val="auto"/>
        </w:rPr>
        <w:t>  Counterparts</w:t>
      </w:r>
      <w:r>
        <w:rPr>
          <w:rFonts w:ascii="Times New Roman" w:cs="Times New Roman" w:eastAsia="Times New Roman" w:hAnsi="Times New Roman"/>
          <w:sz w:val="18"/>
          <w:szCs w:val="18"/>
          <w:color w:val="auto"/>
        </w:rPr>
        <w:t>. This Agreement may be executed in two or more counterparts, each of which shall be deemed an original, but all of which together shall constitute one and the same instrument. Delivery of an executed Agreement by one party to the other may be made by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23.           </w:t>
      </w:r>
      <w:r>
        <w:rPr>
          <w:rFonts w:ascii="Times New Roman" w:cs="Times New Roman" w:eastAsia="Times New Roman" w:hAnsi="Times New Roman"/>
          <w:sz w:val="18"/>
          <w:szCs w:val="18"/>
          <w:u w:val="single" w:color="auto"/>
          <w:color w:val="auto"/>
        </w:rPr>
        <w:t>  Construction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the section and exhibit headings herein are for convenience only and shall not affect the construction hereof;</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words defined in the singular shall have a comparable meaning when used in the plural, and vice versa;</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(c)               the words “hereof,” “hereto,” “herein” and “hereunder” and words of similar import, when used in this Agreement, shall refer to this Agreement as a whole and not to any particular provision of this Agreement;</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(d)               wherever the word “include,” “includes” or “including” is used in this Agreement, it shall be deemed to be followed by the words “without limitation”;</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               references herein to any gender shall include each other gender;</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(f)                references herein to any law, statute, ordinance, code, regulation, rule or other requirement of any Governmental Authority shall be deemed to refer to such law, statute, ordinance, code, regulation, rule or other requirement of any Governmental Authority as amended, reenacted, supplemented or superseded in whole or in part and in effect from time to time and also to all rules and regulations promulgated thereunder;</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3" w:name="page34"/>
    <w:bookmarkEnd w:id="33"/>
    <w:p>
      <w:pPr>
        <w:jc w:val="both"/>
        <w:ind w:firstLine="1296"/>
        <w:spacing w:after="0" w:line="312" w:lineRule="auto"/>
        <w:rPr>
          <w:sz w:val="20"/>
          <w:szCs w:val="20"/>
          <w:color w:val="auto"/>
        </w:rPr>
      </w:pPr>
      <w:r>
        <w:rPr>
          <w:rFonts w:ascii="Times New Roman" w:cs="Times New Roman" w:eastAsia="Times New Roman" w:hAnsi="Times New Roman"/>
          <w:sz w:val="17"/>
          <w:szCs w:val="17"/>
          <w:color w:val="auto"/>
        </w:rPr>
        <w:t>(g)               if the last day for the giving of any notice or the performance of any act required or permitted under this Agreement is a day that is not a Business Day, then the time for the giving of such notice or the performance of such action shall be extended to the next succeeding Business Day;</w:t>
      </w:r>
    </w:p>
    <w:p>
      <w:pPr>
        <w:spacing w:after="0" w:line="136" w:lineRule="exact"/>
        <w:rPr>
          <w:sz w:val="20"/>
          <w:szCs w:val="20"/>
          <w:color w:val="auto"/>
        </w:rPr>
      </w:pPr>
    </w:p>
    <w:p>
      <w:pPr>
        <w:jc w:val="both"/>
        <w:ind w:right="20" w:firstLine="1296"/>
        <w:spacing w:after="0" w:line="286"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b w:val="1"/>
          <w:bCs w:val="1"/>
          <w:color w:val="auto"/>
        </w:rPr>
        <w:t>knowledge</w:t>
      </w:r>
      <w:r>
        <w:rPr>
          <w:rFonts w:ascii="Times New Roman" w:cs="Times New Roman" w:eastAsia="Times New Roman" w:hAnsi="Times New Roman"/>
          <w:sz w:val="18"/>
          <w:szCs w:val="18"/>
          <w:color w:val="auto"/>
        </w:rPr>
        <w:t>” means, as it pertains to the Company, the actual knowledge of the officers and directors of the Company, together with the knowledge which they would have had if they had conducted a reasonable inquiry of the relevant persons into the relevant subject matter;</w:t>
      </w:r>
    </w:p>
    <w:p>
      <w:pPr>
        <w:spacing w:after="0" w:line="15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means (i) any federal, provincial, state, local, municipal, national or international government or governmental authority, regulatory or administrative agency, governmental commission, department, board, bureau, agency or instrumentality, court, tribunal, arbitrator or arbitral body (public or private); (ii) any self-regulatory organization; or (iii) any political subdivision of any of the foregoing;</w:t>
      </w:r>
    </w:p>
    <w:p>
      <w:pPr>
        <w:spacing w:after="0" w:line="171"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b w:val="1"/>
          <w:bCs w:val="1"/>
          <w:color w:val="auto"/>
        </w:rPr>
        <w:t>Law</w:t>
      </w:r>
      <w:r>
        <w:rPr>
          <w:rFonts w:ascii="Times New Roman" w:cs="Times New Roman" w:eastAsia="Times New Roman" w:hAnsi="Times New Roman"/>
          <w:sz w:val="18"/>
          <w:szCs w:val="18"/>
          <w:color w:val="auto"/>
        </w:rPr>
        <w:t>” means any and all laws, including all federal, state, local, municipal, national or foreign statutes, codes, ordinances, guidelines, decrees, rules, regulations and by-laws and all judicial, arbitral, administrative, ministerial, departmental or regulatory judgments, orders, directives, decisions, rulings or awards or other requirements of any Governmental Authority, binding on or affecting the person referred to in the context in which the term is used and rules, regulations and policies of any stock exchange on which securities of the Company are listed for trading; and</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on which the Nasdaq and commercial banks in the City of New York are open for business.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24.           </w:t>
      </w:r>
      <w:r>
        <w:rPr>
          <w:rFonts w:ascii="Times New Roman" w:cs="Times New Roman" w:eastAsia="Times New Roman" w:hAnsi="Times New Roman"/>
          <w:sz w:val="18"/>
          <w:szCs w:val="18"/>
          <w:u w:val="single" w:color="auto"/>
          <w:color w:val="auto"/>
        </w:rPr>
        <w:t>  Recognition of the U.S. Special Resolution Regimes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(a)              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For purposes of this Agreement, (A) “</w:t>
      </w:r>
      <w:r>
        <w:rPr>
          <w:rFonts w:ascii="Times New Roman" w:cs="Times New Roman" w:eastAsia="Times New Roman" w:hAnsi="Times New Roman"/>
          <w:sz w:val="18"/>
          <w:szCs w:val="18"/>
          <w:b w:val="1"/>
          <w:bCs w:val="1"/>
          <w:color w:val="auto"/>
        </w:rPr>
        <w:t>BHC Act Affiliate</w:t>
      </w:r>
      <w:r>
        <w:rPr>
          <w:rFonts w:ascii="Times New Roman" w:cs="Times New Roman" w:eastAsia="Times New Roman" w:hAnsi="Times New Roman"/>
          <w:sz w:val="18"/>
          <w:szCs w:val="18"/>
          <w:color w:val="auto"/>
        </w:rPr>
        <w:t>” has the meaning assigned to the term “affiliate” in, and shall be interpreted in accordance with, 12 U.S.C. § 1841(k); (B) “</w:t>
      </w:r>
      <w:r>
        <w:rPr>
          <w:rFonts w:ascii="Times New Roman" w:cs="Times New Roman" w:eastAsia="Times New Roman" w:hAnsi="Times New Roman"/>
          <w:sz w:val="18"/>
          <w:szCs w:val="18"/>
          <w:b w:val="1"/>
          <w:bCs w:val="1"/>
          <w:color w:val="auto"/>
        </w:rPr>
        <w:t>Covered Entity</w:t>
      </w:r>
      <w:r>
        <w:rPr>
          <w:rFonts w:ascii="Times New Roman" w:cs="Times New Roman" w:eastAsia="Times New Roman" w:hAnsi="Times New Roman"/>
          <w:sz w:val="18"/>
          <w:szCs w:val="18"/>
          <w:color w:val="auto"/>
        </w:rPr>
        <w:t>” means any of the following: (i) a “covered entity” as that term is defined in, and interpreted in accordance with, 12 C.F.R. § 252.82(b); (ii) a “</w:t>
      </w:r>
      <w:r>
        <w:rPr>
          <w:rFonts w:ascii="Times New Roman" w:cs="Times New Roman" w:eastAsia="Times New Roman" w:hAnsi="Times New Roman"/>
          <w:sz w:val="18"/>
          <w:szCs w:val="18"/>
          <w:b w:val="1"/>
          <w:bCs w:val="1"/>
          <w:color w:val="auto"/>
        </w:rPr>
        <w:t>covered bank</w:t>
      </w:r>
      <w:r>
        <w:rPr>
          <w:rFonts w:ascii="Times New Roman" w:cs="Times New Roman" w:eastAsia="Times New Roman" w:hAnsi="Times New Roman"/>
          <w:sz w:val="18"/>
          <w:szCs w:val="18"/>
          <w:color w:val="auto"/>
        </w:rPr>
        <w:t>” as that term is defined in, and interpreted in accordance with, 12 C.F.R. § 47.3(b); or</w:t>
      </w:r>
    </w:p>
    <w:p>
      <w:pPr>
        <w:jc w:val="both"/>
        <w:ind w:firstLine="8"/>
        <w:spacing w:after="0" w:line="253" w:lineRule="auto"/>
        <w:tabs>
          <w:tab w:leader="none" w:pos="3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covered FSI</w:t>
      </w:r>
      <w:r>
        <w:rPr>
          <w:rFonts w:ascii="Times New Roman" w:cs="Times New Roman" w:eastAsia="Times New Roman" w:hAnsi="Times New Roman"/>
          <w:sz w:val="18"/>
          <w:szCs w:val="18"/>
          <w:color w:val="auto"/>
        </w:rPr>
        <w:t>” as that term is defined in, and interpreted in accordance with, 12 C.F.R. § 382.2(b); (C) “</w:t>
      </w:r>
      <w:r>
        <w:rPr>
          <w:rFonts w:ascii="Times New Roman" w:cs="Times New Roman" w:eastAsia="Times New Roman" w:hAnsi="Times New Roman"/>
          <w:sz w:val="18"/>
          <w:szCs w:val="18"/>
          <w:b w:val="1"/>
          <w:bCs w:val="1"/>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 and (D) “</w:t>
      </w:r>
      <w:r>
        <w:rPr>
          <w:rFonts w:ascii="Times New Roman" w:cs="Times New Roman" w:eastAsia="Times New Roman" w:hAnsi="Times New Roman"/>
          <w:sz w:val="18"/>
          <w:szCs w:val="18"/>
          <w:b w:val="1"/>
          <w:bCs w:val="1"/>
          <w:color w:val="auto"/>
        </w:rPr>
        <w:t>U.S. Special Resolution Regime</w:t>
      </w:r>
      <w:r>
        <w:rPr>
          <w:rFonts w:ascii="Times New Roman" w:cs="Times New Roman" w:eastAsia="Times New Roman" w:hAnsi="Times New Roman"/>
          <w:sz w:val="18"/>
          <w:szCs w:val="18"/>
          <w:color w:val="auto"/>
        </w:rPr>
        <w:t>” means each of (i) the Federal Deposit Insurance Act and the regulations promulgated thereunder and (ii) Title II of the Dodd-Frank Wall Street Reform and Consumer Protection Act and the regulations promulgated thereunder.</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25.           </w:t>
      </w:r>
      <w:r>
        <w:rPr>
          <w:rFonts w:ascii="Times New Roman" w:cs="Times New Roman" w:eastAsia="Times New Roman" w:hAnsi="Times New Roman"/>
          <w:sz w:val="18"/>
          <w:szCs w:val="18"/>
          <w:u w:val="single" w:color="auto"/>
          <w:color w:val="auto"/>
        </w:rPr>
        <w:t>  General Provisions</w:t>
      </w:r>
      <w:r>
        <w:rPr>
          <w:rFonts w:ascii="Times New Roman" w:cs="Times New Roman" w:eastAsia="Times New Roman" w:hAnsi="Times New Roman"/>
          <w:sz w:val="18"/>
          <w:szCs w:val="18"/>
          <w:color w:val="auto"/>
        </w:rPr>
        <w:t>. Each of the parties hereto acknowledges that it is a sophisticated business person who was adequately represented by counsel during negotiations regarding the provisions hereof, including the indemnification provisions of Section 9 and the contribution provisions of Section 10, and is fully informed regarding said provisions. Each of the parties hereto further acknowledges that the provisions of Section 9 and Section 10 hereof fairly allocate the risks in light of the ability of the parties to investigate the Company, its affairs and its business in order to assure that adequate disclosure has been made in the Registration Statement, any preliminary prospectus, the Time of Sale Prospectus, each free writing prospectus and the Prospectus (and any amendments and supplements to the foregoing), as contemplated by the Securities Act and the Exchange Act.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If the foregoing correctly sets forth the understanding between the Company and the Underwriters, please so indicate in the space provided below for that purpose, whereupon this letter shall constitute a binding agreement between the Company and the Underwriters.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20" w:type="dxa"/>
            <w:vAlign w:val="bottom"/>
            <w:gridSpan w:val="4"/>
          </w:tcPr>
          <w:p>
            <w:pPr>
              <w:ind w:left="2780"/>
              <w:spacing w:after="0"/>
              <w:rPr>
                <w:sz w:val="20"/>
                <w:szCs w:val="20"/>
                <w:color w:val="auto"/>
              </w:rPr>
            </w:pPr>
            <w:r>
              <w:rPr>
                <w:rFonts w:ascii="Times New Roman" w:cs="Times New Roman" w:eastAsia="Times New Roman" w:hAnsi="Times New Roman"/>
                <w:sz w:val="18"/>
                <w:szCs w:val="18"/>
                <w:color w:val="auto"/>
              </w:rPr>
              <w:t>Very truly yours,</w:t>
            </w: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140" w:type="dxa"/>
            <w:vAlign w:val="bottom"/>
          </w:tcPr>
          <w:p>
            <w:pPr>
              <w:ind w:left="2780"/>
              <w:spacing w:after="0"/>
              <w:rPr>
                <w:sz w:val="20"/>
                <w:szCs w:val="20"/>
                <w:color w:val="auto"/>
              </w:rPr>
            </w:pPr>
            <w:r>
              <w:rPr>
                <w:rFonts w:ascii="Times New Roman" w:cs="Times New Roman" w:eastAsia="Times New Roman" w:hAnsi="Times New Roman"/>
                <w:sz w:val="18"/>
                <w:szCs w:val="18"/>
                <w:color w:val="auto"/>
              </w:rPr>
              <w:t> </w:t>
            </w:r>
          </w:p>
        </w:tc>
        <w:tc>
          <w:tcPr>
            <w:tcW w:w="4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20" w:type="dxa"/>
            <w:vAlign w:val="bottom"/>
            <w:gridSpan w:val="4"/>
          </w:tcPr>
          <w:p>
            <w:pPr>
              <w:ind w:left="2780"/>
              <w:spacing w:after="0"/>
              <w:rPr>
                <w:sz w:val="20"/>
                <w:szCs w:val="20"/>
                <w:color w:val="auto"/>
              </w:rPr>
            </w:pPr>
            <w:r>
              <w:rPr>
                <w:rFonts w:ascii="Times New Roman" w:cs="Times New Roman" w:eastAsia="Times New Roman" w:hAnsi="Times New Roman"/>
                <w:sz w:val="18"/>
                <w:szCs w:val="18"/>
                <w:color w:val="auto"/>
              </w:rPr>
              <w:t>CELLDEX THERAPEUTICS, INC.</w:t>
            </w: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140" w:type="dxa"/>
            <w:vAlign w:val="bottom"/>
          </w:tcPr>
          <w:p>
            <w:pPr>
              <w:ind w:left="2780"/>
              <w:spacing w:after="0"/>
              <w:rPr>
                <w:sz w:val="20"/>
                <w:szCs w:val="20"/>
                <w:color w:val="auto"/>
              </w:rPr>
            </w:pPr>
            <w:r>
              <w:rPr>
                <w:rFonts w:ascii="Times New Roman" w:cs="Times New Roman" w:eastAsia="Times New Roman" w:hAnsi="Times New Roman"/>
                <w:sz w:val="18"/>
                <w:szCs w:val="18"/>
                <w:color w:val="auto"/>
              </w:rPr>
              <w:t> </w:t>
            </w:r>
          </w:p>
        </w:tc>
        <w:tc>
          <w:tcPr>
            <w:tcW w:w="4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3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20" w:type="dxa"/>
            <w:vAlign w:val="bottom"/>
            <w:gridSpan w:val="4"/>
          </w:tcPr>
          <w:p>
            <w:pPr>
              <w:ind w:left="2780"/>
              <w:spacing w:after="0"/>
              <w:rPr>
                <w:sz w:val="20"/>
                <w:szCs w:val="20"/>
                <w:color w:val="auto"/>
              </w:rPr>
            </w:pPr>
            <w:r>
              <w:rPr>
                <w:rFonts w:ascii="Times New Roman" w:cs="Times New Roman" w:eastAsia="Times New Roman" w:hAnsi="Times New Roman"/>
                <w:sz w:val="18"/>
                <w:szCs w:val="18"/>
                <w:color w:val="auto"/>
              </w:rPr>
              <w:t>By: /s/ Anthony S. Marucci</w:t>
            </w:r>
          </w:p>
        </w:tc>
      </w:tr>
      <w:tr>
        <w:trPr>
          <w:trHeight w:val="191"/>
        </w:trPr>
        <w:tc>
          <w:tcPr>
            <w:tcW w:w="2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3140" w:type="dxa"/>
            <w:vAlign w:val="bottom"/>
          </w:tcPr>
          <w:p>
            <w:pPr>
              <w:ind w:left="278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280" w:type="dxa"/>
            <w:vAlign w:val="bottom"/>
            <w:tcBorders>
              <w:top w:val="single" w:sz="8" w:color="auto"/>
            </w:tcBorders>
            <w:gridSpan w:val="3"/>
          </w:tcPr>
          <w:p>
            <w:pPr>
              <w:spacing w:after="0" w:line="191" w:lineRule="exact"/>
              <w:rPr>
                <w:sz w:val="20"/>
                <w:szCs w:val="20"/>
                <w:color w:val="auto"/>
              </w:rPr>
            </w:pPr>
            <w:r>
              <w:rPr>
                <w:rFonts w:ascii="Times New Roman" w:cs="Times New Roman" w:eastAsia="Times New Roman" w:hAnsi="Times New Roman"/>
                <w:sz w:val="18"/>
                <w:szCs w:val="18"/>
                <w:color w:val="auto"/>
              </w:rPr>
              <w:t>Name: Anthony S. Marucci</w:t>
            </w: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140" w:type="dxa"/>
            <w:vAlign w:val="bottom"/>
          </w:tcPr>
          <w:p>
            <w:pPr>
              <w:ind w:left="2780"/>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Title: Chief Executive Officer</w:t>
            </w: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140" w:type="dxa"/>
            <w:vAlign w:val="bottom"/>
          </w:tcPr>
          <w:p>
            <w:pPr>
              <w:ind w:left="2780"/>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3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20" w:type="dxa"/>
            <w:vAlign w:val="bottom"/>
            <w:gridSpan w:val="4"/>
          </w:tcPr>
          <w:p>
            <w:pPr>
              <w:ind w:left="2780"/>
              <w:spacing w:after="0"/>
              <w:rPr>
                <w:sz w:val="20"/>
                <w:szCs w:val="20"/>
                <w:color w:val="auto"/>
              </w:rPr>
            </w:pPr>
            <w:r>
              <w:rPr>
                <w:rFonts w:ascii="Times New Roman" w:cs="Times New Roman" w:eastAsia="Times New Roman" w:hAnsi="Times New Roman"/>
                <w:sz w:val="18"/>
                <w:szCs w:val="18"/>
                <w:color w:val="auto"/>
              </w:rPr>
              <w:t>ACCEPTED as of the date first-above written:</w:t>
            </w:r>
          </w:p>
        </w:tc>
      </w:tr>
      <w:tr>
        <w:trPr>
          <w:trHeight w:val="41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20" w:type="dxa"/>
            <w:vAlign w:val="bottom"/>
            <w:gridSpan w:val="4"/>
          </w:tcPr>
          <w:p>
            <w:pPr>
              <w:ind w:left="2780"/>
              <w:spacing w:after="0"/>
              <w:rPr>
                <w:sz w:val="20"/>
                <w:szCs w:val="20"/>
                <w:color w:val="auto"/>
              </w:rPr>
            </w:pPr>
            <w:r>
              <w:rPr>
                <w:rFonts w:ascii="Times New Roman" w:cs="Times New Roman" w:eastAsia="Times New Roman" w:hAnsi="Times New Roman"/>
                <w:sz w:val="18"/>
                <w:szCs w:val="18"/>
                <w:color w:val="auto"/>
              </w:rPr>
              <w:t>LEERINK PARTNERS LLC  </w:t>
            </w: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140" w:type="dxa"/>
            <w:vAlign w:val="bottom"/>
          </w:tcPr>
          <w:p>
            <w:pPr>
              <w:ind w:left="2780"/>
              <w:spacing w:after="0"/>
              <w:rPr>
                <w:sz w:val="20"/>
                <w:szCs w:val="20"/>
                <w:color w:val="auto"/>
              </w:rPr>
            </w:pPr>
            <w:r>
              <w:rPr>
                <w:rFonts w:ascii="Times New Roman" w:cs="Times New Roman" w:eastAsia="Times New Roman" w:hAnsi="Times New Roman"/>
                <w:sz w:val="18"/>
                <w:szCs w:val="18"/>
                <w:color w:val="auto"/>
              </w:rPr>
              <w:t> </w:t>
            </w:r>
          </w:p>
        </w:tc>
        <w:tc>
          <w:tcPr>
            <w:tcW w:w="4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3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20" w:type="dxa"/>
            <w:vAlign w:val="bottom"/>
            <w:gridSpan w:val="4"/>
          </w:tcPr>
          <w:p>
            <w:pPr>
              <w:ind w:left="2780"/>
              <w:spacing w:after="0"/>
              <w:rPr>
                <w:sz w:val="20"/>
                <w:szCs w:val="20"/>
                <w:color w:val="auto"/>
              </w:rPr>
            </w:pPr>
            <w:r>
              <w:rPr>
                <w:rFonts w:ascii="Times New Roman" w:cs="Times New Roman" w:eastAsia="Times New Roman" w:hAnsi="Times New Roman"/>
                <w:sz w:val="18"/>
                <w:szCs w:val="18"/>
                <w:color w:val="auto"/>
              </w:rPr>
              <w:t>By: /s/ Sean Pitt</w:t>
            </w:r>
          </w:p>
        </w:tc>
      </w:tr>
      <w:tr>
        <w:trPr>
          <w:trHeight w:val="191"/>
        </w:trPr>
        <w:tc>
          <w:tcPr>
            <w:tcW w:w="2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3140" w:type="dxa"/>
            <w:vAlign w:val="bottom"/>
          </w:tcPr>
          <w:p>
            <w:pPr>
              <w:ind w:left="278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280" w:type="dxa"/>
            <w:vAlign w:val="bottom"/>
            <w:tcBorders>
              <w:top w:val="single" w:sz="8" w:color="auto"/>
            </w:tcBorders>
            <w:gridSpan w:val="3"/>
          </w:tcPr>
          <w:p>
            <w:pPr>
              <w:spacing w:after="0" w:line="191" w:lineRule="exact"/>
              <w:rPr>
                <w:sz w:val="20"/>
                <w:szCs w:val="20"/>
                <w:color w:val="auto"/>
              </w:rPr>
            </w:pPr>
            <w:r>
              <w:rPr>
                <w:rFonts w:ascii="Times New Roman" w:cs="Times New Roman" w:eastAsia="Times New Roman" w:hAnsi="Times New Roman"/>
                <w:sz w:val="18"/>
                <w:szCs w:val="18"/>
                <w:color w:val="auto"/>
              </w:rPr>
              <w:t>Name: Sean Pitt</w:t>
            </w: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140" w:type="dxa"/>
            <w:vAlign w:val="bottom"/>
          </w:tcPr>
          <w:p>
            <w:pPr>
              <w:ind w:left="2780"/>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Title: Senior Managing Director</w:t>
            </w: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140" w:type="dxa"/>
            <w:vAlign w:val="bottom"/>
          </w:tcPr>
          <w:p>
            <w:pPr>
              <w:ind w:left="2780"/>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194"/>
        </w:trPr>
        <w:tc>
          <w:tcPr>
            <w:tcW w:w="282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5280" w:type="dxa"/>
            <w:vAlign w:val="bottom"/>
            <w:gridSpan w:val="3"/>
          </w:tcPr>
          <w:p>
            <w:pPr>
              <w:ind w:left="200"/>
              <w:spacing w:after="0" w:line="194" w:lineRule="exact"/>
              <w:rPr>
                <w:sz w:val="20"/>
                <w:szCs w:val="20"/>
                <w:color w:val="auto"/>
              </w:rPr>
            </w:pPr>
            <w:r>
              <w:rPr>
                <w:rFonts w:ascii="Times New Roman" w:cs="Times New Roman" w:eastAsia="Times New Roman" w:hAnsi="Times New Roman"/>
                <w:sz w:val="18"/>
                <w:szCs w:val="18"/>
                <w:color w:val="auto"/>
              </w:rPr>
              <w:t>For itself and the other several Underwriters named in Schedule A to</w:t>
            </w:r>
          </w:p>
        </w:tc>
      </w:tr>
      <w:tr>
        <w:trPr>
          <w:trHeight w:val="237"/>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140" w:type="dxa"/>
            <w:vAlign w:val="bottom"/>
          </w:tcPr>
          <w:p>
            <w:pPr>
              <w:spacing w:after="0"/>
              <w:rPr>
                <w:sz w:val="20"/>
                <w:szCs w:val="20"/>
                <w:color w:val="auto"/>
              </w:rPr>
            </w:pPr>
          </w:p>
        </w:tc>
        <w:tc>
          <w:tcPr>
            <w:tcW w:w="4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this Agreement.</w:t>
            </w:r>
          </w:p>
        </w:tc>
        <w:tc>
          <w:tcPr>
            <w:tcW w:w="84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r>
      <w:tr>
        <w:trPr>
          <w:trHeight w:val="432"/>
        </w:trPr>
        <w:tc>
          <w:tcPr>
            <w:tcW w:w="2820" w:type="dxa"/>
            <w:vAlign w:val="bottom"/>
          </w:tcPr>
          <w:p>
            <w:pPr>
              <w:spacing w:after="0"/>
              <w:rPr>
                <w:sz w:val="24"/>
                <w:szCs w:val="24"/>
                <w:color w:val="auto"/>
              </w:rPr>
            </w:pPr>
          </w:p>
        </w:tc>
        <w:tc>
          <w:tcPr>
            <w:tcW w:w="8420" w:type="dxa"/>
            <w:vAlign w:val="bottom"/>
            <w:gridSpan w:val="4"/>
          </w:tcPr>
          <w:p>
            <w:pPr>
              <w:ind w:left="2780"/>
              <w:spacing w:after="0"/>
              <w:rPr>
                <w:sz w:val="20"/>
                <w:szCs w:val="20"/>
                <w:color w:val="auto"/>
              </w:rPr>
            </w:pPr>
            <w:r>
              <w:rPr>
                <w:rFonts w:ascii="Times New Roman" w:cs="Times New Roman" w:eastAsia="Times New Roman" w:hAnsi="Times New Roman"/>
                <w:sz w:val="18"/>
                <w:szCs w:val="18"/>
                <w:color w:val="auto"/>
              </w:rPr>
              <w:t>ACCEPTED as of the date first-above written:</w:t>
            </w:r>
          </w:p>
        </w:tc>
      </w:tr>
      <w:tr>
        <w:trPr>
          <w:trHeight w:val="41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20" w:type="dxa"/>
            <w:vAlign w:val="bottom"/>
            <w:gridSpan w:val="4"/>
          </w:tcPr>
          <w:p>
            <w:pPr>
              <w:ind w:left="2780"/>
              <w:spacing w:after="0"/>
              <w:rPr>
                <w:sz w:val="20"/>
                <w:szCs w:val="20"/>
                <w:color w:val="auto"/>
              </w:rPr>
            </w:pPr>
            <w:r>
              <w:rPr>
                <w:rFonts w:ascii="Times New Roman" w:cs="Times New Roman" w:eastAsia="Times New Roman" w:hAnsi="Times New Roman"/>
                <w:sz w:val="18"/>
                <w:szCs w:val="18"/>
                <w:color w:val="auto"/>
              </w:rPr>
              <w:t>TD SECURITIES (USA) LLC </w:t>
            </w: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140" w:type="dxa"/>
            <w:vAlign w:val="bottom"/>
          </w:tcPr>
          <w:p>
            <w:pPr>
              <w:ind w:left="2780"/>
              <w:spacing w:after="0"/>
              <w:rPr>
                <w:sz w:val="20"/>
                <w:szCs w:val="20"/>
                <w:color w:val="auto"/>
              </w:rPr>
            </w:pPr>
            <w:r>
              <w:rPr>
                <w:rFonts w:ascii="Times New Roman" w:cs="Times New Roman" w:eastAsia="Times New Roman" w:hAnsi="Times New Roman"/>
                <w:sz w:val="18"/>
                <w:szCs w:val="18"/>
                <w:color w:val="auto"/>
              </w:rPr>
              <w:t> </w:t>
            </w:r>
          </w:p>
        </w:tc>
        <w:tc>
          <w:tcPr>
            <w:tcW w:w="4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3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20" w:type="dxa"/>
            <w:vAlign w:val="bottom"/>
            <w:gridSpan w:val="4"/>
          </w:tcPr>
          <w:p>
            <w:pPr>
              <w:ind w:left="2780"/>
              <w:spacing w:after="0"/>
              <w:rPr>
                <w:sz w:val="20"/>
                <w:szCs w:val="20"/>
                <w:color w:val="auto"/>
              </w:rPr>
            </w:pPr>
            <w:r>
              <w:rPr>
                <w:rFonts w:ascii="Times New Roman" w:cs="Times New Roman" w:eastAsia="Times New Roman" w:hAnsi="Times New Roman"/>
                <w:sz w:val="18"/>
                <w:szCs w:val="18"/>
                <w:color w:val="auto"/>
              </w:rPr>
              <w:t>By: /s/ Bill Kadel</w:t>
            </w:r>
          </w:p>
        </w:tc>
      </w:tr>
      <w:tr>
        <w:trPr>
          <w:trHeight w:val="191"/>
        </w:trPr>
        <w:tc>
          <w:tcPr>
            <w:tcW w:w="2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3140" w:type="dxa"/>
            <w:vAlign w:val="bottom"/>
          </w:tcPr>
          <w:p>
            <w:pPr>
              <w:ind w:left="278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280" w:type="dxa"/>
            <w:vAlign w:val="bottom"/>
            <w:tcBorders>
              <w:top w:val="single" w:sz="8" w:color="auto"/>
            </w:tcBorders>
            <w:gridSpan w:val="3"/>
          </w:tcPr>
          <w:p>
            <w:pPr>
              <w:spacing w:after="0" w:line="191" w:lineRule="exact"/>
              <w:rPr>
                <w:sz w:val="20"/>
                <w:szCs w:val="20"/>
                <w:color w:val="auto"/>
              </w:rPr>
            </w:pPr>
            <w:r>
              <w:rPr>
                <w:rFonts w:ascii="Times New Roman" w:cs="Times New Roman" w:eastAsia="Times New Roman" w:hAnsi="Times New Roman"/>
                <w:sz w:val="18"/>
                <w:szCs w:val="18"/>
                <w:color w:val="auto"/>
              </w:rPr>
              <w:t>Name: Bill Kadel</w:t>
            </w: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140" w:type="dxa"/>
            <w:vAlign w:val="bottom"/>
          </w:tcPr>
          <w:p>
            <w:pPr>
              <w:ind w:left="2780"/>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Title: Managing Director</w:t>
            </w: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140" w:type="dxa"/>
            <w:vAlign w:val="bottom"/>
          </w:tcPr>
          <w:p>
            <w:pPr>
              <w:ind w:left="2780"/>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194"/>
        </w:trPr>
        <w:tc>
          <w:tcPr>
            <w:tcW w:w="282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5280" w:type="dxa"/>
            <w:vAlign w:val="bottom"/>
            <w:gridSpan w:val="3"/>
          </w:tcPr>
          <w:p>
            <w:pPr>
              <w:ind w:left="200"/>
              <w:spacing w:after="0" w:line="194" w:lineRule="exact"/>
              <w:rPr>
                <w:sz w:val="20"/>
                <w:szCs w:val="20"/>
                <w:color w:val="auto"/>
              </w:rPr>
            </w:pPr>
            <w:r>
              <w:rPr>
                <w:rFonts w:ascii="Times New Roman" w:cs="Times New Roman" w:eastAsia="Times New Roman" w:hAnsi="Times New Roman"/>
                <w:sz w:val="18"/>
                <w:szCs w:val="18"/>
                <w:color w:val="auto"/>
              </w:rPr>
              <w:t>For itself and the other several Underwriters named in Schedule A to</w:t>
            </w:r>
          </w:p>
        </w:tc>
      </w:tr>
      <w:tr>
        <w:trPr>
          <w:trHeight w:val="237"/>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140" w:type="dxa"/>
            <w:vAlign w:val="bottom"/>
          </w:tcPr>
          <w:p>
            <w:pPr>
              <w:spacing w:after="0"/>
              <w:rPr>
                <w:sz w:val="20"/>
                <w:szCs w:val="20"/>
                <w:color w:val="auto"/>
              </w:rPr>
            </w:pPr>
          </w:p>
        </w:tc>
        <w:tc>
          <w:tcPr>
            <w:tcW w:w="4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this Agreement.</w:t>
            </w:r>
          </w:p>
        </w:tc>
        <w:tc>
          <w:tcPr>
            <w:tcW w:w="84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CELLDEX THERAPEUTICS, INC. –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8"/>
        </w:trPr>
        <w:tc>
          <w:tcPr>
            <w:tcW w:w="3600" w:type="dxa"/>
            <w:vAlign w:val="bottom"/>
          </w:tcPr>
          <w:p>
            <w:pPr>
              <w:spacing w:after="0"/>
              <w:rPr>
                <w:sz w:val="20"/>
                <w:szCs w:val="20"/>
                <w:color w:val="auto"/>
              </w:rPr>
            </w:pPr>
          </w:p>
        </w:tc>
        <w:tc>
          <w:tcPr>
            <w:tcW w:w="5400" w:type="dxa"/>
            <w:vAlign w:val="bottom"/>
          </w:tcPr>
          <w:p>
            <w:pPr>
              <w:ind w:left="1440"/>
              <w:spacing w:after="0"/>
              <w:rPr>
                <w:sz w:val="20"/>
                <w:szCs w:val="20"/>
                <w:color w:val="auto"/>
              </w:rPr>
            </w:pPr>
            <w:r>
              <w:rPr>
                <w:rFonts w:ascii="Times New Roman" w:cs="Times New Roman" w:eastAsia="Times New Roman" w:hAnsi="Times New Roman"/>
                <w:sz w:val="18"/>
                <w:szCs w:val="18"/>
                <w:b w:val="1"/>
                <w:bCs w:val="1"/>
                <w:color w:val="auto"/>
              </w:rPr>
              <w:t>SCHEDULE A</w:t>
            </w:r>
          </w:p>
        </w:tc>
        <w:tc>
          <w:tcPr>
            <w:tcW w:w="2240" w:type="dxa"/>
            <w:vAlign w:val="bottom"/>
          </w:tcPr>
          <w:p>
            <w:pPr>
              <w:spacing w:after="0"/>
              <w:rPr>
                <w:sz w:val="20"/>
                <w:szCs w:val="20"/>
                <w:color w:val="auto"/>
              </w:rPr>
            </w:pPr>
          </w:p>
        </w:tc>
      </w:tr>
      <w:tr>
        <w:trPr>
          <w:trHeight w:val="410"/>
        </w:trPr>
        <w:tc>
          <w:tcPr>
            <w:tcW w:w="360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16"/>
        </w:trPr>
        <w:tc>
          <w:tcPr>
            <w:tcW w:w="360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Firm Shares</w:t>
            </w:r>
          </w:p>
        </w:tc>
      </w:tr>
      <w:tr>
        <w:trPr>
          <w:trHeight w:val="238"/>
        </w:trPr>
        <w:tc>
          <w:tcPr>
            <w:tcW w:w="3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Underwriters</w:t>
            </w:r>
          </w:p>
        </w:tc>
        <w:tc>
          <w:tcPr>
            <w:tcW w:w="5400" w:type="dxa"/>
            <w:vAlign w:val="bottom"/>
            <w:tcBorders>
              <w:bottom w:val="single" w:sz="8" w:color="CCEEFF"/>
            </w:tcBorders>
          </w:tcPr>
          <w:p>
            <w:pPr>
              <w:ind w:left="5060"/>
              <w:spacing w:after="0"/>
              <w:rPr>
                <w:sz w:val="20"/>
                <w:szCs w:val="20"/>
                <w:color w:val="auto"/>
              </w:rPr>
            </w:pPr>
            <w:r>
              <w:rPr>
                <w:rFonts w:ascii="Times New Roman" w:cs="Times New Roman" w:eastAsia="Times New Roman" w:hAnsi="Times New Roman"/>
                <w:sz w:val="18"/>
                <w:szCs w:val="18"/>
                <w:b w:val="1"/>
                <w:bCs w:val="1"/>
                <w:color w:val="auto"/>
              </w:rPr>
              <w:t> </w:t>
            </w: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to be Purchased</w:t>
            </w:r>
          </w:p>
        </w:tc>
      </w:tr>
      <w:tr>
        <w:trPr>
          <w:trHeight w:val="209"/>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Leerink Partners LLC</w:t>
            </w:r>
          </w:p>
        </w:tc>
        <w:tc>
          <w:tcPr>
            <w:tcW w:w="5400" w:type="dxa"/>
            <w:vAlign w:val="bottom"/>
            <w:shd w:val="clear" w:color="auto" w:fill="CCEEFF"/>
          </w:tcPr>
          <w:p>
            <w:pPr>
              <w:ind w:left="5060"/>
              <w:spacing w:after="0"/>
              <w:rPr>
                <w:sz w:val="20"/>
                <w:szCs w:val="20"/>
                <w:color w:val="auto"/>
              </w:rPr>
            </w:pPr>
            <w:r>
              <w:rPr>
                <w:rFonts w:ascii="Times New Roman" w:cs="Times New Roman" w:eastAsia="Times New Roman" w:hAnsi="Times New Roman"/>
                <w:sz w:val="18"/>
                <w:szCs w:val="18"/>
                <w:color w:val="auto"/>
              </w:rPr>
              <w:t> </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3,310,400</w:t>
            </w: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TD Securities (USA) LLC</w:t>
            </w:r>
          </w:p>
        </w:tc>
        <w:tc>
          <w:tcPr>
            <w:tcW w:w="5400" w:type="dxa"/>
            <w:vAlign w:val="bottom"/>
          </w:tcPr>
          <w:p>
            <w:pPr>
              <w:ind w:left="5060"/>
              <w:spacing w:after="0"/>
              <w:rPr>
                <w:sz w:val="20"/>
                <w:szCs w:val="20"/>
                <w:color w:val="auto"/>
              </w:rPr>
            </w:pPr>
            <w:r>
              <w:rPr>
                <w:rFonts w:ascii="Times New Roman" w:cs="Times New Roman" w:eastAsia="Times New Roman" w:hAnsi="Times New Roman"/>
                <w:sz w:val="18"/>
                <w:szCs w:val="18"/>
                <w:color w:val="auto"/>
              </w:rPr>
              <w:t> </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3,103,500</w:t>
            </w: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Guggenheim Securities, LLC</w:t>
            </w:r>
          </w:p>
        </w:tc>
        <w:tc>
          <w:tcPr>
            <w:tcW w:w="5400" w:type="dxa"/>
            <w:vAlign w:val="bottom"/>
            <w:shd w:val="clear" w:color="auto" w:fill="CCEEFF"/>
          </w:tcPr>
          <w:p>
            <w:pPr>
              <w:spacing w:after="0"/>
              <w:rPr>
                <w:sz w:val="18"/>
                <w:szCs w:val="18"/>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1,448,300</w:t>
            </w: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Cantor Fitzgerald &amp; Co.</w:t>
            </w:r>
          </w:p>
        </w:tc>
        <w:tc>
          <w:tcPr>
            <w:tcW w:w="540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1,448,300</w:t>
            </w: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LifeSci Capital LLC</w:t>
            </w:r>
          </w:p>
        </w:tc>
        <w:tc>
          <w:tcPr>
            <w:tcW w:w="5400" w:type="dxa"/>
            <w:vAlign w:val="bottom"/>
            <w:shd w:val="clear" w:color="auto" w:fill="CCEEFF"/>
          </w:tcPr>
          <w:p>
            <w:pPr>
              <w:spacing w:after="0"/>
              <w:rPr>
                <w:sz w:val="18"/>
                <w:szCs w:val="18"/>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827,600</w:t>
            </w:r>
          </w:p>
        </w:tc>
      </w:tr>
      <w:tr>
        <w:trPr>
          <w:trHeight w:val="216"/>
        </w:trPr>
        <w:tc>
          <w:tcPr>
            <w:tcW w:w="3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H.C. Wainwright &amp; Co., LLC</w:t>
            </w:r>
          </w:p>
        </w:tc>
        <w:tc>
          <w:tcPr>
            <w:tcW w:w="5400" w:type="dxa"/>
            <w:vAlign w:val="bottom"/>
            <w:tcBorders>
              <w:bottom w:val="single" w:sz="8" w:color="CCEEFF"/>
            </w:tcBorders>
          </w:tcPr>
          <w:p>
            <w:pPr>
              <w:spacing w:after="0"/>
              <w:rPr>
                <w:sz w:val="18"/>
                <w:szCs w:val="18"/>
                <w:color w:val="auto"/>
              </w:rPr>
            </w:pP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206,900</w:t>
            </w:r>
          </w:p>
        </w:tc>
      </w:tr>
      <w:tr>
        <w:trPr>
          <w:trHeight w:val="209"/>
        </w:trPr>
        <w:tc>
          <w:tcPr>
            <w:tcW w:w="3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5400" w:type="dxa"/>
            <w:vAlign w:val="bottom"/>
            <w:tcBorders>
              <w:bottom w:val="single" w:sz="8" w:color="CCEEFF"/>
            </w:tcBorders>
            <w:shd w:val="clear" w:color="auto" w:fill="CCEEFF"/>
          </w:tcPr>
          <w:p>
            <w:pPr>
              <w:ind w:left="5060"/>
              <w:spacing w:after="0"/>
              <w:rPr>
                <w:sz w:val="20"/>
                <w:szCs w:val="20"/>
                <w:color w:val="auto"/>
              </w:rPr>
            </w:pPr>
            <w:r>
              <w:rPr>
                <w:rFonts w:ascii="Times New Roman" w:cs="Times New Roman" w:eastAsia="Times New Roman" w:hAnsi="Times New Roman"/>
                <w:sz w:val="18"/>
                <w:szCs w:val="18"/>
                <w:color w:val="auto"/>
              </w:rPr>
              <w:t> </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10,345,000</w:t>
            </w:r>
          </w:p>
        </w:tc>
      </w:tr>
      <w:tr>
        <w:trPr>
          <w:trHeight w:val="20"/>
        </w:trPr>
        <w:tc>
          <w:tcPr>
            <w:tcW w:w="360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r>
      <w:tr>
        <w:trPr>
          <w:trHeight w:val="656"/>
        </w:trPr>
        <w:tc>
          <w:tcPr>
            <w:tcW w:w="3600" w:type="dxa"/>
            <w:vAlign w:val="bottom"/>
            <w:tcBorders>
              <w:bottom w:val="single" w:sz="8" w:color="auto"/>
            </w:tcBorders>
          </w:tcPr>
          <w:p>
            <w:pPr>
              <w:spacing w:after="0"/>
              <w:rPr>
                <w:sz w:val="24"/>
                <w:szCs w:val="24"/>
                <w:color w:val="auto"/>
              </w:rPr>
            </w:pPr>
          </w:p>
        </w:tc>
        <w:tc>
          <w:tcPr>
            <w:tcW w:w="54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6" w:name="page37"/>
    <w:bookmarkEnd w:id="3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B</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Free Writing Prospectuses Included in the Time of Sale Prospectus</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448310</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37" w:name="page38"/>
    <w:bookmarkEnd w:id="37"/>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SCHEDULE C</w:t>
      </w:r>
    </w:p>
    <w:p>
      <w:pPr>
        <w:spacing w:after="0" w:line="225" w:lineRule="exact"/>
        <w:rPr>
          <w:sz w:val="20"/>
          <w:szCs w:val="20"/>
          <w:color w:val="auto"/>
        </w:rPr>
      </w:pPr>
    </w:p>
    <w:p>
      <w:pPr>
        <w:jc w:val="right"/>
        <w:ind w:right="3739"/>
        <w:spacing w:after="0"/>
        <w:rPr>
          <w:sz w:val="20"/>
          <w:szCs w:val="20"/>
          <w:color w:val="auto"/>
        </w:rPr>
      </w:pPr>
      <w:r>
        <w:rPr>
          <w:rFonts w:ascii="Times New Roman" w:cs="Times New Roman" w:eastAsia="Times New Roman" w:hAnsi="Times New Roman"/>
          <w:sz w:val="18"/>
          <w:szCs w:val="18"/>
          <w:b w:val="1"/>
          <w:bCs w:val="1"/>
          <w:u w:val="single" w:color="auto"/>
          <w:color w:val="auto"/>
        </w:rPr>
        <w:t>Pricing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Firm Shares: 10,345,000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 Shares: 1,551,750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 to Public: $29.00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Underwriters’ Discount: $1.74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Celldex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Perryville III Building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53 Frontage Road, Suite 220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Hampton, NJ 08827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acted as counsel to Celldex Therapeutics,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connection with (i) the preparation and filing of the Registration Statement on Form S-3 (Registration No. 333-275300) filed with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(as so filed,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and the related prospectus contained in the Registration Statement (the “</w:t>
      </w:r>
      <w:r>
        <w:rPr>
          <w:rFonts w:ascii="Times New Roman" w:cs="Times New Roman" w:eastAsia="Times New Roman" w:hAnsi="Times New Roman"/>
          <w:sz w:val="18"/>
          <w:szCs w:val="18"/>
          <w:b w:val="1"/>
          <w:bCs w:val="1"/>
          <w:color w:val="auto"/>
        </w:rPr>
        <w:t>Base Prospectus</w:t>
      </w:r>
      <w:r>
        <w:rPr>
          <w:rFonts w:ascii="Times New Roman" w:cs="Times New Roman" w:eastAsia="Times New Roman" w:hAnsi="Times New Roman"/>
          <w:sz w:val="18"/>
          <w:szCs w:val="18"/>
          <w:color w:val="auto"/>
        </w:rPr>
        <w:t>”) and (ii) the preparation and filing of the prospectus supplement, dated April 1, 2026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Supplement</w:t>
      </w:r>
      <w:r>
        <w:rPr>
          <w:rFonts w:ascii="Times New Roman" w:cs="Times New Roman" w:eastAsia="Times New Roman" w:hAnsi="Times New Roman"/>
          <w:sz w:val="18"/>
          <w:szCs w:val="18"/>
          <w:color w:val="auto"/>
        </w:rPr>
        <w:t>”) relating to the issuance and sale by the Company of up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231F20"/>
        </w:rPr>
        <w:t>11,896,750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of common stock, par value $0.001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of the Company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231F20"/>
        </w:rPr>
        <w:t>1,551,750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of Common Stock issuable by the Company upon exercise of an option granted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to the underwriters).</w:t>
      </w:r>
    </w:p>
    <w:p>
      <w:pPr>
        <w:spacing w:after="0" w:line="18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The Shares are to be issued and sold by the Company pursuant to the Underwriting Agreement, dated as of April 1, 2026 (the “</w:t>
      </w:r>
      <w:r>
        <w:rPr>
          <w:rFonts w:ascii="Times New Roman" w:cs="Times New Roman" w:eastAsia="Times New Roman" w:hAnsi="Times New Roman"/>
          <w:sz w:val="18"/>
          <w:szCs w:val="18"/>
          <w:b w:val="1"/>
          <w:bCs w:val="1"/>
          <w:color w:val="auto"/>
        </w:rPr>
        <w:t>Underwriting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between the Company and Leerink Partners LLC and TD Securities (USA) LLC, as representatives of the several underwriters named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therein, the form of which is being filed with the Commission as Exhibit 1.1 to the Company’s Current Report on Form 8-K, filed on the date hereof.</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this opinion, we have (i) investigated such questions of law, (ii) examined originals or certified, conformed or reproduction copies of such agreements, instruments, documents and records of the Company, such certificates of public officials and such other documents and</w:t>
      </w:r>
    </w:p>
    <w:p>
      <w:pPr>
        <w:ind w:firstLine="8"/>
        <w:spacing w:after="0" w:line="260" w:lineRule="auto"/>
        <w:tabs>
          <w:tab w:leader="none" w:pos="33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such information from officers and representatives of the Company as we have deemed necessary or appropriate for the purposes of this opinion.</w:t>
      </w:r>
    </w:p>
    <w:p>
      <w:pPr>
        <w:spacing w:after="0" w:line="1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all such examinations, we have assumed the legal capacity of all natural persons, the genuineness of all signatures, the authenticity of original and certified documents and the conformity to original or certified documents of all copies submitted to us as conformed or reproduction copies. As to various questions of fact relevant to the opinion expressed herein, we have relied upon, and assume the accuracy of, the representations and warranties set forth in the Underwriting Agreement, and certificates and oral or written statements and other information of or from public officials and officers and representatives of the Company.</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Based upon the foregoing and subject to the limitations, qualifications and assumptions set forth herein, we are of the opinion that the Shares have been duly authorized for issuance, and when issued and paid for in accordance with the terms and conditions of the Underwriting Agreement, the Shares will be validly issued, fully paid and non-assessable.</w:t>
      </w:r>
    </w:p>
    <w:p>
      <w:pPr>
        <w:spacing w:after="0" w:line="17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The opinion expressed herein is limited to the applicable provisions of the General Corporation Law of the State of Delaware (the “</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as currently in effect, and reported judicial decisions interpreting such provisions of the DGCL.</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opinion expressed herein is limited to the matters stated herein and no opinion is implied or may be inferred beyond the matters expressly stated herein. We undertake no obligation to supplement this letter if any applicable laws change after the date hereof or if we become aware of any facts that might change the opinion expressed herein after that date or for any other reason.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9" w:name="page40"/>
    <w:bookmarkEnd w:id="39"/>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hereby consent to the filing of this opinion as Exhibit 5.1 to the Current Report on Form 8-K filed by the Company on the date hereof and which is incorporated by reference into the Registration Statement and to the references to this firm under the caption “Legal Matters” in the Prospectus Supplement. In giving these consents, we do not admit that we are “experts” within the meaning of Section 11 of the Securities Act or within the category of persons whose consent is required by Section 7 of the Securities Act.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Lowenstein Sandler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Lowenstein Sandler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Celldex Announces Proposed Public Offering of Common Stock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HAMPTON, N.J., April 1, 2026 (GLOBE NEWSWIRE) -- Celldex Therapeutics, Inc. (“Celldex” or the “Company”) (Nasdaq: CLDX) today announced that it has commenced an underwritten public offering for the sale of shares of its common stock. In addition, Celldex expects to grant the underwriters a 30-day option to purchase up to an additional 15% of the shares of its common stock offered in the offering. All of the shares of common stock are being offered by the Company. The final terms of the offering will depend on market and other conditions at the time of pricing, and there can be no assurance as to whether or when the offering may be completed, or as to the actual size or terms of the offering.</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Celldex currently intends to use the net proceeds of this offering, together with our existing cash, cash equivalents, and marketable securities, (i) to fund ongoing commercial readiness activities and the commercial launch of barzolvolimab, if approved, for the treatment of CSU in the United States, (ii) to continue the clinical and preclinical development of our product candidates, including current and future development of barzolvolimab, (iii) to grow our bispecific antibody platform and clinical candidates, (iv) to fund ongoing efforts to develop additional clinical pipeline product candidates and (v) for general corporate purposes.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Leerink Partners and TD Cowen are acting as joint bookrunning managers for the proposed offering.</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securities described above will be offered pursuant to a shelf registration statement on Form S-3 (File No. 333-275300), which was previously filed with the Securities and Exchange Commission (“SEC”) and became automatically effective on November 3, 2023. This offering will be made only by means of a prospectus supplement and accompanying prospectus that form a part of the registration statement. A preliminary prospectus supplement relating to and describing the terms of the offering will be filed with the SEC and will be available on the SEC’s website located at http://www.sec.gov, copies of which may be obtained, when available, for free by contacting Leerink Partners LLC, Syndicate Department, 53 State Street, 40th Floor, Boston, MA 02109, or by telephone at (800) 808-7525 ext. 6105 or by email at syndicate@leerink.com or TD Securities (USA) LLC, c/o Broadridge Financial Solutions, 1155 Long Island Avenue, Edgewood, NY 11717 or by email at </w:t>
      </w:r>
      <w:r>
        <w:rPr>
          <w:rFonts w:ascii="Times New Roman" w:cs="Times New Roman" w:eastAsia="Times New Roman" w:hAnsi="Times New Roman"/>
          <w:sz w:val="18"/>
          <w:szCs w:val="18"/>
          <w:u w:val="single" w:color="auto"/>
          <w:color w:val="auto"/>
        </w:rPr>
        <w:t>TDManualrequest@broadridge.com</w:t>
      </w:r>
      <w:r>
        <w:rPr>
          <w:rFonts w:ascii="Times New Roman" w:cs="Times New Roman" w:eastAsia="Times New Roman" w:hAnsi="Times New Roman"/>
          <w:sz w:val="18"/>
          <w:szCs w:val="18"/>
          <w:color w:val="auto"/>
        </w:rPr>
        <w:t>. The final terms of the offering will be disclosed in a final prospectus supplement to be filed with the SEC.</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press release does not constitute an offer to sell or the solicitation of an offer to buy any of the securities described herein, nor shall there be any sale of these securities in any state or other jurisdiction in which such offer, solicitation or sale would be unlawful prior to the registration or qualification under the securities laws of any such state or other jurisdiction.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Celldex</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Celldex is a clinical stage biotechnology company leading the science at the intersection of mast cell biology and the development of transformative therapeutics for patients. Our pipeline includes antibody-based therapeutics which have the ability to engage the human immune system and/or directly affect critical pathways to improve the lives of patients with severe inflammatory, allergic, autoimmune and other devastating diseases.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release contains “forward-looking statements” made pursuant to the safe harbor provisions of the Private Securities Litigation Reform Act of 1995. These statements are typically preceded by words such as “believes,” “expects,” “anticipates,” “intends,” “will,” “may,” “should,” or similar expressions. These forward-looking statements reflect management’s current knowledge, assumptions, judgment and expectations regarding future performance or events. Although management believes that the expectations reflected in such statements are reasonable, they give no assurance that such expectations will prove to be correct or that those goals will be achieved, and you should be aware that actual results could differ materially from those contained in the forward-looking statements. Forward-looking statements are subject to a number of risks and uncertainties, including, but not limited to, risks associated with market conditions and the satisfaction of customary closing conditions related to the offering and uncertainties related to the Company’s expectations regarding the completion, timing and size of the proposed offering. For a further description of the risks and uncertainties that could cause actual results to differ from those expressed in these forward-looking statements, as well as risks relating to the Company’s business in general, please refer to the Company’s preliminary prospectus supplement to be filed with the SEC, and the documents incorporated by reference therein, including the Company’s Form 10-K for the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1" w:name="page42"/>
    <w:bookmarkEnd w:id="41"/>
    <w:p>
      <w:pPr>
        <w:jc w:val="both"/>
        <w:spacing w:after="0" w:line="266" w:lineRule="auto"/>
        <w:rPr>
          <w:sz w:val="20"/>
          <w:szCs w:val="20"/>
          <w:color w:val="auto"/>
        </w:rPr>
      </w:pPr>
      <w:r>
        <w:rPr>
          <w:rFonts w:ascii="Times New Roman" w:cs="Times New Roman" w:eastAsia="Times New Roman" w:hAnsi="Times New Roman"/>
          <w:sz w:val="18"/>
          <w:szCs w:val="18"/>
          <w:color w:val="auto"/>
        </w:rPr>
        <w:t>All forward-looking statements are expressly qualified in their entirety by this cautionary notice. You are cautioned not to place undue reliance on any forward-looking statements, which speak only as of the date of this release. We have no obligation, and expressly disclaim any obligation, to update, revise or correct any of the forward-looking statements, whether as a result of new information, future events or otherwise.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Sarah Cavanaugh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Corporate Affairs &amp; Administration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Celldex Therapeutics, Inc.</w:t>
      </w:r>
    </w:p>
    <w:p>
      <w:pPr>
        <w:spacing w:after="0" w:line="9" w:lineRule="exact"/>
        <w:rPr>
          <w:sz w:val="20"/>
          <w:szCs w:val="20"/>
          <w:color w:val="auto"/>
        </w:rPr>
      </w:pPr>
    </w:p>
    <w:p>
      <w:pPr>
        <w:ind w:right="9360" w:firstLine="8"/>
        <w:spacing w:after="0" w:line="290" w:lineRule="auto"/>
        <w:tabs>
          <w:tab w:leader="none" w:pos="43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864-8337 </w:t>
      </w:r>
      <w:r>
        <w:rPr>
          <w:rFonts w:ascii="Times New Roman" w:cs="Times New Roman" w:eastAsia="Times New Roman" w:hAnsi="Times New Roman"/>
          <w:sz w:val="17"/>
          <w:szCs w:val="17"/>
          <w:u w:val="single" w:color="auto"/>
          <w:color w:val="auto"/>
        </w:rPr>
        <w:t>scavanaugh@celldex.com</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Patrick Till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Meru Advisors</w:t>
      </w:r>
    </w:p>
    <w:p>
      <w:pPr>
        <w:spacing w:after="0" w:line="9" w:lineRule="exact"/>
        <w:rPr>
          <w:sz w:val="20"/>
          <w:szCs w:val="20"/>
          <w:color w:val="auto"/>
        </w:rPr>
      </w:pPr>
    </w:p>
    <w:p>
      <w:pPr>
        <w:ind w:right="9460" w:firstLine="8"/>
        <w:spacing w:after="0" w:line="290" w:lineRule="auto"/>
        <w:tabs>
          <w:tab w:leader="none" w:pos="43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788-8560 </w:t>
      </w:r>
      <w:r>
        <w:rPr>
          <w:rFonts w:ascii="Times New Roman" w:cs="Times New Roman" w:eastAsia="Times New Roman" w:hAnsi="Times New Roman"/>
          <w:sz w:val="17"/>
          <w:szCs w:val="17"/>
          <w:u w:val="single" w:color="auto"/>
          <w:color w:val="auto"/>
        </w:rPr>
        <w:t>ptill@meruadvisors.com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986155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111760</wp:posOffset>
            </wp:positionV>
            <wp:extent cx="1885950" cy="5657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885950" cy="56578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ind w:left="10320"/>
        <w:spacing w:after="0"/>
        <w:rPr>
          <w:sz w:val="20"/>
          <w:szCs w:val="20"/>
          <w:color w:val="auto"/>
        </w:rPr>
      </w:pPr>
      <w:r>
        <w:rPr>
          <w:rFonts w:ascii="Times New Roman" w:cs="Times New Roman" w:eastAsia="Times New Roman" w:hAnsi="Times New Roman"/>
          <w:sz w:val="17"/>
          <w:szCs w:val="17"/>
          <w:b w:val="1"/>
          <w:bCs w:val="1"/>
          <w:color w:val="auto"/>
        </w:rPr>
        <w:t>Exhibit 99.2</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Celldex Announces Pricing of $300 Million Public Offering of Common Stock</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HAMPTON, N.J., April 1, 2026 (GLOBE NEWSWIRE) -- Celldex Therapeutics, Inc. (“Celldex” or the “Company”) (Nasdaq: CLDX) today announced the pricing of an underwritten public offering of 10,345,000 shares of its common stock at a public offering price of $29.00 per share. All of the shares to be sold in the offering are to be sold by Celldex. In connection with the offering, Celldex has also granted the underwriters a 30-day option to purchase up to an additional 1,551,750 shares of common stock at the public offering price, less the underwriting discounts and commissions. The Company expects to receive gross proceeds from the offering, excluding the exercise of the underwriters’ option, if any, of approximately $300 million, excluding the underwriting discounts and commissions and other offering-related expenses. The offering is expected to close on or about April 6, 2026, subject to customary closing conditions.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Celldex intends to use the net proceeds of this offering, together with our existing cash, cash equivalents, and marketable securities, (i) to fund ongoing commercial readiness activities and the commercial launch of barzolvolimab, if approved, for the treatment of CSU in the United States, (ii) to continue the clinical and preclinical development of our product candidates, including current and future development of barzolvolimab, (iii) to grow our bispecific antibody platform and clinical candidates, (iv) to fund ongoing efforts to develop additional clinical pipeline product candidates and (v) for general corporate purposes.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Leerink Partners, TD Cowen, Guggenheim Securities and Cantor are acting as joint bookrunning managers for the offering. LifeSci Capital and H.C.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Wainwright &amp; Co. are acting as co-lead managers for the offering.</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offering is being made pursuant to a shelf registration statement on Form S-3 (File No. 333-275300), which was previously filed with the Securities and Exchange Commission (“SEC”) and became automatically effective on November 3, 2023. This offering is being made only by means of a prospectus supplement and accompanying base prospectus that form a part of the registration statement. A preliminary prospectus supplement relating to and describing the terms of the offering has been filed with the SEC and may be obtained for free by visiting the SEC’s website at www.sec.gov. A final prospectus supplement relating to the offering will be filed with the SEC and will be available on the SEC’s website located at </w:t>
      </w:r>
      <w:r>
        <w:rPr>
          <w:rFonts w:ascii="Times New Roman" w:cs="Times New Roman" w:eastAsia="Times New Roman" w:hAnsi="Times New Roman"/>
          <w:sz w:val="18"/>
          <w:szCs w:val="18"/>
          <w:u w:val="single" w:color="auto"/>
          <w:color w:val="auto"/>
        </w:rPr>
        <w:t>http://www.sec.gov</w:t>
      </w:r>
      <w:r>
        <w:rPr>
          <w:rFonts w:ascii="Times New Roman" w:cs="Times New Roman" w:eastAsia="Times New Roman" w:hAnsi="Times New Roman"/>
          <w:sz w:val="18"/>
          <w:szCs w:val="18"/>
          <w:color w:val="auto"/>
        </w:rPr>
        <w:t xml:space="preserve">. When available, copies of the final prospectus supplement and the accompanying base prospectus may be obtained for free by contacting Leerink Partners LLC, Syndicate Department, 53 State Street, 40th Floor, Boston, MA 02109, or by telephone at (800) 808-7525 ext. 6105 or by email at syndicate@leerink.com or TD Securities (USA) LLC, c/o Broadridge Financial Solutions, 1155 Long Island Avenue, Edgewood, NY 11717 or by email at </w:t>
      </w:r>
      <w:r>
        <w:rPr>
          <w:rFonts w:ascii="Times New Roman" w:cs="Times New Roman" w:eastAsia="Times New Roman" w:hAnsi="Times New Roman"/>
          <w:sz w:val="18"/>
          <w:szCs w:val="18"/>
          <w:u w:val="single" w:color="auto"/>
          <w:color w:val="auto"/>
        </w:rPr>
        <w:t>TDManualrequest@broadridge.com</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press release does not constitute an offer to sell or the solicitation of an offer to buy any of the securities described herein, nor shall there be any sale of these securities in any state or other jurisdiction in which such offer, solicitation or sale would be unlawful prior to the registration or qualification under the securities laws of any such state or other jurisdiction.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Celldex</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Celldex is a clinical stage biotechnology company leading the science at the intersection of mast cell biology and the development of transformative therapeutics for patients. Our pipeline includes antibody-based therapeutics which have the ability to engage the human immune system and/or directly affect critical pathways to improve the lives of patients with severe inflammatory, allergic, autoimmune and other devastating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Forward Looking Statement</w:t>
      </w:r>
    </w:p>
    <w:p>
      <w:pPr>
        <w:spacing w:after="0" w:line="200" w:lineRule="exact"/>
        <w:rPr>
          <w:sz w:val="20"/>
          <w:szCs w:val="20"/>
          <w:color w:val="auto"/>
        </w:rPr>
      </w:pPr>
    </w:p>
    <w:p>
      <w:pPr>
        <w:spacing w:after="0" w:line="24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release contains “forward-looking statements” made pursuant to the safe harbor provisions of the Private Securities Litigation Reform Act of 1995. These statements are typically preceded by words such as “believes,” “expects,” “anticipates,” “intends,” “will,” “may,” “should,” or similar expressions. These forward-looking statements reflect management’s current knowledge, assumptions, judgment and expectations regarding future performance or events. Although management believes that the expectations reflected in such statements are reasonable, they give no assurance that such expectations will prove to be correct or that those goals will be achieved, and you should be aware that actual results could differ materially from those contained in the forward-looking statements. Forward-looking statements are subject to a number of risks and uncertainties, including, but not limited to, risks associated with market conditions and the satisfaction of customary closing conditions related to the offering. For a further description of the risks and uncertainties that could cause actual results to differ from those expressed in these forward-looking statements, as well as risks relating to the Company’s business in general, please refer to the Company’s preliminary prospectus supplement filed with the SEC, and the documents incorporated by reference therein, including the Company’s Form 10-K for the year ended December 31, 2025.</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forward-looking statements are expressly qualified in their entirety by this cautionary notice. You are cautioned not to place undue reliance on any forward-looking statements, which speak only as of the date of this release. We have no obligation, and expressly disclaim any obligation, to update, revise or correct any of the forward-looking statements, whether as a result of new information, future events or otherwise.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Sarah Cavanaugh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Corporate Affairs &amp; Administration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Celldex Therapeutics, Inc.</w:t>
      </w:r>
    </w:p>
    <w:p>
      <w:pPr>
        <w:spacing w:after="0" w:line="9" w:lineRule="exact"/>
        <w:rPr>
          <w:sz w:val="20"/>
          <w:szCs w:val="20"/>
          <w:color w:val="auto"/>
        </w:rPr>
      </w:pPr>
    </w:p>
    <w:p>
      <w:pPr>
        <w:ind w:right="9360" w:firstLine="8"/>
        <w:spacing w:after="0" w:line="290" w:lineRule="auto"/>
        <w:tabs>
          <w:tab w:leader="none" w:pos="43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864-8337 </w:t>
      </w:r>
      <w:r>
        <w:rPr>
          <w:rFonts w:ascii="Times New Roman" w:cs="Times New Roman" w:eastAsia="Times New Roman" w:hAnsi="Times New Roman"/>
          <w:sz w:val="17"/>
          <w:szCs w:val="17"/>
          <w:u w:val="single" w:color="auto"/>
          <w:color w:val="auto"/>
        </w:rPr>
        <w:t>scavanaugh@celldex.com</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Patrick Till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Meru Advisors</w:t>
      </w:r>
    </w:p>
    <w:p>
      <w:pPr>
        <w:spacing w:after="0" w:line="9" w:lineRule="exact"/>
        <w:rPr>
          <w:sz w:val="20"/>
          <w:szCs w:val="20"/>
          <w:color w:val="auto"/>
        </w:rPr>
      </w:pPr>
    </w:p>
    <w:p>
      <w:pPr>
        <w:ind w:right="9460" w:firstLine="8"/>
        <w:spacing w:after="0" w:line="290" w:lineRule="auto"/>
        <w:tabs>
          <w:tab w:leader="none" w:pos="43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788-8560 ptill@meruadvisors.com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1028700</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1825625" cy="6089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825625" cy="60896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lowerRoman"/>
      <w:start w:val="7"/>
    </w:lvl>
  </w:abstractNum>
  <w:abstractNum w:abstractNumId="2">
    <w:nsid w:val="5BD062C2"/>
    <w:multiLevelType w:val="hybridMultilevel"/>
    <w:lvl w:ilvl="0">
      <w:lvlJc w:val="left"/>
      <w:lvlText w:val="(%1)"/>
      <w:numFmt w:val="upperLetter"/>
      <w:start w:val="1"/>
    </w:lvl>
  </w:abstractNum>
  <w:abstractNum w:abstractNumId="3">
    <w:nsid w:val="12200854"/>
    <w:multiLevelType w:val="hybridMultilevel"/>
    <w:lvl w:ilvl="0">
      <w:lvlJc w:val="left"/>
      <w:lvlText w:val="(%1)"/>
      <w:numFmt w:val="lowerRoman"/>
      <w:start w:val="1"/>
    </w:lvl>
  </w:abstractNum>
  <w:abstractNum w:abstractNumId="4">
    <w:nsid w:val="4DB127F8"/>
    <w:multiLevelType w:val="hybridMultilevel"/>
    <w:lvl w:ilvl="0">
      <w:lvlJc w:val="left"/>
      <w:lvlText w:val="(%1)"/>
      <w:numFmt w:val="lowerRoman"/>
      <w:start w:val="1"/>
    </w:lvl>
  </w:abstractNum>
  <w:abstractNum w:abstractNumId="5">
    <w:nsid w:val="216231B"/>
    <w:multiLevelType w:val="hybridMultilevel"/>
    <w:lvl w:ilvl="0">
      <w:lvlJc w:val="left"/>
      <w:lvlText w:val="(%1)"/>
      <w:numFmt w:val="lowerRoman"/>
      <w:start w:val="4"/>
    </w:lvl>
  </w:abstractNum>
  <w:abstractNum w:abstractNumId="6">
    <w:nsid w:val="1F16E9E8"/>
    <w:multiLevelType w:val="hybridMultilevel"/>
    <w:lvl w:ilvl="0">
      <w:lvlJc w:val="left"/>
      <w:lvlText w:val="(%1)"/>
      <w:numFmt w:val="lowerRoman"/>
      <w:start w:val="8"/>
    </w:lvl>
  </w:abstractNum>
  <w:abstractNum w:abstractNumId="7">
    <w:nsid w:val="1190CDE7"/>
    <w:multiLevelType w:val="hybridMultilevel"/>
    <w:lvl w:ilvl="0">
      <w:lvlJc w:val="left"/>
      <w:lvlText w:val="(%1)"/>
      <w:numFmt w:val="lowerRoman"/>
      <w:start w:val="2"/>
    </w:lvl>
  </w:abstractNum>
  <w:abstractNum w:abstractNumId="8">
    <w:nsid w:val="66EF438D"/>
    <w:multiLevelType w:val="hybridMultilevel"/>
    <w:lvl w:ilvl="0">
      <w:lvlJc w:val="left"/>
      <w:lvlText w:val="(%1)"/>
      <w:numFmt w:val="lowerLetter"/>
      <w:start w:val="1"/>
    </w:lvl>
  </w:abstractNum>
  <w:abstractNum w:abstractNumId="9">
    <w:nsid w:val="140E0F76"/>
    <w:multiLevelType w:val="hybridMultilevel"/>
    <w:lvl w:ilvl="0">
      <w:lvlJc w:val="left"/>
      <w:lvlText w:val="(%1)"/>
      <w:numFmt w:val="lowerRoman"/>
      <w:start w:val="3"/>
    </w:lvl>
  </w:abstractNum>
  <w:abstractNum w:abstractNumId="10">
    <w:nsid w:val="3352255A"/>
    <w:multiLevelType w:val="hybridMultilevel"/>
    <w:lvl w:ilvl="0">
      <w:lvlJc w:val="left"/>
      <w:lvlText w:val="(%1)"/>
      <w:numFmt w:val="lowerRoman"/>
      <w:start w:val="3"/>
    </w:lvl>
  </w:abstractNum>
  <w:abstractNum w:abstractNumId="11">
    <w:nsid w:val="109CF92E"/>
    <w:multiLevelType w:val="hybridMultilevel"/>
    <w:lvl w:ilvl="0">
      <w:lvlJc w:val="left"/>
      <w:lvlText w:val="(%1)"/>
      <w:numFmt w:val="decimal"/>
      <w:start w:val="508"/>
    </w:lvl>
  </w:abstractNum>
  <w:abstractNum w:abstractNumId="12">
    <w:nsid w:val="DED7263"/>
    <w:multiLevelType w:val="hybridMultilevel"/>
    <w:lvl w:ilvl="0">
      <w:lvlJc w:val="left"/>
      <w:lvlText w:val="(%1)"/>
      <w:numFmt w:val="decimal"/>
      <w:start w:val="484"/>
    </w:lvl>
  </w:abstractNum>
  <w:abstractNum w:abstractNumId="13">
    <w:nsid w:val="7FDCC233"/>
    <w:multiLevelType w:val="hybridMultilevel"/>
    <w:lvl w:ilvl="0">
      <w:lvlJc w:val="left"/>
      <w:lvlText w:val="(%1)"/>
      <w:numFmt w:val="decimal"/>
      <w:start w:val="508"/>
    </w:lvl>
  </w:abstractNum>
  <w:abstractNum w:abstractNumId="14">
    <w:nsid w:val="1BEFD79F"/>
    <w:multiLevelType w:val="hybridMultilevel"/>
    <w:lvl w:ilvl="0">
      <w:lvlJc w:val="left"/>
      <w:lvlText w:val="(%1)"/>
      <w:numFmt w:val="decimal"/>
      <w:start w:val="48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2026-04-02T07:10:31Z</dcterms:created>
  <dcterms:modified xsi:type="dcterms:W3CDTF">2026-04-02T07:10:31Z</dcterms:modified>
</cp:coreProperties>
</file>