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580" w:right="260" w:hanging="336"/>
        <w:spacing w:after="0" w:line="256"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80" w:right="240" w:hanging="336"/>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26, 2012, 58,735,636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March 31, 2012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90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6779895</wp:posOffset>
            </wp:positionH>
            <wp:positionV relativeFrom="paragraph">
              <wp:posOffset>20955</wp:posOffset>
            </wp:positionV>
            <wp:extent cx="471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at March 31, 2012 and December 31, 2011</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Operations and Comprehensive Loss for the Three Months Ended March 31, 2012 and 2011</w:t>
              </w:r>
            </w:hyperlink>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tcBorders>
              <w:top w:val="single" w:sz="8" w:color="0000EE"/>
            </w:tcBorders>
            <w:gridSpan w:val="15"/>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Cash Flows for the Three Months Ended March 31, 2012 and 2011</w:t>
              </w:r>
            </w:hyperlink>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900" w:type="dxa"/>
            <w:vAlign w:val="bottom"/>
            <w:tcBorders>
              <w:top w:val="single" w:sz="8" w:color="0000EE"/>
            </w:tcBorders>
            <w:gridSpan w:val="4"/>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 Management’s Discussion and Analysis of Financial Condition and Results of Operations</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EE"/>
            </w:tcBorders>
            <w:gridSpan w:val="1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3. Quantitative and Qualitative Disclosures About Market Risk</w:t>
              </w:r>
            </w:hyperlink>
          </w:p>
        </w:tc>
        <w:tc>
          <w:tcPr>
            <w:tcW w:w="9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300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8100" w:type="dxa"/>
            <w:vAlign w:val="bottom"/>
            <w:gridSpan w:val="17"/>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 Other Information</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1A. Risk Factors</w:t>
              </w:r>
            </w:hyperlink>
          </w:p>
        </w:tc>
        <w:tc>
          <w:tcPr>
            <w:tcW w:w="460" w:type="dxa"/>
            <w:vAlign w:val="bottom"/>
            <w:tcBorders>
              <w:top w:val="single" w:sz="8" w:color="0000EE"/>
            </w:tcBorders>
          </w:tcPr>
          <w:p>
            <w:pPr>
              <w:spacing w:after="0"/>
              <w:rPr>
                <w:sz w:val="24"/>
                <w:szCs w:val="24"/>
                <w:color w:val="auto"/>
              </w:rPr>
            </w:pPr>
          </w:p>
        </w:tc>
        <w:tc>
          <w:tcPr>
            <w:tcW w:w="5860" w:type="dxa"/>
            <w:vAlign w:val="bottom"/>
            <w:gridSpan w:val="9"/>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6. Exhibits</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6760" w:type="dxa"/>
            <w:vAlign w:val="bottom"/>
            <w:gridSpan w:val="11"/>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 Index</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2"/>
          </w:tcPr>
          <w:p>
            <w:pPr>
              <w:spacing w:after="0"/>
              <w:rPr>
                <w:sz w:val="24"/>
                <w:szCs w:val="24"/>
                <w:color w:val="auto"/>
              </w:rPr>
            </w:pPr>
          </w:p>
        </w:tc>
        <w:tc>
          <w:tcPr>
            <w:tcW w:w="5060" w:type="dxa"/>
            <w:vAlign w:val="bottom"/>
            <w:gridSpan w:val="10"/>
          </w:tcPr>
          <w:p>
            <w:pPr>
              <w:jc w:val="center"/>
              <w:ind w:left="3910"/>
              <w:spacing w:after="0"/>
              <w:rPr>
                <w:sz w:val="20"/>
                <w:szCs w:val="20"/>
                <w:color w:val="auto"/>
              </w:rPr>
            </w:pPr>
            <w:r>
              <w:rPr>
                <w:rFonts w:ascii="Arial" w:cs="Arial" w:eastAsia="Arial" w:hAnsi="Arial"/>
                <w:sz w:val="18"/>
                <w:szCs w:val="18"/>
                <w:color w:val="auto"/>
                <w:w w:val="99"/>
              </w:rPr>
              <w:t>2</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00" w:type="dxa"/>
            <w:vAlign w:val="bottom"/>
            <w:gridSpan w:val="1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100" w:type="dxa"/>
            <w:vAlign w:val="bottom"/>
            <w:gridSpan w:val="17"/>
          </w:tcPr>
          <w:p>
            <w:pPr>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gridSpan w:val="17"/>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6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rPr>
              <w:t>CELLDEX THERAPEUTICS, INC.</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6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4"/>
          </w:tcPr>
          <w:p>
            <w:pPr>
              <w:jc w:val="center"/>
              <w:ind w:right="178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6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24"/>
                <w:szCs w:val="2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gridSpan w:val="1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6"/>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5"/>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69,374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5"/>
          </w:tcPr>
          <w:p>
            <w:pPr>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900" w:type="dxa"/>
            <w:vAlign w:val="bottom"/>
            <w:tcBorders>
              <w:top w:val="single" w:sz="8" w:color="CCEEFF"/>
            </w:tcBorders>
            <w:gridSpan w:val="15"/>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6"/>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6"/>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900" w:type="dxa"/>
            <w:vAlign w:val="bottom"/>
            <w:tcBorders>
              <w:bottom w:val="single" w:sz="8" w:color="CCEEFF"/>
            </w:tcBorders>
            <w:gridSpan w:val="15"/>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136,740</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97,994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6"/>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5"/>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5"/>
          </w:tcPr>
          <w:p>
            <w:pPr>
              <w:spacing w:after="0"/>
              <w:rPr>
                <w:sz w:val="20"/>
                <w:szCs w:val="20"/>
                <w:color w:val="auto"/>
              </w:rPr>
            </w:pPr>
            <w:r>
              <w:rPr>
                <w:rFonts w:ascii="Arial" w:cs="Arial" w:eastAsia="Arial" w:hAnsi="Arial"/>
                <w:sz w:val="18"/>
                <w:szCs w:val="18"/>
                <w:color w:val="auto"/>
              </w:rPr>
              <w:t>Current Portion of Long-Term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Current Portion of Term Loan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gridSpan w:val="15"/>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12,546</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Term Loan, less Current Portion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16"/>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6,418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900" w:type="dxa"/>
            <w:vAlign w:val="bottom"/>
            <w:tcBorders>
              <w:top w:val="single" w:sz="8" w:color="CCEEFF"/>
            </w:tcBorders>
            <w:gridSpan w:val="15"/>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15"/>
          </w:tcPr>
          <w:p>
            <w:pPr>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900" w:type="dxa"/>
            <w:vAlign w:val="bottom"/>
            <w:gridSpan w:val="15"/>
          </w:tcPr>
          <w:p>
            <w:pPr>
              <w:ind w:left="160"/>
              <w:spacing w:after="0"/>
              <w:rPr>
                <w:sz w:val="20"/>
                <w:szCs w:val="20"/>
                <w:color w:val="auto"/>
              </w:rPr>
            </w:pPr>
            <w:r>
              <w:rPr>
                <w:rFonts w:ascii="Arial" w:cs="Arial" w:eastAsia="Arial" w:hAnsi="Arial"/>
                <w:sz w:val="18"/>
                <w:szCs w:val="18"/>
                <w:color w:val="auto"/>
              </w:rPr>
              <w:t>Outstanding at March 31, 2012 and December 31, 2011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900" w:type="dxa"/>
            <w:vAlign w:val="bottom"/>
            <w:gridSpan w:val="15"/>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$.001 Par Value; 297,000,000 Shares Authorized; 58,735,636 and 44,210,636 Shares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90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rPr>
              <w:t>Issued and Outstanding at March 31, 2012 and December 31, 2011,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900" w:type="dxa"/>
            <w:vAlign w:val="bottom"/>
            <w:gridSpan w:val="15"/>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323,587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271,032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9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-6467475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-6467475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(218,522)</w:t>
            </w:r>
          </w:p>
        </w:tc>
        <w:tc>
          <w:tcPr>
            <w:tcW w:w="40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(205,006)</w:t>
            </w:r>
          </w:p>
        </w:tc>
      </w:tr>
      <w:tr>
        <w:trPr>
          <w:trHeight w:val="210"/>
        </w:trPr>
        <w:tc>
          <w:tcPr>
            <w:tcW w:w="5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107,886</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8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136,740</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March 31, 2012</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8"/>
              </w:rPr>
              <w:t>March 31, 2011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Product Royalties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2,344</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10,769</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2,317</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14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15,721</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Operating Loss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(13,288)</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(Note 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Basic and Diluted Net Loss per Share (Note 3)</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50,145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(13,516)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Marketable Securities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4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March 31, 2012</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8"/>
              </w:rPr>
              <w:t>March 31, 2011</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(13,516)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(10,059)</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(Gain) Loss on Sales and Maturities of Marketable Securities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Loss (Gain) on Sales or Disposal of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138"/>
        </w:trPr>
        <w:tc>
          <w:tcPr>
            <w:tcW w:w="70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and Other Current Assets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606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5,912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(33,388)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or Disposal of Assets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Provided by Investing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(27,507)</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Stock Issuances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51,929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Issuance of Term Loan</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Convertible Subordinated Debt</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Payments of Other Liabilities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10,856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11,899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2011, which are included in the Company’s Annual Report on Form 10-K filed with the Securities and Exchange Commission (“SEC”) on March 8, 2012.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2012.</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At March 31, 2012, the Company had cash, cash equivalents and marketable securities of $92.1 million; working capital of $81.7 million; and a Term Loan balance of $15.2 million. The Company incurred a loss of $13.5 million for the three months ended March 31, 2012. Net cash used in operations for the three months ended March 31, 2012 was $13.6 million. The Company believes that the cash, cash equivalents and marketable securities at March 31, 2012 will be sufficient to meet estimated working capital requirements and fund planned operations for at least the next twelve months.</w:t>
      </w:r>
    </w:p>
    <w:p>
      <w:pPr>
        <w:spacing w:after="0" w:line="154"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Company raised net proceeds of $51.9 million during the three months ended March 31, 2012 from the sale of its common stock. 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significant discount or on other unfavorable terms, if at all, or sell all or a part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20" w:firstLine="630"/>
        <w:spacing w:after="0" w:line="342"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for the three months ended March 31, 2012 are consistent with those discussed in Note 2 to the consolidated financial statements in our Annual Report on Form 10-K for the year ended</w:t>
      </w:r>
    </w:p>
    <w:p>
      <w:pPr>
        <w:sectPr>
          <w:pgSz w:w="11900" w:h="16840" w:orient="portrait"/>
          <w:cols w:equalWidth="0" w:num="1">
            <w:col w:w="11420"/>
          </w:cols>
          <w:pgMar w:left="240" w:top="140" w:right="239" w:bottom="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except for the adoption of new accounting standards during the first three months of 2012 as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January 2012, the Company adopted a new U.S. GAAP accounting standard which amended the guidance on the annual testing of goodwill for impairment. The amended guidance allows companies to assess qualitative factors to determine if it is more-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likely-than-not that goodwill might be impaired and whether it is necessary to perform the two-step goodwill impairment test required under U.S. GAAP. The Company’s adoption of this new standard did not have a material effect on its operating results or financial position.</w:t>
      </w:r>
    </w:p>
    <w:p>
      <w:pPr>
        <w:spacing w:after="0" w:line="170"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January 2012, the Company adopted a new U.S. GAAP accounting standard which clarifies the application of certain existing fair value measurement guidance and expands the disclosures for fair value measurements that are estimated using significant unobservable (Level 3) inputs. The Company’s adoption of this standard did not have a material impact on its operating results or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1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As of 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4,311,999</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3,727,434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4,314,999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2012</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21,723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21,723</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69,374</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69,374</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91,097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24"/>
                <w:szCs w:val="2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2011</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3"/>
              </w:rPr>
              <w:t>11,038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41,413</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41,413</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52,451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Our Term Loan is valued based on level 2 inputs. Based on these calculations, the fair value approximates the carrying value of the Term Loan and note payable at March 31,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5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Amortized</w:t>
            </w: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88"/>
              </w:rPr>
              <w:t>Gross</w:t>
            </w:r>
          </w:p>
        </w:tc>
        <w:tc>
          <w:tcPr>
            <w:tcW w:w="2120" w:type="dxa"/>
            <w:vAlign w:val="bottom"/>
          </w:tcPr>
          <w:p>
            <w:pPr>
              <w:jc w:val="center"/>
              <w:ind w:left="408"/>
              <w:spacing w:after="0"/>
              <w:rPr>
                <w:sz w:val="20"/>
                <w:szCs w:val="20"/>
                <w:color w:val="auto"/>
              </w:rPr>
            </w:pPr>
            <w:r>
              <w:rPr>
                <w:rFonts w:ascii="Arial" w:cs="Arial" w:eastAsia="Arial" w:hAnsi="Arial"/>
                <w:sz w:val="14"/>
                <w:szCs w:val="14"/>
                <w:b w:val="1"/>
                <w:bCs w:val="1"/>
                <w:color w:val="auto"/>
                <w:w w:val="88"/>
              </w:rPr>
              <w:t>Gross</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1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12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Gains</w:t>
            </w:r>
          </w:p>
        </w:tc>
        <w:tc>
          <w:tcPr>
            <w:tcW w:w="2120" w:type="dxa"/>
            <w:vAlign w:val="bottom"/>
          </w:tcPr>
          <w:p>
            <w:pPr>
              <w:jc w:val="center"/>
              <w:ind w:left="408"/>
              <w:spacing w:after="0"/>
              <w:rPr>
                <w:sz w:val="20"/>
                <w:szCs w:val="20"/>
                <w:color w:val="auto"/>
              </w:rPr>
            </w:pPr>
            <w:r>
              <w:rPr>
                <w:rFonts w:ascii="Arial" w:cs="Arial" w:eastAsia="Arial" w:hAnsi="Arial"/>
                <w:sz w:val="14"/>
                <w:szCs w:val="14"/>
                <w:b w:val="1"/>
                <w:bCs w:val="1"/>
                <w:color w:val="auto"/>
                <w:w w:val="82"/>
              </w:rPr>
              <w:t>Losses</w:t>
            </w: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0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0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20,637</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78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21,837</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3"/>
              </w:rPr>
              <w:t>42,474</w:t>
            </w:r>
          </w:p>
        </w:tc>
        <w:tc>
          <w:tcPr>
            <w:tcW w:w="3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0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19,219</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78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7,508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3"/>
              </w:rPr>
              <w:t>26,727</w:t>
            </w:r>
          </w:p>
        </w:tc>
        <w:tc>
          <w:tcPr>
            <w:tcW w:w="3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69,201</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0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19,993</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78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10,808</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3"/>
              </w:rPr>
              <w:t>30,801</w:t>
            </w:r>
          </w:p>
        </w:tc>
        <w:tc>
          <w:tcPr>
            <w:tcW w:w="3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0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80" w:type="dxa"/>
            <w:vAlign w:val="bottom"/>
          </w:tcPr>
          <w:p>
            <w:pPr>
              <w:ind w:left="480"/>
              <w:spacing w:after="0"/>
              <w:rPr>
                <w:sz w:val="20"/>
                <w:szCs w:val="20"/>
                <w:color w:val="auto"/>
              </w:rPr>
            </w:pPr>
            <w:r>
              <w:rPr>
                <w:rFonts w:ascii="Arial" w:cs="Arial" w:eastAsia="Arial" w:hAnsi="Arial"/>
                <w:sz w:val="18"/>
                <w:szCs w:val="18"/>
                <w:color w:val="auto"/>
                <w:w w:val="84"/>
              </w:rPr>
              <w:t>5,817</w:t>
            </w:r>
          </w:p>
        </w:tc>
        <w:tc>
          <w:tcPr>
            <w:tcW w:w="30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4,730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3"/>
              </w:rPr>
              <w:t>10,547</w:t>
            </w:r>
          </w:p>
        </w:tc>
        <w:tc>
          <w:tcPr>
            <w:tcW w:w="3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41,348</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classifies all of its marketable securities as current assets on the consolidated balance sheets because they are available-for-sale and available to fund current operations. The marketable securities held by the Company were high investment grade and there were no marketable securities that the Company considered to be other-than-temporarily impaired as of March 31,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3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2"/>
              </w:rPr>
              <w:t>March 31, 2012</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8"/>
              </w:rPr>
              <w:t>December 31, 2011</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0"/>
                <w:szCs w:val="10"/>
                <w:color w:val="auto"/>
              </w:rPr>
            </w:pPr>
          </w:p>
        </w:tc>
        <w:tc>
          <w:tcPr>
            <w:tcW w:w="7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7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IPR&amp;D</w:t>
            </w:r>
          </w:p>
        </w:tc>
        <w:tc>
          <w:tcPr>
            <w:tcW w:w="1380" w:type="dxa"/>
            <w:vAlign w:val="bottom"/>
          </w:tcPr>
          <w:p>
            <w:pPr>
              <w:spacing w:after="0"/>
              <w:rPr>
                <w:sz w:val="20"/>
                <w:szCs w:val="20"/>
                <w:color w:val="auto"/>
              </w:rPr>
            </w:pPr>
            <w:r>
              <w:rPr>
                <w:rFonts w:ascii="Arial" w:cs="Arial" w:eastAsia="Arial" w:hAnsi="Arial"/>
                <w:sz w:val="18"/>
                <w:szCs w:val="18"/>
                <w:color w:val="auto"/>
              </w:rPr>
              <w:t>Indefinite</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16 years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12,258</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Core Technology</w:t>
            </w:r>
          </w:p>
        </w:tc>
        <w:tc>
          <w:tcPr>
            <w:tcW w:w="1380" w:type="dxa"/>
            <w:vAlign w:val="bottom"/>
          </w:tcPr>
          <w:p>
            <w:pPr>
              <w:spacing w:after="0"/>
              <w:rPr>
                <w:sz w:val="20"/>
                <w:szCs w:val="20"/>
                <w:color w:val="auto"/>
              </w:rPr>
            </w:pPr>
            <w:r>
              <w:rPr>
                <w:rFonts w:ascii="Arial" w:cs="Arial" w:eastAsia="Arial" w:hAnsi="Arial"/>
                <w:sz w:val="18"/>
                <w:szCs w:val="18"/>
                <w:color w:val="auto"/>
              </w:rPr>
              <w:t>4.5 - 11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380" w:type="dxa"/>
            <w:vAlign w:val="bottom"/>
            <w:vMerge w:val="restart"/>
          </w:tcPr>
          <w:p>
            <w:pPr>
              <w:spacing w:after="0"/>
              <w:rPr>
                <w:sz w:val="20"/>
                <w:szCs w:val="20"/>
                <w:color w:val="auto"/>
              </w:rPr>
            </w:pPr>
            <w:r>
              <w:rPr>
                <w:rFonts w:ascii="Arial" w:cs="Arial" w:eastAsia="Arial" w:hAnsi="Arial"/>
                <w:sz w:val="18"/>
                <w:szCs w:val="18"/>
                <w:color w:val="auto"/>
              </w:rPr>
              <w:t>Indefinite</w:t>
            </w: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4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IPR&amp;D and Amgen Amendment intangible assets relate to the CDX-011 program and were acquired in connection with the Company’s acquisition of CuraGen Corporation in 2009. The Core Technology intangible asset primarily relates to the rindopepimut program and was acquired in connection with the Company’s acquisition of Alteris Therapeutics, Inc. in 2005.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229" w:lineRule="exact"/>
        <w:rPr>
          <w:sz w:val="20"/>
          <w:szCs w:val="20"/>
          <w:color w:val="auto"/>
        </w:rPr>
      </w:pPr>
    </w:p>
    <w:p>
      <w:pPr>
        <w:jc w:val="both"/>
        <w:ind w:right="360" w:firstLine="648"/>
        <w:spacing w:after="0" w:line="285" w:lineRule="auto"/>
        <w:rPr>
          <w:sz w:val="20"/>
          <w:szCs w:val="20"/>
          <w:color w:val="auto"/>
        </w:rPr>
      </w:pPr>
      <w:r>
        <w:rPr>
          <w:rFonts w:ascii="Arial" w:cs="Arial" w:eastAsia="Arial" w:hAnsi="Arial"/>
          <w:sz w:val="16"/>
          <w:szCs w:val="16"/>
          <w:color w:val="auto"/>
        </w:rPr>
        <w:t>In December 2010, the Company entered into a Loan and Security Agreement (the “Loan Agreement”) with MidCap Financial, LLC (MidCap) pursuant to which the Company borrowed $10 million (the “Term Loan”) from MidCap. In March 2011, as the Company had anticipated, the Company amended the Loan Agreement and borrowed an additional $5 million from General Electric Capital Corporation (GECC) (collectively with MidCap, the “Lenders”)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w:t>
      </w:r>
    </w:p>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6.25%; or (ii) a minimum rate of 9.50%. In September 2011, the Company exercised an option to extend the interest-only period by 6 months from October 1, 2011 to April 1, 2012. In March 2012, the Company amended the Loan Agreement to extend the maturity date from December 2013 to December 2014 in return for an upfront fee of $25,000 and an additional fee of $37,500 (the “Final Payment Fee”) due upon repayment of the Term Loan in full.</w:t>
      </w:r>
    </w:p>
    <w:p>
      <w:pPr>
        <w:spacing w:after="0" w:line="15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The Company may prepay all, but not less than all, of the Term Loan subject to a prepayment premium of 1% in year three and 2% in year two of the original principal amount of the Term Loan. There is no prepayment premium if the loan is paid off early in year four. The Company is also obligated to make a payment fee of $0.5 million (the “Payment Fee”) upon the earlier of (A) December 30, 2013 or (B) upon repayment of the Term Loan in full prior to December 30, 2013. The Company is accreting the Payment Fee ratably over the original term of the Term Loan to interest expense.</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w:t>
      </w:r>
    </w:p>
    <w:p>
      <w:pPr>
        <w:sectPr>
          <w:pgSz w:w="11900" w:h="16838" w:orient="portrait"/>
          <w:cols w:equalWidth="0" w:num="1">
            <w:col w:w="11420"/>
          </w:cols>
          <w:pgMar w:left="240" w:top="140" w:right="239" w:bottom="0" w:gutter="0" w:footer="0" w:header="0"/>
        </w:sectPr>
      </w:pPr>
    </w:p>
    <w:bookmarkStart w:id="6" w:name="page7"/>
    <w:bookmarkEnd w:id="6"/>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Company’s obligations under the Loan Agreement shall be immediately due and payable. At March 31, 2012, the Company believes it is in compliance with the Loan Agreement.</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Interest expense on the Term Loan including the accretion of the Payment Fee and Final Payment Fee and amortization of the deferred financing costs was $0.4 million and $0.3 million for the three months ended March 31,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March 31, 2012</w:t>
            </w:r>
          </w:p>
        </w:tc>
        <w:tc>
          <w:tcPr>
            <w:tcW w:w="10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2011</w:t>
            </w:r>
          </w:p>
        </w:tc>
      </w:tr>
      <w:tr>
        <w:trPr>
          <w:trHeight w:val="142"/>
        </w:trPr>
        <w:tc>
          <w:tcPr>
            <w:tcW w:w="5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4"/>
          </w:tcPr>
          <w:p>
            <w:pPr>
              <w:jc w:val="right"/>
              <w:ind w:right="9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Loan Payable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Long-Term Portion</w:t>
            </w:r>
          </w:p>
        </w:tc>
        <w:tc>
          <w:tcPr>
            <w:tcW w:w="25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January 2012 and 2011, the Company received approval from the New Jersey Economic Development Authority and agreed to sell New Jersey tax benefits worth $0.8 million and $0.6 million to an independent third party for $0.7 million and $0.5 million, respectively. Under the agreement, the Company must maintain a base of operations in NJ for five years or the tax benefits must be paid back on a pro-rata basis based on the number of years completed. During the three months ended March 31, 2012, the Company recorded $0.1 million to other income related to the sale of these tax benefits.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January 2011, the Company entered into a controlled equity offering sales agreement (the “Cantor Agreement”) with Cantor Fitzgerald &amp; Co. (Cantor) pursuant to which the Company may issue and sell up to 5,000,000 shares of its common stock from time to time through Cantor, acting as agent. The Company agreed to pay Cantor a commission of up to 5% of the gross proceeds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from each sale and to reimburse Cantor for certain expenses incurred in connection with entering into the Cantor Agreement. The Cantor Agreement terminates upon the sale of all 5,000,000 shares or upon ten day notice by either Cantor or the Company. During the year ended December 31, 2011, the Company sold 575,000 shares of common stock under the Cantor Agreement and raised $2.2 million in net proceeds, after deducting commission and offering expenses. During the three months ended March 31, 2012, the Company sold 2,450,000 shares of common stock under the Cantor Agreement and raised $8.5 million in net proceeds. Under the terms of the Cantor Agreement, the Company has the ability to sell up to 1,975,000 shares of its common stock upon the expiration or earlier waiver of the 90-day lock-up with the underwriters of the Company’s recent offering in February 2012.</w:t>
      </w:r>
    </w:p>
    <w:p>
      <w:pPr>
        <w:spacing w:after="0" w:line="16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the three months ended March 31, 2012, the Company issued 12,075,000 shares of its common stock in an underwritten public offering, including the underwriter’s exercise of their full over-allotment option to purchase an additional 1,575,000 shares of common stock. The net proceeds to the Company were $43.4 million, after deducting underwriting fees and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2012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left="264"/>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center"/>
              <w:ind w:left="244"/>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000" w:type="dxa"/>
            <w:vAlign w:val="bottom"/>
          </w:tcPr>
          <w:p>
            <w:pPr>
              <w:jc w:val="center"/>
              <w:ind w:left="264"/>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4,459,034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c>
          <w:tcPr>
            <w:tcW w:w="1000" w:type="dxa"/>
            <w:vAlign w:val="bottom"/>
          </w:tcPr>
          <w:p>
            <w:pPr>
              <w:jc w:val="right"/>
              <w:ind w:right="844"/>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3.89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(150,785)</w:t>
            </w:r>
          </w:p>
        </w:tc>
        <w:tc>
          <w:tcPr>
            <w:tcW w:w="20" w:type="dxa"/>
            <w:vAlign w:val="bottom"/>
          </w:tcPr>
          <w:p>
            <w:pPr>
              <w:spacing w:after="0"/>
              <w:rPr>
                <w:sz w:val="18"/>
                <w:szCs w:val="18"/>
                <w:color w:val="auto"/>
              </w:rPr>
            </w:pPr>
          </w:p>
        </w:tc>
        <w:tc>
          <w:tcPr>
            <w:tcW w:w="1000" w:type="dxa"/>
            <w:vAlign w:val="bottom"/>
          </w:tcPr>
          <w:p>
            <w:pPr>
              <w:jc w:val="right"/>
              <w:ind w:right="844"/>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8.43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4,311,999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right"/>
              <w:ind w:right="844"/>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6.00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2012</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restart"/>
          </w:tcPr>
          <w:p>
            <w:pPr>
              <w:jc w:val="right"/>
              <w:ind w:right="844"/>
              <w:spacing w:after="0"/>
              <w:rPr>
                <w:sz w:val="20"/>
                <w:szCs w:val="20"/>
                <w:color w:val="auto"/>
              </w:rPr>
            </w:pPr>
            <w:r>
              <w:rPr>
                <w:rFonts w:ascii="Arial" w:cs="Arial" w:eastAsia="Arial" w:hAnsi="Arial"/>
                <w:sz w:val="15"/>
                <w:szCs w:val="15"/>
                <w:color w:val="auto"/>
                <w:w w:val="71"/>
              </w:rPr>
              <w:t>$</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1"/>
              </w:rPr>
              <w:t>6.03</w:t>
            </w:r>
          </w:p>
        </w:tc>
        <w:tc>
          <w:tcPr>
            <w:tcW w:w="2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4,272,976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2,868,567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4"/>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7.09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972,423</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940" w:type="dxa"/>
            <w:vAlign w:val="bottom"/>
            <w:gridSpan w:val="8"/>
          </w:tcPr>
          <w:p>
            <w:pPr>
              <w:ind w:left="660"/>
              <w:spacing w:after="0"/>
              <w:rPr>
                <w:sz w:val="20"/>
                <w:szCs w:val="20"/>
                <w:color w:val="auto"/>
              </w:rPr>
            </w:pPr>
            <w:r>
              <w:rPr>
                <w:rFonts w:ascii="Arial" w:cs="Arial" w:eastAsia="Arial" w:hAnsi="Arial"/>
                <w:sz w:val="18"/>
                <w:szCs w:val="18"/>
                <w:color w:val="auto"/>
                <w:w w:val="91"/>
              </w:rPr>
              <w:t>The weighted average grant-date fair value of stock options granted during the three months ended March 31, 2012 was $2.44.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20" w:type="dxa"/>
            <w:vAlign w:val="bottom"/>
            <w:gridSpan w:val="5"/>
          </w:tcPr>
          <w:p>
            <w:pPr>
              <w:ind w:left="660"/>
              <w:spacing w:after="0"/>
              <w:rPr>
                <w:sz w:val="20"/>
                <w:szCs w:val="20"/>
                <w:color w:val="auto"/>
              </w:rPr>
            </w:pPr>
            <w:r>
              <w:rPr>
                <w:rFonts w:ascii="Arial" w:cs="Arial" w:eastAsia="Arial" w:hAnsi="Arial"/>
                <w:sz w:val="18"/>
                <w:szCs w:val="18"/>
                <w:color w:val="auto"/>
                <w:w w:val="93"/>
              </w:rPr>
              <w:t>A summary of restricted stock activity under the 2008 Plan for the three months ended March 31, 2012 is as follows: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center"/>
              <w:ind w:left="264"/>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December 31, 2011</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6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w:t>
            </w:r>
          </w:p>
        </w:tc>
        <w:tc>
          <w:tcPr>
            <w:tcW w:w="13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tabs>
          <w:tab w:leader="none" w:pos="9260" w:val="left"/>
          <w:tab w:leader="none" w:pos="9940" w:val="left"/>
          <w:tab w:leader="none" w:pos="10980" w:val="left"/>
        </w:tabs>
        <w:rPr>
          <w:sz w:val="20"/>
          <w:szCs w:val="20"/>
          <w:color w:val="auto"/>
        </w:rPr>
      </w:pPr>
      <w:r>
        <w:rPr>
          <w:rFonts w:ascii="Arial" w:cs="Arial" w:eastAsia="Arial" w:hAnsi="Arial"/>
          <w:sz w:val="18"/>
          <w:szCs w:val="18"/>
          <w:color w:val="auto"/>
        </w:rPr>
        <w:t>Outstanding and unvested at March 31, 2012</w:t>
      </w:r>
      <w:r>
        <w:rPr>
          <w:sz w:val="20"/>
          <w:szCs w:val="20"/>
          <w:color w:val="auto"/>
        </w:rPr>
        <w:tab/>
      </w:r>
      <w:r>
        <w:rPr>
          <w:rFonts w:ascii="Arial" w:cs="Arial" w:eastAsia="Arial" w:hAnsi="Arial"/>
          <w:sz w:val="18"/>
          <w:szCs w:val="18"/>
          <w:color w:val="auto"/>
        </w:rPr>
        <w:t>3,000</w:t>
        <w:tab/>
        <w:t>$</w:t>
      </w:r>
      <w:r>
        <w:rPr>
          <w:sz w:val="20"/>
          <w:szCs w:val="20"/>
          <w:color w:val="auto"/>
        </w:rPr>
        <w:tab/>
      </w:r>
      <w:r>
        <w:rPr>
          <w:rFonts w:ascii="Arial" w:cs="Arial" w:eastAsia="Arial" w:hAnsi="Arial"/>
          <w:sz w:val="16"/>
          <w:szCs w:val="16"/>
          <w:color w:val="auto"/>
        </w:rPr>
        <w:t>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for the three months ended March 31, 2012 and 2011 was recorded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8"/>
              </w:rPr>
              <w:t>Three months ended 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4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gridSpan w:val="3"/>
          </w:tcPr>
          <w:p>
            <w:pPr>
              <w:jc w:val="right"/>
              <w:ind w:right="556"/>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96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245</w:t>
            </w:r>
          </w:p>
        </w:tc>
        <w:tc>
          <w:tcPr>
            <w:tcW w:w="9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20" w:type="dxa"/>
            <w:vAlign w:val="bottom"/>
            <w:vMerge w:val="restart"/>
          </w:tcPr>
          <w:p>
            <w:pPr>
              <w:jc w:val="right"/>
              <w:ind w:right="2410"/>
              <w:spacing w:after="0"/>
              <w:rPr>
                <w:sz w:val="20"/>
                <w:szCs w:val="20"/>
                <w:color w:val="auto"/>
              </w:rPr>
            </w:pPr>
            <w:r>
              <w:rPr>
                <w:rFonts w:ascii="Arial" w:cs="Arial" w:eastAsia="Arial" w:hAnsi="Arial"/>
                <w:sz w:val="18"/>
                <w:szCs w:val="18"/>
                <w:color w:val="auto"/>
              </w:rPr>
              <w:t>10</w:t>
            </w: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80" w:type="dxa"/>
            <w:vAlign w:val="bottom"/>
            <w:tcBorders>
              <w:bottom w:val="single" w:sz="8" w:color="010101"/>
            </w:tcBorders>
          </w:tcPr>
          <w:p>
            <w:pPr>
              <w:spacing w:after="0"/>
              <w:rPr>
                <w:sz w:val="11"/>
                <w:szCs w:val="11"/>
                <w:color w:val="auto"/>
              </w:rPr>
            </w:pPr>
          </w:p>
        </w:tc>
        <w:tc>
          <w:tcPr>
            <w:tcW w:w="40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fair values of employee stock options granted during the three months ended March 31, 2012 and 2011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3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2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March 31, 2012 and December 31, 2011 against the Company’s net deferred tax assets.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clinical studies to meet our long-term liquidity needs, on terms acceptable to us, or at all;</w:t>
      </w:r>
    </w:p>
    <w:p>
      <w:pPr>
        <w:spacing w:after="0" w:line="236" w:lineRule="exact"/>
        <w:rPr>
          <w:rFonts w:ascii="Arial" w:cs="Arial" w:eastAsia="Arial" w:hAnsi="Arial"/>
          <w:sz w:val="17"/>
          <w:szCs w:val="17"/>
          <w:color w:val="auto"/>
        </w:rPr>
      </w:pPr>
    </w:p>
    <w:p>
      <w:pPr>
        <w:ind w:left="980" w:right="180" w:hanging="324"/>
        <w:spacing w:after="0" w:line="342"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complete research and further development, including animal, preclinical and clinical studies, and commercialization of rindopepimut, CDX-011, CDX-1127, and other drug candidates and the growth of the markets for those drug candidates;</w:t>
      </w:r>
    </w:p>
    <w:p>
      <w:pPr>
        <w:spacing w:after="0" w:line="123" w:lineRule="exact"/>
        <w:rPr>
          <w:rFonts w:ascii="Arial" w:cs="Arial" w:eastAsia="Arial" w:hAnsi="Arial"/>
          <w:sz w:val="16"/>
          <w:szCs w:val="16"/>
          <w:color w:val="auto"/>
        </w:rPr>
      </w:pPr>
    </w:p>
    <w:p>
      <w:pPr>
        <w:ind w:left="980" w:right="3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our Phase 3 trial for rindopepimut;</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CDX-1127 and other preclinical and clinical testing;</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for North America internally and to find a strategic partner to commercialize rindopepimut outside of North America;</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negotiate strategic partnerships, where appropriate, for our lead programs, including CDX-011 and CDX-1127, as well as for our non-core programs;</w:t>
      </w:r>
    </w:p>
    <w:p>
      <w:pPr>
        <w:spacing w:after="0" w:line="170" w:lineRule="exact"/>
        <w:rPr>
          <w:rFonts w:ascii="Arial" w:cs="Arial" w:eastAsia="Arial" w:hAnsi="Arial"/>
          <w:sz w:val="18"/>
          <w:szCs w:val="18"/>
          <w:color w:val="auto"/>
        </w:rPr>
      </w:pPr>
    </w:p>
    <w:p>
      <w:pPr>
        <w:ind w:left="980" w:right="420" w:hanging="324"/>
        <w:spacing w:after="0" w:line="216"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these partners;</w:t>
      </w:r>
    </w:p>
    <w:p>
      <w:pPr>
        <w:sectPr>
          <w:pgSz w:w="11900" w:h="16838" w:orient="portrait"/>
          <w:cols w:equalWidth="0" w:num="1">
            <w:col w:w="11460"/>
          </w:cols>
          <w:pgMar w:left="240" w:top="125" w:right="199" w:bottom="0" w:gutter="0" w:footer="0" w:header="0"/>
        </w:sectPr>
      </w:pPr>
    </w:p>
    <w:bookmarkStart w:id="8" w:name="page9"/>
    <w:bookmarkEnd w:id="8"/>
    <w:p>
      <w:pPr>
        <w:ind w:left="980" w:right="5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2011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are a biopharmaceutical company focused on the development and commercialization of several immunotherapy technologies for the treatment of cancer and other difficult-to-treat diseases. Our lead drug candidates include rindopepimut (CDX-110), an immunotherapeutic vaccine in a pivotal Phase 3 study for the treatment of front-line glioblastoma and a Phase 2 study for the treatment of recurrent glioblastoma, CDX-011, an antibody-drug conjugate in a randomized Phase 2b study for the treatment of advanced breast cancer and CDX-1127, a therapeutic human antibody in a Phase 1 study for cancer indications. We have additional clinical and preclinical programs, including CDX-1401, an APC Targeting Technology™ program, CDX-301, an immune cell mobilizing agent and dendritic cell growth factor and CDX-1135, a molecule that inhibits a part of the immune system called the complement system.</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Generally our strategy is to develop and demonstrate proof-of-concept for our drug candidates before leveraging their value through partnerships or, in appropriate situations, continuing late stage development through commercialization ourselves. Demonstrating proof-of-concept for a drug candidate generally involves bringing it through Phase 1 clinical trials and one or more Phase 2 clinical trials so that we are able to demonstrate, based on human trials, good safety data for the drug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We are exploring potential development and commercialization collaborations for certain drug candidates such as CDX-011 and CDX-1127. Furthermore, while we plan to retain the rights to develop and commercialize rindopepimut in North America, we are exploring potential partnership opportunities to commercialize rindopepimut outside of North America. Our drug candidates address market opportunities for which we believe current therapies are inadequate or non-existent.</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drug candidates are in various stages of clinical trials. We expect that a large percentage of our research and development expenses will be incurred in support of our current and future clinical trial programs.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Product (generic)</w:t>
            </w:r>
          </w:p>
        </w:tc>
        <w:tc>
          <w:tcPr>
            <w:tcW w:w="240" w:type="dxa"/>
            <w:vAlign w:val="bottom"/>
          </w:tcPr>
          <w:p>
            <w:pPr>
              <w:spacing w:after="0"/>
              <w:rPr>
                <w:sz w:val="14"/>
                <w:szCs w:val="14"/>
                <w:color w:val="auto"/>
              </w:rPr>
            </w:pPr>
          </w:p>
        </w:tc>
        <w:tc>
          <w:tcPr>
            <w:tcW w:w="4060" w:type="dxa"/>
            <w:vAlign w:val="bottom"/>
          </w:tcPr>
          <w:p>
            <w:pPr>
              <w:jc w:val="right"/>
              <w:ind w:right="1468"/>
              <w:spacing w:after="0"/>
              <w:rPr>
                <w:sz w:val="20"/>
                <w:szCs w:val="20"/>
                <w:color w:val="auto"/>
              </w:rPr>
            </w:pPr>
            <w:r>
              <w:rPr>
                <w:rFonts w:ascii="Arial" w:cs="Arial" w:eastAsia="Arial" w:hAnsi="Arial"/>
                <w:sz w:val="14"/>
                <w:szCs w:val="14"/>
                <w:b w:val="1"/>
                <w:bCs w:val="1"/>
                <w:color w:val="auto"/>
              </w:rPr>
              <w:t>Indication/Field</w:t>
            </w:r>
          </w:p>
        </w:tc>
        <w:tc>
          <w:tcPr>
            <w:tcW w:w="260" w:type="dxa"/>
            <w:vAlign w:val="bottom"/>
          </w:tcPr>
          <w:p>
            <w:pPr>
              <w:spacing w:after="0"/>
              <w:rPr>
                <w:sz w:val="14"/>
                <w:szCs w:val="14"/>
                <w:color w:val="auto"/>
              </w:rPr>
            </w:pPr>
          </w:p>
        </w:tc>
        <w:tc>
          <w:tcPr>
            <w:tcW w:w="208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4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w w:val="97"/>
              </w:rPr>
              <w:t>CDX-110</w:t>
            </w:r>
          </w:p>
        </w:tc>
        <w:tc>
          <w:tcPr>
            <w:tcW w:w="2600" w:type="dxa"/>
            <w:vAlign w:val="bottom"/>
          </w:tcPr>
          <w:p>
            <w:pPr>
              <w:ind w:left="20"/>
              <w:spacing w:after="0"/>
              <w:rPr>
                <w:sz w:val="20"/>
                <w:szCs w:val="20"/>
                <w:color w:val="auto"/>
              </w:rPr>
            </w:pPr>
            <w:r>
              <w:rPr>
                <w:rFonts w:ascii="Arial" w:cs="Arial" w:eastAsia="Arial" w:hAnsi="Arial"/>
                <w:sz w:val="18"/>
                <w:szCs w:val="18"/>
                <w:color w:val="auto"/>
              </w:rPr>
              <w:t>(rindopepimut)</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Front-line Glioblastoma</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3</w:t>
            </w:r>
          </w:p>
        </w:tc>
      </w:tr>
      <w:tr>
        <w:trPr>
          <w:trHeight w:val="216"/>
        </w:trPr>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CDX-110</w:t>
            </w: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(rindopepimut)</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Recurrent Glioblastoma</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2</w:t>
            </w: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w w:val="97"/>
              </w:rPr>
              <w:t>CDX-011</w:t>
            </w:r>
          </w:p>
        </w:tc>
        <w:tc>
          <w:tcPr>
            <w:tcW w:w="2600" w:type="dxa"/>
            <w:vAlign w:val="bottom"/>
          </w:tcPr>
          <w:p>
            <w:pPr>
              <w:ind w:left="20"/>
              <w:spacing w:after="0"/>
              <w:rPr>
                <w:sz w:val="20"/>
                <w:szCs w:val="20"/>
                <w:color w:val="auto"/>
              </w:rPr>
            </w:pPr>
            <w:r>
              <w:rPr>
                <w:rFonts w:ascii="Arial" w:cs="Arial" w:eastAsia="Arial" w:hAnsi="Arial"/>
                <w:sz w:val="18"/>
                <w:szCs w:val="18"/>
                <w:color w:val="auto"/>
              </w:rPr>
              <w:t>(glembatumumab vedotin)</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Metastatic breast cancer and melanoma</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2b</w:t>
            </w: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Lymphoma/leukemia and solid tumors</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CDX-1401</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Multiple solid tumors</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Phase 1/2</w:t>
            </w: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Cancer, autoimmune disease and transplant</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Renal disease</w:t>
            </w:r>
          </w:p>
        </w:tc>
        <w:tc>
          <w:tcPr>
            <w:tcW w:w="23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CDX-014</w:t>
            </w: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Ovarian and renal cancer</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MARKETED PRODUCTS</w:t>
            </w:r>
          </w:p>
        </w:tc>
        <w:tc>
          <w:tcPr>
            <w:tcW w:w="2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305"/>
        </w:trPr>
        <w:tc>
          <w:tcPr>
            <w:tcW w:w="920" w:type="dxa"/>
            <w:vAlign w:val="bottom"/>
          </w:tcPr>
          <w:p>
            <w:pPr>
              <w:ind w:left="180"/>
              <w:spacing w:after="0"/>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2600" w:type="dxa"/>
            <w:vAlign w:val="bottom"/>
          </w:tcPr>
          <w:p>
            <w:pPr>
              <w:spacing w:after="0"/>
              <w:rPr>
                <w:sz w:val="24"/>
                <w:szCs w:val="24"/>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Rotavirus infection</w:t>
            </w: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GlaxoSmithKline</w:t>
            </w:r>
          </w:p>
        </w:tc>
        <w:tc>
          <w:tcPr>
            <w:tcW w:w="1260" w:type="dxa"/>
            <w:vAlign w:val="bottom"/>
          </w:tcPr>
          <w:p>
            <w:pPr>
              <w:spacing w:after="0"/>
              <w:rPr>
                <w:sz w:val="20"/>
                <w:szCs w:val="20"/>
                <w:color w:val="auto"/>
              </w:rPr>
            </w:pPr>
            <w:r>
              <w:rPr>
                <w:rFonts w:ascii="Arial" w:cs="Arial" w:eastAsia="Arial" w:hAnsi="Arial"/>
                <w:sz w:val="18"/>
                <w:szCs w:val="18"/>
                <w:color w:val="auto"/>
              </w:rPr>
              <w:t>Marketed</w:t>
            </w:r>
          </w:p>
        </w:tc>
      </w:tr>
      <w:tr>
        <w:trPr>
          <w:trHeight w:val="344"/>
        </w:trPr>
        <w:tc>
          <w:tcPr>
            <w:tcW w:w="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00" w:type="dxa"/>
            <w:vAlign w:val="bottom"/>
            <w:gridSpan w:val="2"/>
          </w:tcPr>
          <w:p>
            <w:pPr>
              <w:jc w:val="right"/>
              <w:ind w:right="1948"/>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9" w:name="page10"/>
    <w:bookmarkEnd w:id="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6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the past five years through December 31, 2011, we incurred an aggregate of $118.8 million in research and development expenses. The following table indicates the amount incurred for each of our significant research programs and for other identified research and development activities during the three months ended March 31, 2012 and 2011. The amounts disclosed in the following table reflect direct research and development costs, license fees associated with the underlying technology and an allocation of indirect research and development costs to each program.</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5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6"/>
              </w:rPr>
              <w:t>Three Months Ended March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88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2"/>
          </w:tcPr>
          <w:p>
            <w:pPr>
              <w:jc w:val="right"/>
              <w:ind w:right="519"/>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4,939</w:t>
            </w:r>
          </w:p>
        </w:tc>
        <w:tc>
          <w:tcPr>
            <w:tcW w:w="104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1,056</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CDX-011</w:t>
            </w:r>
          </w:p>
        </w:tc>
        <w:tc>
          <w:tcPr>
            <w:tcW w:w="8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1,078</w:t>
            </w:r>
          </w:p>
        </w:tc>
        <w:tc>
          <w:tcPr>
            <w:tcW w:w="10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936</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1,836</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CDX-1401</w:t>
            </w:r>
          </w:p>
        </w:tc>
        <w:tc>
          <w:tcPr>
            <w:tcW w:w="8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486</w:t>
            </w:r>
          </w:p>
        </w:tc>
        <w:tc>
          <w:tcPr>
            <w:tcW w:w="10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548</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CDX-1135</w:t>
            </w:r>
          </w:p>
        </w:tc>
        <w:tc>
          <w:tcPr>
            <w:tcW w:w="88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2,330</w:t>
            </w:r>
          </w:p>
        </w:tc>
        <w:tc>
          <w:tcPr>
            <w:tcW w:w="10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810</w:t>
            </w:r>
          </w:p>
        </w:tc>
      </w:tr>
      <w:tr>
        <w:trPr>
          <w:trHeight w:val="70"/>
        </w:trPr>
        <w:tc>
          <w:tcPr>
            <w:tcW w:w="75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bl>
    <w:p>
      <w:pPr>
        <w:sectPr>
          <w:pgSz w:w="11900" w:h="16900" w:orient="portrait"/>
          <w:cols w:equalWidth="0" w:num="1">
            <w:col w:w="11400"/>
          </w:cols>
          <w:pgMar w:left="240" w:top="490" w:right="259" w:bottom="0" w:gutter="0" w:footer="0" w:header="0"/>
        </w:sectPr>
      </w:pPr>
    </w:p>
    <w:bookmarkStart w:id="10" w:name="page11"/>
    <w:bookmarkEnd w:id="10"/>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1,271</w:t>
            </w: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lead clinical development program, rindopepimut, is an immunotherapeutic vaccine that targets the tumor-specific molecule, epidermal growth factor receptor variant III (EGFRvIII). EGFRvIII is a mutated form of the epidermal growth factor receptor (EGFR) that is only expressed in cancer cells and not in normal tissue and can directly contribute to cancer cell growth. EGFRvIII has been shown by polymerase chain reaction (PCR) analysis to be expressed in approximately 31% of glioblastoma (GB) tumors, also referred to as glioblastoma multiforme (GBM), the most common and aggressive form of brain cancer. The rindopepimut vaccine is composed of the EGFRvIII peptide linked to a carrier protein called Keyhole Limpet Hemocyanin (KLH) and administered together with the adjuvant GM-CSF. The Food and Drug Administration (FDA) and the European Medicines Agency (EMA) have both granted orphan drug designation for rindopepimut for the treatment of EGFRvIII expressing GB and the FDA has also granted Fast Track designation.</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GB patients, respectively. An extension of the Phase 2a study (ACT II) at the same two institutions evaluated 22 additional GB patients treated in combination with maintenance temozolomide (TMZ) (the current standard of care).</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initiated a Phase 2b/3 randomized study (ACT III)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 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compared to matched historical controls and the standard of care (SOC).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Median PFS from</w:t>
            </w:r>
          </w:p>
        </w:tc>
        <w:tc>
          <w:tcPr>
            <w:tcW w:w="2060" w:type="dxa"/>
            <w:vAlign w:val="bottom"/>
            <w:gridSpan w:val="2"/>
          </w:tcPr>
          <w:p>
            <w:pPr>
              <w:ind w:left="360"/>
              <w:spacing w:after="0"/>
              <w:rPr>
                <w:sz w:val="20"/>
                <w:szCs w:val="20"/>
                <w:color w:val="auto"/>
              </w:rPr>
            </w:pPr>
            <w:r>
              <w:rPr>
                <w:rFonts w:ascii="Arial" w:cs="Arial" w:eastAsia="Arial" w:hAnsi="Arial"/>
                <w:sz w:val="14"/>
                <w:szCs w:val="14"/>
                <w:b w:val="1"/>
                <w:bCs w:val="1"/>
                <w:color w:val="auto"/>
              </w:rPr>
              <w:t>Median OS from</w:t>
            </w:r>
          </w:p>
        </w:tc>
        <w:tc>
          <w:tcPr>
            <w:tcW w:w="17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OS at 24 months</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diagnosis (months)</w:t>
            </w:r>
          </w:p>
        </w:tc>
        <w:tc>
          <w:tcPr>
            <w:tcW w:w="32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diagnosis (months)</w:t>
            </w:r>
          </w:p>
        </w:tc>
        <w:tc>
          <w:tcPr>
            <w:tcW w:w="2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ACT III (n=65)</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ACT II (n=22)</w:t>
            </w: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15.3</w:t>
            </w:r>
          </w:p>
        </w:tc>
        <w:tc>
          <w:tcPr>
            <w:tcW w:w="2060" w:type="dxa"/>
            <w:vAlign w:val="bottom"/>
            <w:gridSpan w:val="2"/>
          </w:tcPr>
          <w:p>
            <w:pPr>
              <w:jc w:val="right"/>
              <w:ind w:right="280"/>
              <w:spacing w:after="0"/>
              <w:rPr>
                <w:sz w:val="20"/>
                <w:szCs w:val="20"/>
                <w:color w:val="auto"/>
              </w:rPr>
            </w:pPr>
            <w:r>
              <w:rPr>
                <w:rFonts w:ascii="Arial" w:cs="Arial" w:eastAsia="Arial" w:hAnsi="Arial"/>
                <w:sz w:val="18"/>
                <w:szCs w:val="18"/>
                <w:color w:val="auto"/>
              </w:rPr>
              <w:t>24.4</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ACTIVATE (n=18)</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2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Matched historical control (n=17)(2)</w:t>
            </w: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206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Standard of care radiation/TMZ (n=287)(3)</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2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25" w:lineRule="exact"/>
        <w:rPr>
          <w:rFonts w:ascii="Arial" w:cs="Arial" w:eastAsia="Arial" w:hAnsi="Arial"/>
          <w:sz w:val="18"/>
          <w:szCs w:val="18"/>
          <w:color w:val="auto"/>
        </w:rPr>
      </w:pPr>
    </w:p>
    <w:p>
      <w:pPr>
        <w:ind w:left="660" w:right="420" w:hanging="652"/>
        <w:spacing w:after="0" w:line="264" w:lineRule="auto"/>
        <w:tabs>
          <w:tab w:leader="none" w:pos="681"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karnofsky performance status (KPS) greater-than or equal to 80%, complete resection, radiation/temozolomide (TMZ) and without progression through ~ 3 months post-diagnosis).</w:t>
      </w:r>
    </w:p>
    <w:p>
      <w:pPr>
        <w:spacing w:after="0" w:line="181" w:lineRule="exact"/>
        <w:rPr>
          <w:rFonts w:ascii="Arial" w:cs="Arial" w:eastAsia="Arial" w:hAnsi="Arial"/>
          <w:sz w:val="18"/>
          <w:szCs w:val="18"/>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 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17.5 months, which compares favorably with the published data from the SOC of radiation plus TMZ (R+TMZ) of 10.3 months. Those with unmethylated tumors (n=40) treated with the rindopepimut regimen experienced a PFS of 11.2 months, which compared favorably to the PFS with SOC of 5.3 months in this patient population. Thus, rindopepimut would appear to benefit both methylated and unmethylated MGMT patients.</w:t>
      </w:r>
    </w:p>
    <w:p>
      <w:pPr>
        <w:spacing w:after="0" w:line="182"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 Patients will be randomized after the completion of surgery and standard chemoradiation. The treatment regime includes a vaccine priming phase post-radiation followed by an adjuvant temozolomide phase and a vaccine maintenance therapy phase. Patients will be treated until disease progression or intolerance to therapy. The primary objective of the study is to determine whether rindopepimut plus adjuvant GM-CSF improves the overall survival of patients with newly diagnosed EGFRvIII-positive GB after Gross Total Resection (GTR) when compared to treatment with TMZ and a</w:t>
      </w:r>
    </w:p>
    <w:p>
      <w:pPr>
        <w:sectPr>
          <w:pgSz w:w="11900" w:h="16838" w:orient="portrait"/>
          <w:cols w:equalWidth="0" w:num="1">
            <w:col w:w="11420"/>
          </w:cols>
          <w:pgMar w:left="240" w:top="140" w:right="239" w:bottom="0" w:gutter="0" w:footer="0" w:header="0"/>
        </w:sectPr>
      </w:pPr>
    </w:p>
    <w:bookmarkStart w:id="11" w:name="page12"/>
    <w:bookmarkEnd w:id="11"/>
    <w:p>
      <w:pPr>
        <w:spacing w:after="0" w:line="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control injection of KLH. KLH is a component of rindopepimut and was selected due to its ability to generate a similar injection site reaction to that observed with the rindopepimut vaccine. ACT IV will enroll up to 440 patients at over 150 centers worldwide to recruit approximately 374 patients with GTR to be included in the primary analysis. Our targeted patient accrual is 24 months and another 18 to 24 months of follow-up. We expect it will cost over $50 million to complete this Phase 3 study.</w:t>
      </w:r>
    </w:p>
    <w:p>
      <w:pPr>
        <w:spacing w:after="0" w:line="187"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with recurrent EGFRvIII-positive GB. ReACT will enroll approximately 95 patients in a first or second relapse of GB following receipt of standard therapy and will be conducted at approximately 20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preliminary data from this study to be available in mid-2013.</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researchers at Stanford University are conducting a pilot trial of rindopepimut in pediatric patients with pontine glioma in an investigator sponsored trial. Patient screening is ongoing for this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CDX-011 is an antibody-drug conjugate (ADC) that consists of a fully-human monoclonal antibody, CR011, linked to a potent cell-killing drug, monomethyl-auristatin E (MMAE). The CR011 antibody specifically targets glycoprotein NMB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had received prior therapy (median of seven prior regimens). The study began with a bridging phase to confirm the maximum tolerated dose (MTD) and then expanded into a Phase 2 open-label, multi-center study.</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 The most common treatment-related toxicities were fatigue, rash, nausea, alopecia (hair loss), neutropenia and vomiting.</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December 2011, we completed enrollment of EMERGE, a randomized, multi-center Phase 2b study of CDX-011 in patients with heavily pre-treated, advanced, GPNMB-positive breast cancer. Patients were randomized (2:1) to receive either CDX-011 or single-agent “Investigator’s Choice” chemotherapy. Patients randomized to receive Investigator’s Choice are allowed to cross over to CDX-011 following disease progression. Activity endpoints include response rate (RR) and PFS. We expect that a significant portion of the enrolled patients will have triple-negative disease, since GPNMB is frequently expressed in this patient population. We expect to disclose topline results on a Company-sponsored webcast during the second quarter of 2012. Mature data is expected to be presented at an appropriate scientific conference in the fourth quarter of 2012.</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2009, Formatech, Inc., a third party contract manufacturer (“Formatech”) was engaged by us for the aseptic filling of one lot of our CDX-011 product candidate being used in our ongoing Phase 2b study. The CDX-011 lot from Formatech has passed all of the sterility testing performed during drug release and in subsequent stability studies. At the end of January 2012, we were notified by the FDA that because significant Good Manufacturing Practice (GMP) violations were uncovered during inspection of Formatech, our Phase 2b study for CDX-011 was being placed on partial clinical hold. The FDA uncovered these findings during their inspections of the Formatech facility between August to October 2010 and July to August 2011. These inspections began approximately one year after the CDX-011 drug product was filled at Formatech. Specifically, the FDA requested that no new patients be treated with CDX-011. However, patients already undergoing treatment with CDX-011 could continue treatment using vials of CDX-011 from the lot filled by Formatech, after such patients were informed of the potential risk and reconsented to continued participation in the study. Since the Phase 2b trial completed accrual of patients in December 2011 and there are currently no other ongoing open studies with CDX-011, the only patients that are affected by the partial hold are in the Investigator’s Choice (control arm) of the study who currently are not receiving CDX-011 and may be eligible to cross over at the time of progression and receive CDX-011 under the study protocol.</w:t>
      </w:r>
    </w:p>
    <w:p>
      <w:pPr>
        <w:spacing w:after="0" w:line="18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subsequent conversations with the FDA, they have agreed to allow patients on the Investigator Choice control arm in the ongoing Phase 2b study to resume cross over at the time of progression and receive an older lot of CDX-011 drug product that was filled by a different contract manufacturer once the patients are informed that they can only receive treatment with CDX-011 until the earlier of disease progression, exhaustion or expiration of the older lot of CDX-011. The primary analyses for the study are entirely based upon the primary randomization and do not include the cross over results. We do not believe that this partial hold will significantly impact analysis of the Phase 2b data for purposes of determining next steps in our future development of CDX-011.</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the FDA has agreed in concept that we could reprocess the remaining available vials of CDX-011 manufactured at Formatech at another cGMP contract manufacturer. The FDA’s final decision regarding the acceptability of this reprocessing will be made upon review of data concerning the stability and sterility of the reprocessed vials of CDX-011. If we are unsuccessful at reprocessing the available drug product or if FDA does not approve the use of these reprocessed vials, we will need to manufacture new drug product for subsequent clinical studies for CDX-011, which may cause a delay in the initiation of a subsequent trial with CDX-011.</w:t>
      </w:r>
    </w:p>
    <w:p>
      <w:pPr>
        <w:sectPr>
          <w:pgSz w:w="11900" w:h="16843" w:orient="portrait"/>
          <w:cols w:equalWidth="0" w:num="1">
            <w:col w:w="11420"/>
          </w:cols>
          <w:pgMar w:left="240" w:top="125" w:right="239" w:bottom="0" w:gutter="0" w:footer="0" w:header="0"/>
        </w:sectPr>
      </w:pPr>
    </w:p>
    <w:bookmarkStart w:id="12" w:name="page13"/>
    <w:bookmarkEnd w:id="12"/>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Treatment of Metastatic Melanoma: </w:t>
      </w:r>
      <w:r>
        <w:rPr>
          <w:rFonts w:ascii="Arial" w:cs="Arial" w:eastAsia="Arial" w:hAnsi="Arial"/>
          <w:sz w:val="18"/>
          <w:szCs w:val="18"/>
          <w:color w:val="auto"/>
        </w:rPr>
        <w:t>In 2009, we completed enrollment of 117 patients in a Phase 1/2 open-label, multi-center, dose escalation</w:t>
      </w:r>
      <w:r>
        <w:rPr>
          <w:rFonts w:ascii="Arial" w:cs="Arial" w:eastAsia="Arial" w:hAnsi="Arial"/>
          <w:sz w:val="18"/>
          <w:szCs w:val="18"/>
          <w:b w:val="1"/>
          <w:bCs w:val="1"/>
          <w:color w:val="auto"/>
        </w:rPr>
        <w:t xml:space="preserve"> </w:t>
      </w:r>
      <w:r>
        <w:rPr>
          <w:rFonts w:ascii="Arial" w:cs="Arial" w:eastAsia="Arial" w:hAnsi="Arial"/>
          <w:sz w:val="18"/>
          <w:szCs w:val="18"/>
          <w:color w:val="auto"/>
        </w:rPr>
        <w:t>study to evaluate the safety, tolerability and pharmacokinetics of CDX-011 for patients with un-resectable Stage III or Stage IV melanoma who had failed no more than one prior line of cytotoxic therapy. The MTD was determined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 be 1.88 mg/kg administered intravenously (IV) once every three weeks. The study achieved its primary activity objective with an ORR in the Phase 2 cohort of 15% (5/34). Median PFS was 3.9 months. CDX-011 was generally well tolerated, with the most frequent treatment-related adverse events being rash, fatigue, alopecia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7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intend to initially focus our resources on advancing CDX-011 in breast cancer while pursuing further development of CDX-011 in melanoma through collaborations and investigator sponsored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CDX-1127 is a human monoclonal antibody that targets CD27, a member of the tumor necrosis factor (TNF) receptor superfamily. We have entered into license agreements with the University of Southampton, UK for intellectual property related to uses of anti-CD27 antibodies and with Medarex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 bearing mice and to directly kill or inhibit the growth of CD27 expressing lymphomas and leukemias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Both mechanisms have been seen even at low doses in appropriate preclinical models.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refractory/relapsed solid tumors or lymphomas/leukemias known to express CD27. Patients will have received all appropriate prior therapies for their specific disease. The trial design incorporates both single dosing and multiple dosing regimens at each dose level. We expect to complete enrollment in this study by the end of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 September 2009, we initiated enrollment in a dose-escalating, multi-center, Phase 1/2 study aimed at determining the optimal dose for further development based on the safety, tolerability, and immunogenicity of the CDX-1401 vaccine. The trial will evaluate three different doses of the vaccine in combination with TLR agonists poly-ICLC or Hiltonol™ and/or R848 or resiquimod.</w:t>
      </w:r>
    </w:p>
    <w:p>
      <w:pPr>
        <w:spacing w:after="0" w:line="18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 responses and 39% of the patients having increases in NY-ESO-1 specific T cell responses, including both CD4 and CD8 responses. Importantly, the T cell responses were directed against multiple regions of the NY-ESO-1 antigen.</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February 2012, we completed enrollment in the Phase 1 portion of the study and expect to report data at an appropriate scientific conference in the second half of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CDX-301 is a FMS-like tyrosine kinase 3 ligand (Flt3L) stem cell mobilizer and dendritic cell growth factor. We licensed CDX-301 from Amgen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January 2012, we initiated a dose-escalating Phase 1 study of CDX-301 in approximately 30 healthy subjects in collaboration with Rockefeller University. The Phase 1 study will evaluate seven different dosing regimens of CDX-301 to determine the appropriate dose for further development based on</w:t>
      </w:r>
    </w:p>
    <w:p>
      <w:pPr>
        <w:sectPr>
          <w:pgSz w:w="11900" w:h="16838" w:orient="portrait"/>
          <w:cols w:equalWidth="0" w:num="1">
            <w:col w:w="11400"/>
          </w:cols>
          <w:pgMar w:left="240" w:top="337" w:right="259" w:bottom="0" w:gutter="0" w:footer="0" w:header="0"/>
        </w:sectPr>
      </w:pPr>
    </w:p>
    <w:bookmarkStart w:id="13" w:name="page14"/>
    <w:bookmarkEnd w:id="13"/>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safety, tolerability, and biological activity.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Dense Deposit Disease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10 years. Because DDD recurs in virtually all patients who receive a kidney transplant, transplantation is not a viable option for these patients. In animal models of DDD, CDX-1135 treatment showed evidence of reversal of kidney damage. We believe that regulating the complement system could have therapeutic and prophylactic applications in DDD and several other acute and chronic conditions, including organ transplantation, multiple sclerosis, rheumatoid arthritis, age-related macular degeneration (AMD), atypical Hemolytic Uremic Syndrome (aHUS), Paroxysmal Nocturnal Hemaglobinuria (PNH), and myasthenia gravis.</w:t>
      </w:r>
    </w:p>
    <w:p>
      <w:pPr>
        <w:spacing w:after="0" w:line="18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CDX-1135 is currently being studied in DDD under an investigator sponsored IND and initial experience indicates that CDX-1135 limits complement abnormalities. In 2011, we completed process development activities and manufactured GMP clinical drug product. Based on discussion to date with the FDA, we are currently planning to initiate a Phase 2 pilot study of CDX-1135 in a small number of DDD patients to determine the appropriate dose and regimen for further clinical development based on safety, tolerability and biological activity in the second half of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CDX-014 is a fully-human monoclonal ADC that targets TIM-1, a molecule that is highly expressed on renal and ovarian cancers with minimal expression in normal tissues.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Rotavirus is a major cause of diarrhea and vomiting in infants and children. In 1997, we licensed our oral rotavirus strain to GlaxoSmithKline plc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May 2005, we entered into an agreement whereby an affiliate of Paul Royalty Fund II, L.P. (PRF) purchased a 70% interest in the milestone payments and net royalties that we will receive on the development and worldwide sales of Rotarix. We have received a total of $60 million in milestone payments under the PRF agreement. No additional milestone payments are due from PRF under the agreement. The PRF agreement terminates in December 2012, unless otherwise extended. We would retain approximately 65% of the royalties on worldwide sales of Rotarix if PRF receives 2.45 times the aggregate cash payments of $60 million it made to us prior to December 2012. We do not expect this to occur.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2011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compared with Three Months Ended March 31,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6"/>
              <w:spacing w:after="0" w:line="142" w:lineRule="exact"/>
              <w:rPr>
                <w:sz w:val="20"/>
                <w:szCs w:val="20"/>
                <w:color w:val="auto"/>
              </w:rPr>
            </w:pPr>
            <w:r>
              <w:rPr>
                <w:rFonts w:ascii="Arial" w:cs="Arial" w:eastAsia="Arial" w:hAnsi="Arial"/>
                <w:sz w:val="14"/>
                <w:szCs w:val="14"/>
                <w:b w:val="1"/>
                <w:bCs w:val="1"/>
                <w:color w:val="auto"/>
                <w:w w:val="76"/>
              </w:rPr>
              <w:t>$</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8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2,344</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2,502</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10,769</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3,916</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Royalty</w:t>
            </w:r>
          </w:p>
        </w:tc>
        <w:tc>
          <w:tcPr>
            <w:tcW w:w="8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2,344</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2,502</w:t>
            </w: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70"/>
        </w:trPr>
        <w:tc>
          <w:tcPr>
            <w:tcW w:w="48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2,317</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2,336</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4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483</w:t>
            </w:r>
          </w:p>
        </w:tc>
        <w:tc>
          <w:tcPr>
            <w:tcW w:w="5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(192)</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15,721</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12,174</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7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(13,288)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3,630</w:t>
            </w:r>
          </w:p>
        </w:tc>
        <w:tc>
          <w:tcPr>
            <w:tcW w:w="7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121</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c>
          <w:tcPr>
            <w:tcW w:w="5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(52)</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r>
      <w:tr>
        <w:trPr>
          <w:trHeight w:val="20"/>
        </w:trPr>
        <w:tc>
          <w:tcPr>
            <w:tcW w:w="4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$3.5 million increase in net loss for the three months ended March 31, 2012 compared to the three months ended March 31, 2011 was primarily the result of an increase in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both"/>
        <w:ind w:right="100" w:firstLine="648"/>
        <w:spacing w:after="0" w:line="248" w:lineRule="auto"/>
        <w:rPr>
          <w:sz w:val="20"/>
          <w:szCs w:val="20"/>
          <w:color w:val="auto"/>
        </w:rPr>
      </w:pPr>
      <w:r>
        <w:rPr>
          <w:rFonts w:ascii="Arial" w:cs="Arial" w:eastAsia="Arial" w:hAnsi="Arial"/>
          <w:sz w:val="18"/>
          <w:szCs w:val="18"/>
          <w:color w:val="auto"/>
        </w:rPr>
        <w:t>The $0.1 million increase in contract and grant revenue for the three months ended March 31, 2012 compared to the three months ended March 31, 2011 was due to an increase in revenue related to an HIV vaccine being funded through a Small Business Innovation Research (SBIR) grant in collaboration with Rockefeller University. The $0.2 million decrease in product royalty revenue for the three months ended March 31, 2012 compared to the three months ended March 31, 2011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center"/>
              <w:ind w:right="598"/>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40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center"/>
              <w:ind w:right="598"/>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40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59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3,427</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224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388</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530</w:t>
            </w:r>
          </w:p>
        </w:tc>
        <w:tc>
          <w:tcPr>
            <w:tcW w:w="460" w:type="dxa"/>
            <w:vAlign w:val="bottom"/>
          </w:tcPr>
          <w:p>
            <w:pPr>
              <w:spacing w:after="0"/>
              <w:rPr>
                <w:sz w:val="18"/>
                <w:szCs w:val="18"/>
                <w:color w:val="auto"/>
              </w:rPr>
            </w:pPr>
          </w:p>
        </w:tc>
        <w:tc>
          <w:tcPr>
            <w:tcW w:w="1400" w:type="dxa"/>
            <w:vAlign w:val="bottom"/>
          </w:tcPr>
          <w:p>
            <w:pPr>
              <w:jc w:val="right"/>
              <w:ind w:right="218"/>
              <w:spacing w:after="0"/>
              <w:rPr>
                <w:sz w:val="20"/>
                <w:szCs w:val="20"/>
                <w:color w:val="auto"/>
              </w:rPr>
            </w:pPr>
            <w:r>
              <w:rPr>
                <w:rFonts w:ascii="Arial" w:cs="Arial" w:eastAsia="Arial" w:hAnsi="Arial"/>
                <w:sz w:val="18"/>
                <w:szCs w:val="18"/>
                <w:color w:val="auto"/>
              </w:rPr>
              <w:t>(142)</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1,143</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1,174</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tcPr>
          <w:p>
            <w:pPr>
              <w:spacing w:after="0"/>
              <w:rPr>
                <w:sz w:val="20"/>
                <w:szCs w:val="20"/>
                <w:color w:val="auto"/>
              </w:rPr>
            </w:pPr>
          </w:p>
        </w:tc>
        <w:tc>
          <w:tcPr>
            <w:tcW w:w="680" w:type="dxa"/>
            <w:vAlign w:val="bottom"/>
          </w:tcPr>
          <w:p>
            <w:pPr>
              <w:jc w:val="right"/>
              <w:ind w:right="76"/>
              <w:spacing w:after="0"/>
              <w:rPr>
                <w:sz w:val="20"/>
                <w:szCs w:val="20"/>
                <w:color w:val="auto"/>
              </w:rPr>
            </w:pPr>
            <w:r>
              <w:rPr>
                <w:rFonts w:ascii="Arial" w:cs="Arial" w:eastAsia="Arial" w:hAnsi="Arial"/>
                <w:sz w:val="18"/>
                <w:szCs w:val="18"/>
                <w:color w:val="auto"/>
              </w:rPr>
              <w:t>4,984</w:t>
            </w:r>
          </w:p>
        </w:tc>
        <w:tc>
          <w:tcPr>
            <w:tcW w:w="6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1,369</w:t>
            </w:r>
          </w:p>
        </w:tc>
        <w:tc>
          <w:tcPr>
            <w:tcW w:w="460" w:type="dxa"/>
            <w:vAlign w:val="bottom"/>
          </w:tcPr>
          <w:p>
            <w:pPr>
              <w:spacing w:after="0"/>
              <w:rPr>
                <w:sz w:val="20"/>
                <w:szCs w:val="20"/>
                <w:color w:val="auto"/>
              </w:rPr>
            </w:pPr>
          </w:p>
        </w:tc>
        <w:tc>
          <w:tcPr>
            <w:tcW w:w="1400" w:type="dxa"/>
            <w:vAlign w:val="bottom"/>
          </w:tcPr>
          <w:p>
            <w:pPr>
              <w:jc w:val="right"/>
              <w:ind w:right="278"/>
              <w:spacing w:after="0"/>
              <w:rPr>
                <w:sz w:val="20"/>
                <w:szCs w:val="20"/>
                <w:color w:val="auto"/>
              </w:rPr>
            </w:pPr>
            <w:r>
              <w:rPr>
                <w:rFonts w:ascii="Arial" w:cs="Arial" w:eastAsia="Arial" w:hAnsi="Arial"/>
                <w:sz w:val="18"/>
                <w:szCs w:val="18"/>
                <w:color w:val="auto"/>
              </w:rPr>
              <w:t>3,615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bl>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Personnel expenses primarily include salary, benefits, stock-based compensation, payroll taxes and recruiting costs. The $0.2 million increase in personnel expenses for the three months ended March 31, 2012 compared to the three months ended March 31, 2011 was primarily due to higher headcount. We expect personnel expenses to increase slightly over the next twelve months, although there may be fluctuations on a quarterly basis.</w:t>
      </w:r>
    </w:p>
    <w:p>
      <w:pPr>
        <w:spacing w:after="0" w:line="14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Laboratory supply expenses include laboratory materials and supplies, services, and other related expenses incurred in the development of our technology. The $0.1 million decrease in laboratory supply expense for the three months ended March 31, 2012 compared to the three months ended March 31, 2011 was due to lower manufacturing supply purchases. We expect supply expenses to increase over the next twelve months as a result of increased research and development activities, although there may be fluctuations on a quarterly basis.</w:t>
      </w:r>
    </w:p>
    <w:p>
      <w:pPr>
        <w:spacing w:after="0" w:line="171"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Facility expenses for the three months ended March 31, 2012 were relatively consistent compared to the three months ended March 31, 2011. We expect facility expenses to remain relatively consistent over the next twelve months, although there may be fluctuations on a quarterly basis.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$3.6 million increase in product development expenses for the three months ended March 31, 2012 compared to the three months ended March 31, 2011was primarily due to an increase in clinical trial costs of $3.7 million primarily due to ACT IV and ReACT studies. We expect product development expenses to increase over the next twelve months primarily due to the increase in clinical trial expenses related to our rindopepimut program, although there may be fluctuations on a quarterly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140" w:firstLine="648"/>
        <w:spacing w:after="0" w:line="238" w:lineRule="auto"/>
        <w:rPr>
          <w:sz w:val="20"/>
          <w:szCs w:val="20"/>
          <w:color w:val="auto"/>
        </w:rPr>
      </w:pPr>
      <w:r>
        <w:rPr>
          <w:rFonts w:ascii="Arial" w:cs="Arial" w:eastAsia="Arial" w:hAnsi="Arial"/>
          <w:sz w:val="18"/>
          <w:szCs w:val="18"/>
          <w:color w:val="auto"/>
        </w:rPr>
        <w:t>Royalty expenses include product royalty and sublicense royalty fees on our out-licensed programs. The $0.2 million decrease in royalty expenses for the three months ended March 31, 2012 compared to the three months ended March 31, 2011 was due to a decrease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product royalty fees.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are recorded as product royalty revenue and a corresponding amount that is payable to CCH is recorded as royalty expense.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General and administrative expenses for the three months ended March 31, 2012 were relatively consistent compared to the three months ended March 31, 2011 and included higher investor relations expenses offset by lower other professional service fees. We expect general and administrative expense to remain relatively consistent over the next twelve months, although there may be fluctuations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$0.2 million decrease in amortization expenses for the three months ended March 31, 2012 compared to the three months ended March 31, 2011was due to certain intangible assets becoming fully amortized during 2011. We expect amortization expense of acquired intangible assets to decrease</w:t>
      </w:r>
    </w:p>
    <w:p>
      <w:pPr>
        <w:sectPr>
          <w:pgSz w:w="11900" w:h="16838" w:orient="portrait"/>
          <w:cols w:equalWidth="0" w:num="1">
            <w:col w:w="11420"/>
          </w:cols>
          <w:pgMar w:left="240" w:top="140" w:right="239" w:bottom="0" w:gutter="0" w:footer="0" w:header="0"/>
        </w:sectPr>
      </w:pPr>
    </w:p>
    <w:bookmarkStart w:id="15" w:name="page16"/>
    <w:bookmarkEnd w:id="15"/>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over the next twelve months.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$0.1 million increase in investment and other income, net for the three months ended March 31, 2012 compared to the three months ended March 31, 2011was primarily due to $0.1 million in other income related to the sale of New Jersey tax benefits. We anticipate investment income to increase over the next twelve months due to the $51.9 million in net proceeds we raised during the three months ended March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$0.1 million decrease in interest expense for the three months ended March 31, 2012 compared to the three months ended March 31, 2011 was primarily due to us paying $12.8 million to satisfy all outstanding principal and accrued interest related to the CuraGen Debt in February 2011. We anticipate interest expense to remain relatively consistent over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March 31, 2012, our principal sources of liquidity consisted of cash, cash equivalents and marketable securities of $92.1 million. Our working capital at March 31, 2012 was $81.7 million. At March 31, 2012, our Term Loan balance was $15.2 million. We incurred a loss of $13.5 million for the three months ended March 31, 2012. Net cash used in operations for the three months ended March 31, 2012 was $13.6 million. We believe that the cash, cash equivalents and marketable securities at March 31, 2012 are sufficient to meet estimated working capital requirements and fund planned operations for at least the next twelve months.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We raised net proceeds of $51.9 million during the three months ended March 31, 2012 from the sale of our common stock. 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Net cash used in operating activities was $13.6 million for the three months ended March 31, 2012 compared to $8.9 million for the three months ended March 31, 2011. The increase in net cash used in operating activities was primarily due to an increase in net loss of $3.5 million and changes in working capital. We expect that cash used in operations will increase over the next twelve months primarily related to costs incurred on our rindopepimut program.</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product candidates are developed. We plan to spend significant amounts to progress our current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cash used in investing activities was $27.5 million for the three months ended March 31, 2012 compared to net cash provided by investing activities of $5.3 million for the three months ended March 31, 2011. The increase in net cash used in investing activities was primarily due to net purchases of marketable securities for the three months ended March 31, 2012 of $27.5 million as compared to net sales of marketable securities for the three months ended March 31, 2011 of $5.4 million.</w:t>
      </w:r>
    </w:p>
    <w:p>
      <w:pPr>
        <w:sectPr>
          <w:pgSz w:w="11900" w:h="16912"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Net cash provided by financing activities was $51.9 million for the three months ended March 31, 2012 compared to net cash used in financing activities of $7.5 million for the three months ended March 31, 2011. We raised net proceeds of $51.9 million during the three months ended March 31, 2012 from the sale of our common stock. In February 2011, we paid $12.5 million to satisfy all outstanding principal related to the CuraGen Debt. In March 2011, we amended the Loan Agreement and borrowed an additional $5 million from GECC to increase the amount owed under the Term Loan to $15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April 2010, we filed a shelf registration statement with the Securities and Exchange Commission to register for sale any combination of the types of securities described in the filing up to a dollar amount of $150 million. The shelf registration went effective on April 22, 2010.</w:t>
      </w:r>
    </w:p>
    <w:p>
      <w:pPr>
        <w:spacing w:after="0" w:line="147"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6"/>
          <w:szCs w:val="16"/>
          <w:color w:val="auto"/>
        </w:rPr>
        <w:t>In January 2011, we entered into a controlled equity offering sales agreement (the “Cantor Agreement”) with Cantor Fitzgerald &amp; Co. (“Cantor”) pursuant to which we may issue and sell up to 5,000,000 shares of our common stock from time to time through Cantor, acting as agent. We agreed to pay Cantor a commission up to 5% of the gross proceeds from each sale and to reimburse Cantor for certain expenses incurred in connection with entering into the Cantor Agreement. The Cantor Agreement terminates upon the sale of all 5,000,000 shares or upon ten day notice by either Cantor or the Company.</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During the year ended December 31, 2011, we sold 575,000 shares of common stock under the Cantor Agreement and raised $2.2 million in net proceeds, after deducting commission and offering expenses. During the three months ended March 31, 2012, we sold 2,450,000 shares of common stock under the Cantor Agreement and raised $8.5 million in net proceeds. Under the terms of the Cantor Agreement, we have the ability to sell up to 1,975,000 shares of our common stock upon the expiration or earlier waiver of our 90-day lock-up with the underwriters of our recent offering in February 2012.</w:t>
      </w:r>
    </w:p>
    <w:p>
      <w:pPr>
        <w:spacing w:after="0" w:line="16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months ended March 31, 2012, we issued 12,075,000 shares of our common stock in an underwritten public offering, including the underwriter’s exercise of their full over-allotment option to purchase an additional 1,575,000 shares of common stock. The net proceeds to us were $43.4 million, after deducting underwriting fees and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December 30, 2010, we entered the Loan Agreement with MidCap pursuant to which we borrowed $10 million from MidCap. In March 2011, we amended the Loan Agreement and borrowed an additional $5 million from GECC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 (ii) a minimum rate of 9.50%. In September 2011, we exercised an option to extend the interest-only period by 6 months from October 1, 2011 to April 1, 2012. In March 2012, we amended the Loan Agreement to extend the maturity date from December 2013 to December 2014 in return for an upfront fee of $25,000 and an additional fee of $37,500 due upon repayment of the Term Loan in full.</w:t>
      </w:r>
    </w:p>
    <w:p>
      <w:pPr>
        <w:spacing w:after="0" w:line="18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We may prepay all, but not less than all, of the Term Loan subject to a prepayment premium of 1% in year three and 2% in year two of the original principal amount of the Term Loan. There is no prepayment premium if the loan is paid off early in year four. We are also obligated to make a payment of $0.5 million (Payment Fee) upon the earlier of (A) December 30, 2013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 upon repayment of the Term Loan in full prior to December 30,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 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March 31, 2012, we believe we are in compliance with the Loan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2011 which was filed with the SEC on March 8, 2012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Refer to Note 2, “Significant Accounting Policies,” in the accompanying notes to the condensed consolidated financial statements for a discussion of recent accounting pronouncements.</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ectPr>
          <w:pgSz w:w="11900" w:h="16838" w:orient="portrait"/>
          <w:cols w:equalWidth="0" w:num="1">
            <w:col w:w="11420"/>
          </w:cols>
          <w:pgMar w:left="240" w:top="341" w:right="239" w:bottom="67" w:gutter="0" w:footer="0" w:header="0"/>
        </w:sectPr>
      </w:pPr>
    </w:p>
    <w:bookmarkStart w:id="17" w:name="page18"/>
    <w:bookmarkEnd w:id="17"/>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March 31, 2012 due to the short-term maturities of these instruments.</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March 31, 2012,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2012.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2011, which could materially affect our business, financial condition or future results. The risks described in our Annual Report on Form 10-K may not be the only risks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8,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tcPr>
          <w:p>
            <w:pPr>
              <w:ind w:left="40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1100" w:type="dxa"/>
            <w:vAlign w:val="bottom"/>
          </w:tcPr>
          <w:p>
            <w:pPr>
              <w:ind w:left="180"/>
              <w:spacing w:after="0"/>
              <w:rPr>
                <w:sz w:val="20"/>
                <w:szCs w:val="20"/>
                <w:color w:val="auto"/>
              </w:rPr>
            </w:pPr>
            <w:r>
              <w:rPr>
                <w:rFonts w:ascii="Arial" w:cs="Arial" w:eastAsia="Arial" w:hAnsi="Arial"/>
                <w:sz w:val="18"/>
                <w:szCs w:val="18"/>
                <w:color w:val="auto"/>
              </w:rPr>
              <w:t>2.1</w:t>
            </w:r>
          </w:p>
        </w:tc>
        <w:tc>
          <w:tcPr>
            <w:tcW w:w="10320" w:type="dxa"/>
            <w:vAlign w:val="bottom"/>
          </w:tcPr>
          <w:p>
            <w:pPr>
              <w:ind w:left="400"/>
              <w:spacing w:after="0"/>
              <w:rPr>
                <w:sz w:val="20"/>
                <w:szCs w:val="20"/>
                <w:color w:val="auto"/>
              </w:rPr>
            </w:pPr>
            <w:r>
              <w:rPr>
                <w:rFonts w:ascii="Arial" w:cs="Arial" w:eastAsia="Arial" w:hAnsi="Arial"/>
                <w:sz w:val="18"/>
                <w:szCs w:val="18"/>
                <w:color w:val="auto"/>
                <w:w w:val="92"/>
              </w:rPr>
              <w:t>Agreement and Plan of Merger, dated as of May 28, 2009, by and among Celldex Therapeutics, Inc., CuraGen Corporation and Cottrell</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w w:val="94"/>
              </w:rPr>
              <w:t>Merger Sub, Inc. incorporated by reference to Exhibit 2.1 of the Company’s Current Report on Form 8-K filed May 29, 2009 with the</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3.1</w:t>
            </w:r>
          </w:p>
        </w:tc>
        <w:tc>
          <w:tcPr>
            <w:tcW w:w="10320" w:type="dxa"/>
            <w:vAlign w:val="bottom"/>
          </w:tcPr>
          <w:p>
            <w:pPr>
              <w:ind w:left="400"/>
              <w:spacing w:after="0"/>
              <w:rPr>
                <w:sz w:val="20"/>
                <w:szCs w:val="20"/>
                <w:color w:val="auto"/>
              </w:rPr>
            </w:pPr>
            <w:r>
              <w:rPr>
                <w:rFonts w:ascii="Arial" w:cs="Arial" w:eastAsia="Arial" w:hAnsi="Arial"/>
                <w:sz w:val="18"/>
                <w:szCs w:val="18"/>
                <w:color w:val="auto"/>
                <w:w w:val="95"/>
              </w:rPr>
              <w:t>Third Restated Certificate of Incorporation of the Company, incorporated by reference to Exhibit 3.1 of the Company’s Registration</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3.2</w:t>
            </w:r>
          </w:p>
        </w:tc>
        <w:tc>
          <w:tcPr>
            <w:tcW w:w="10320" w:type="dxa"/>
            <w:vAlign w:val="bottom"/>
          </w:tcPr>
          <w:p>
            <w:pPr>
              <w:ind w:left="400"/>
              <w:spacing w:after="0"/>
              <w:rPr>
                <w:sz w:val="20"/>
                <w:szCs w:val="20"/>
                <w:color w:val="auto"/>
              </w:rPr>
            </w:pPr>
            <w:r>
              <w:rPr>
                <w:rFonts w:ascii="Arial" w:cs="Arial" w:eastAsia="Arial" w:hAnsi="Arial"/>
                <w:sz w:val="18"/>
                <w:szCs w:val="18"/>
                <w:color w:val="auto"/>
                <w:w w:val="92"/>
              </w:rPr>
              <w:t>Certificate of Amendment of Third Restated Certificate of Incorporation of the Company, incorporated by reference to Exhibit 3.1 of the</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Company’s Registration Statement on Form S-4 (Reg. No. 333-59215), filed July 16, 1998 with the Securities and Exchange</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Commission.</w:t>
            </w:r>
          </w:p>
        </w:tc>
      </w:tr>
      <w:tr>
        <w:trPr>
          <w:trHeight w:val="230"/>
        </w:trPr>
        <w:tc>
          <w:tcPr>
            <w:tcW w:w="1100" w:type="dxa"/>
            <w:vAlign w:val="bottom"/>
          </w:tcPr>
          <w:p>
            <w:pPr>
              <w:ind w:left="180"/>
              <w:spacing w:after="0"/>
              <w:rPr>
                <w:sz w:val="20"/>
                <w:szCs w:val="20"/>
                <w:color w:val="auto"/>
              </w:rPr>
            </w:pPr>
            <w:r>
              <w:rPr>
                <w:rFonts w:ascii="Arial" w:cs="Arial" w:eastAsia="Arial" w:hAnsi="Arial"/>
                <w:sz w:val="18"/>
                <w:szCs w:val="18"/>
                <w:color w:val="auto"/>
              </w:rPr>
              <w:t>3.3</w:t>
            </w:r>
          </w:p>
        </w:tc>
        <w:tc>
          <w:tcPr>
            <w:tcW w:w="10320" w:type="dxa"/>
            <w:vAlign w:val="bottom"/>
          </w:tcPr>
          <w:p>
            <w:pPr>
              <w:ind w:left="400"/>
              <w:spacing w:after="0"/>
              <w:rPr>
                <w:sz w:val="20"/>
                <w:szCs w:val="20"/>
                <w:color w:val="auto"/>
              </w:rPr>
            </w:pPr>
            <w:r>
              <w:rPr>
                <w:rFonts w:ascii="Arial" w:cs="Arial" w:eastAsia="Arial" w:hAnsi="Arial"/>
                <w:sz w:val="18"/>
                <w:szCs w:val="18"/>
                <w:color w:val="auto"/>
                <w:w w:val="93"/>
              </w:rPr>
              <w:t>Second Certificate of Amendment of Third Restated Certificate of Incorporation of the Company, incorporated by reference to Exhibit</w:t>
            </w:r>
          </w:p>
        </w:tc>
      </w:tr>
      <w:tr>
        <w:trPr>
          <w:trHeight w:val="229"/>
        </w:trPr>
        <w:tc>
          <w:tcPr>
            <w:tcW w:w="1100" w:type="dxa"/>
            <w:vAlign w:val="bottom"/>
          </w:tcPr>
          <w:p>
            <w:pPr>
              <w:spacing w:after="0"/>
              <w:rPr>
                <w:sz w:val="19"/>
                <w:szCs w:val="19"/>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w w:val="92"/>
              </w:rPr>
              <w:t>3.2 of the Company’s Registration Statement on Form S-4 (Reg. No. 333-59215), filed July 16, 1998 with the Securities and Exchange</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3.4</w:t>
            </w:r>
          </w:p>
        </w:tc>
        <w:tc>
          <w:tcPr>
            <w:tcW w:w="10320" w:type="dxa"/>
            <w:vAlign w:val="bottom"/>
          </w:tcPr>
          <w:p>
            <w:pPr>
              <w:ind w:left="40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3.5</w:t>
            </w:r>
          </w:p>
        </w:tc>
        <w:tc>
          <w:tcPr>
            <w:tcW w:w="10320" w:type="dxa"/>
            <w:vAlign w:val="bottom"/>
          </w:tcPr>
          <w:p>
            <w:pPr>
              <w:ind w:left="40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3.6</w:t>
            </w:r>
          </w:p>
        </w:tc>
        <w:tc>
          <w:tcPr>
            <w:tcW w:w="10320" w:type="dxa"/>
            <w:vAlign w:val="bottom"/>
          </w:tcPr>
          <w:p>
            <w:pPr>
              <w:ind w:left="40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3.7</w:t>
            </w:r>
          </w:p>
        </w:tc>
        <w:tc>
          <w:tcPr>
            <w:tcW w:w="10320" w:type="dxa"/>
            <w:vAlign w:val="bottom"/>
          </w:tcPr>
          <w:p>
            <w:pPr>
              <w:ind w:left="40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4.3</w:t>
            </w:r>
          </w:p>
        </w:tc>
        <w:tc>
          <w:tcPr>
            <w:tcW w:w="10320" w:type="dxa"/>
            <w:vAlign w:val="bottom"/>
          </w:tcPr>
          <w:p>
            <w:pPr>
              <w:ind w:left="400"/>
              <w:spacing w:after="0"/>
              <w:rPr>
                <w:sz w:val="20"/>
                <w:szCs w:val="20"/>
                <w:color w:val="auto"/>
              </w:rPr>
            </w:pPr>
            <w:r>
              <w:rPr>
                <w:rFonts w:ascii="Arial" w:cs="Arial" w:eastAsia="Arial" w:hAnsi="Arial"/>
                <w:sz w:val="18"/>
                <w:szCs w:val="18"/>
                <w:color w:val="auto"/>
                <w:w w:val="97"/>
              </w:rPr>
              <w:t>Amendment No. 2 to Shareholder Rights Agreement dated November 5, 2004, between the Company and Computershare Trust</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Company, N.A. (formerly EquiServe Trust Company, N.A.), as Rights Agent, incorporated by reference to Exhibit 10.1 of the</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w w:val="99"/>
              </w:rPr>
              <w:t>Company’s Registration Statement on Form 8-A1G/A, filed on March 7, 2008 with the Securities and Exchange 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10.1</w:t>
            </w:r>
          </w:p>
        </w:tc>
        <w:tc>
          <w:tcPr>
            <w:tcW w:w="10320" w:type="dxa"/>
            <w:vAlign w:val="bottom"/>
          </w:tcPr>
          <w:p>
            <w:pPr>
              <w:ind w:left="400"/>
              <w:spacing w:after="0"/>
              <w:rPr>
                <w:sz w:val="20"/>
                <w:szCs w:val="20"/>
                <w:color w:val="auto"/>
              </w:rPr>
            </w:pPr>
            <w:r>
              <w:rPr>
                <w:rFonts w:ascii="Arial" w:cs="Arial" w:eastAsia="Arial" w:hAnsi="Arial"/>
                <w:sz w:val="18"/>
                <w:szCs w:val="18"/>
                <w:color w:val="auto"/>
                <w:w w:val="98"/>
              </w:rPr>
              <w:t>Second Loan Modification Agreement, dated as of March 2, 2012, by and among Celldex Therapeutics, Inc., Celldex Research</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w w:val="98"/>
              </w:rPr>
              <w:t>Corporation, MidCap Funding V, LLC and General Electric Capital Corporation (incorporated by reference to Exhibit 10.1 of the</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Company’s current report on Form 8-K, filed on March 7, 2012 with the Securities and Exchange Commission.</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*31.1</w:t>
            </w:r>
          </w:p>
        </w:tc>
        <w:tc>
          <w:tcPr>
            <w:tcW w:w="10320" w:type="dxa"/>
            <w:vAlign w:val="bottom"/>
          </w:tcPr>
          <w:p>
            <w:pPr>
              <w:ind w:left="40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*31.2</w:t>
            </w:r>
          </w:p>
        </w:tc>
        <w:tc>
          <w:tcPr>
            <w:tcW w:w="10320" w:type="dxa"/>
            <w:vAlign w:val="bottom"/>
          </w:tcPr>
          <w:p>
            <w:pPr>
              <w:ind w:left="40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**32.1</w:t>
            </w:r>
          </w:p>
        </w:tc>
        <w:tc>
          <w:tcPr>
            <w:tcW w:w="10320" w:type="dxa"/>
            <w:vAlign w:val="bottom"/>
          </w:tcPr>
          <w:p>
            <w:pPr>
              <w:ind w:left="40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101.1+</w:t>
            </w:r>
          </w:p>
        </w:tc>
        <w:tc>
          <w:tcPr>
            <w:tcW w:w="1032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101.2+</w:t>
            </w:r>
          </w:p>
        </w:tc>
        <w:tc>
          <w:tcPr>
            <w:tcW w:w="1032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101.3+</w:t>
            </w:r>
          </w:p>
        </w:tc>
        <w:tc>
          <w:tcPr>
            <w:tcW w:w="1032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101.4+</w:t>
            </w:r>
          </w:p>
        </w:tc>
        <w:tc>
          <w:tcPr>
            <w:tcW w:w="1032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tcPr>
          <w:p>
            <w:pPr>
              <w:ind w:left="180"/>
              <w:spacing w:after="0"/>
              <w:rPr>
                <w:sz w:val="20"/>
                <w:szCs w:val="20"/>
                <w:color w:val="auto"/>
              </w:rPr>
            </w:pPr>
            <w:r>
              <w:rPr>
                <w:rFonts w:ascii="Arial" w:cs="Arial" w:eastAsia="Arial" w:hAnsi="Arial"/>
                <w:sz w:val="18"/>
                <w:szCs w:val="18"/>
                <w:color w:val="auto"/>
              </w:rPr>
              <w:t>101.5+</w:t>
            </w:r>
          </w:p>
        </w:tc>
        <w:tc>
          <w:tcPr>
            <w:tcW w:w="10320" w:type="dxa"/>
            <w:vAlign w:val="bottom"/>
          </w:tcPr>
          <w:p>
            <w:pPr>
              <w:ind w:left="4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00" w:type="dxa"/>
            <w:vAlign w:val="bottom"/>
          </w:tcPr>
          <w:p>
            <w:pPr>
              <w:ind w:left="180"/>
              <w:spacing w:after="0"/>
              <w:rPr>
                <w:sz w:val="20"/>
                <w:szCs w:val="20"/>
                <w:color w:val="auto"/>
              </w:rPr>
            </w:pPr>
            <w:r>
              <w:rPr>
                <w:rFonts w:ascii="Arial" w:cs="Arial" w:eastAsia="Arial" w:hAnsi="Arial"/>
                <w:sz w:val="18"/>
                <w:szCs w:val="18"/>
                <w:color w:val="auto"/>
              </w:rPr>
              <w:t>101.6+</w:t>
            </w:r>
          </w:p>
        </w:tc>
        <w:tc>
          <w:tcPr>
            <w:tcW w:w="1032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420"/>
          </w:cols>
          <w:pgMar w:left="240" w:top="125" w:right="239" w:bottom="0" w:gutter="0" w:footer="0" w:header="0"/>
        </w:sectPr>
      </w:pPr>
    </w:p>
    <w:bookmarkStart w:id="18" w:name="page19"/>
    <w:bookmarkEnd w:id="18"/>
    <w:p>
      <w:pPr>
        <w:ind w:left="1500" w:hanging="1312"/>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t>Filed herewith.</w:t>
      </w:r>
    </w:p>
    <w:p>
      <w:pPr>
        <w:spacing w:after="0" w:line="23" w:lineRule="exact"/>
        <w:rPr>
          <w:sz w:val="20"/>
          <w:szCs w:val="20"/>
          <w:color w:val="auto"/>
        </w:rPr>
      </w:pPr>
    </w:p>
    <w:p>
      <w:pPr>
        <w:ind w:left="1500" w:hanging="1312"/>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500" w:right="160" w:hanging="1312"/>
        <w:spacing w:after="0" w:line="290" w:lineRule="auto"/>
        <w:tabs>
          <w:tab w:leader="none" w:pos="1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4, 2012</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4, 2012</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42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996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9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Agreement and Plan of Merger, dated as of May 28, 2009, by and among Celldex Therapeutics, Inc., CuraGen Corporation and Cottrell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Merger Sub, Inc. incorporated by reference to Exhibit 2.1 of the Company’s Current Report on Form 8-K filed May 29, 2009 with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Third Restated Certificate of Incorporation of the Company, incorporated by reference to Exhibit 3.1 of the Company’s Registration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4"/>
              </w:rPr>
              <w:t>Second Certificate of Amendment of Third Restated Certificate of Incorporation of the Company, incorporated by reference to Exhibit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3.2 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30"/>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7"/>
              </w:rPr>
              <w:t>Amendment No. 2 to Shareholder Rights Agreement dated November 5, 2004, between the Company and Computershare Trust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Company, N.A. (formerly EquiServe Trust Company, N.A.) as Rights Agent, incorporated by reference to Exhibit 10.1 of the 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8"/>
              </w:rPr>
              <w:t>Second Loan Modification Agreement, dated as of March 2, 2012, by and among Celldex Therapeutics, Inc., Celldex Research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8"/>
              </w:rPr>
              <w:t>Corporation, MidCap Funding V, LLC and General Electric Capital Corporation (incorporated by reference to Exhibit 10.1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Company’s current report on Form 8-K, filed on March 7, 2012 with the Securities and Exchange Commission.</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18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80" w:type="dxa"/>
            <w:vAlign w:val="bottom"/>
            <w:gridSpan w:val="2"/>
          </w:tcPr>
          <w:p>
            <w:pPr>
              <w:jc w:val="right"/>
              <w:ind w:right="39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-5764530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-5764530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47" w:right="199" w:bottom="36" w:gutter="0" w:footer="0" w:header="0"/>
        </w:sectPr>
      </w:pPr>
    </w:p>
    <w:bookmarkStart w:id="19" w:name="page20"/>
    <w:bookmarkEnd w:id="19"/>
    <w:p>
      <w:pPr>
        <w:ind w:left="1320" w:hanging="1312"/>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20" w:hanging="1312"/>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1320" w:hanging="1312"/>
        <w:spacing w:after="0" w:line="290" w:lineRule="auto"/>
        <w:tabs>
          <w:tab w:leader="none" w:pos="1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420" w:top="125" w:right="37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40" w:hanging="40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40" w:hanging="388"/>
        <w:spacing w:after="0" w:line="308" w:lineRule="auto"/>
        <w:tabs>
          <w:tab w:leader="none" w:pos="7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7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4, 2012</w:t>
            </w:r>
          </w:p>
        </w:tc>
        <w:tc>
          <w:tcPr>
            <w:tcW w:w="2900" w:type="dxa"/>
            <w:vAlign w:val="bottom"/>
          </w:tcPr>
          <w:p>
            <w:pPr>
              <w:ind w:left="21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90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900" w:type="dxa"/>
            <w:vAlign w:val="bottom"/>
          </w:tcPr>
          <w:p>
            <w:pPr>
              <w:ind w:left="21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40" w:hanging="40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40" w:hanging="388"/>
        <w:spacing w:after="0" w:line="308" w:lineRule="auto"/>
        <w:tabs>
          <w:tab w:leader="none" w:pos="7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4, 2012</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4, 2012</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40" w:type="dxa"/>
            <w:vAlign w:val="bottom"/>
          </w:tcPr>
          <w:p>
            <w:pPr>
              <w:spacing w:after="0"/>
              <w:rPr>
                <w:sz w:val="20"/>
                <w:szCs w:val="20"/>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4, 2012</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2019-12-09T08:43:25Z</dcterms:created>
  <dcterms:modified xsi:type="dcterms:W3CDTF">2019-12-09T08:43:25Z</dcterms:modified>
</cp:coreProperties>
</file>