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CLDX</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type w:val="continuous"/>
        </w:sectPr>
      </w:pPr>
    </w:p>
    <w:p>
      <w:pPr>
        <w:spacing w:after="0" w:line="18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60"/>
          </w:cols>
          <w:pgMar w:left="240" w:top="233" w:right="239" w:bottom="144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860" w:space="720"/>
            <w:col w:w="3840"/>
          </w:cols>
          <w:pgMar w:left="240" w:top="233" w:right="239" w:bottom="1440" w:gutter="0" w:footer="0" w:header="0"/>
          <w:type w:val="continuous"/>
        </w:sectPr>
      </w:pPr>
    </w:p>
    <w:p>
      <w:pPr>
        <w:spacing w:after="0" w:line="34"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31, 2019, 16,130,105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11"/>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8080" w:type="dxa"/>
            <w:vAlign w:val="bottom"/>
            <w:gridSpan w:val="9"/>
            <w:vMerge w:val="restart"/>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1"/>
            <w:vMerge w:val="continue"/>
          </w:tcPr>
          <w:p>
            <w:pPr>
              <w:spacing w:after="0"/>
              <w:rPr>
                <w:sz w:val="13"/>
                <w:szCs w:val="13"/>
                <w:color w:val="auto"/>
              </w:rPr>
            </w:pPr>
          </w:p>
        </w:tc>
        <w:tc>
          <w:tcPr>
            <w:tcW w:w="8080" w:type="dxa"/>
            <w:vAlign w:val="bottom"/>
            <w:gridSpan w:val="9"/>
            <w:vMerge w:val="continue"/>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Financial Statements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30, 2019 and December 31, 2018</w:t>
              </w:r>
            </w:hyperlink>
          </w:p>
        </w:tc>
        <w:tc>
          <w:tcPr>
            <w:tcW w:w="3780" w:type="dxa"/>
            <w:vAlign w:val="bottom"/>
            <w:gridSpan w:val="4"/>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and Nine Months Ended September 30, 2019</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2018</w:t>
              </w:r>
            </w:hyperlink>
          </w:p>
        </w:tc>
        <w:tc>
          <w:tcPr>
            <w:tcW w:w="8940" w:type="dxa"/>
            <w:vAlign w:val="bottom"/>
            <w:tcBorders>
              <w:top w:val="single" w:sz="8" w:color="0000EE"/>
            </w:tcBorders>
            <w:gridSpan w:val="12"/>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2019 and 2018</w:t>
              </w:r>
            </w:hyperlink>
          </w:p>
        </w:tc>
        <w:tc>
          <w:tcPr>
            <w:tcW w:w="2220" w:type="dxa"/>
            <w:vAlign w:val="bottom"/>
            <w:gridSpan w:val="2"/>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5360" w:type="dxa"/>
            <w:vAlign w:val="bottom"/>
            <w:gridSpan w:val="5"/>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9800" w:type="dxa"/>
            <w:vAlign w:val="bottom"/>
            <w:gridSpan w:val="16"/>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3.</w:t>
              </w:r>
            </w:hyperlink>
          </w:p>
        </w:tc>
        <w:tc>
          <w:tcPr>
            <w:tcW w:w="6480" w:type="dxa"/>
            <w:vAlign w:val="bottom"/>
            <w:tcBorders>
              <w:top w:val="single" w:sz="8" w:color="0000EE"/>
            </w:tcBorders>
            <w:gridSpan w:val="13"/>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320" w:type="dxa"/>
            <w:vAlign w:val="bottom"/>
            <w:gridSpan w:val="3"/>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5420" w:type="dxa"/>
            <w:vAlign w:val="bottom"/>
            <w:gridSpan w:val="6"/>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0520" w:type="dxa"/>
            <w:vAlign w:val="bottom"/>
            <w:gridSpan w:val="2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280" w:type="dxa"/>
            <w:vAlign w:val="bottom"/>
            <w:gridSpan w:val="10"/>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9800" w:type="dxa"/>
            <w:vAlign w:val="bottom"/>
            <w:gridSpan w:val="16"/>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20" w:type="dxa"/>
            <w:vAlign w:val="bottom"/>
            <w:gridSpan w:val="2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 Index</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0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9460" w:type="dxa"/>
            <w:vAlign w:val="bottom"/>
            <w:gridSpan w:val="14"/>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920" w:type="dxa"/>
            <w:vAlign w:val="bottom"/>
            <w:gridSpan w:val="11"/>
          </w:tcPr>
          <w:p>
            <w:pPr>
              <w:jc w:val="right"/>
              <w:ind w:right="9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 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2018</w:t>
            </w: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16,586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24,310</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56,332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69,712</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r>
      <w:tr>
        <w:trPr>
          <w:trHeight w:val="210"/>
        </w:trPr>
        <w:tc>
          <w:tcPr>
            <w:tcW w:w="74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48,690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48,690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r>
      <w:tr>
        <w:trPr>
          <w:trHeight w:val="25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131,841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155,809</w:t>
            </w:r>
          </w:p>
        </w:tc>
        <w:tc>
          <w:tcPr>
            <w:tcW w:w="100" w:type="dxa"/>
            <w:vAlign w:val="bottom"/>
            <w:tcBorders>
              <w:bottom w:val="single" w:sz="8" w:color="CCEEFF"/>
            </w:tcBorders>
          </w:tcPr>
          <w:p>
            <w:pPr>
              <w:spacing w:after="0"/>
              <w:rPr>
                <w:sz w:val="21"/>
                <w:szCs w:val="21"/>
                <w:color w:val="auto"/>
              </w:rPr>
            </w:pPr>
          </w:p>
        </w:tc>
      </w:tr>
      <w:tr>
        <w:trPr>
          <w:trHeight w:val="170"/>
        </w:trPr>
        <w:tc>
          <w:tcPr>
            <w:tcW w:w="74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6,419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7,007</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Current Portion of Other Long-Term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4,526</w:t>
            </w:r>
          </w:p>
        </w:tc>
      </w:tr>
      <w:tr>
        <w:trPr>
          <w:trHeight w:val="210"/>
        </w:trPr>
        <w:tc>
          <w:tcPr>
            <w:tcW w:w="74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19,147</w:t>
            </w:r>
          </w:p>
        </w:tc>
      </w:tr>
      <w:tr>
        <w:trPr>
          <w:trHeight w:val="21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31,749</w:t>
            </w:r>
          </w:p>
        </w:tc>
        <w:tc>
          <w:tcPr>
            <w:tcW w:w="100" w:type="dxa"/>
            <w:vAlign w:val="bottom"/>
            <w:tcBorders>
              <w:bottom w:val="single" w:sz="8" w:color="CCEEFF"/>
            </w:tcBorders>
          </w:tcPr>
          <w:p>
            <w:pPr>
              <w:spacing w:after="0"/>
              <w:rPr>
                <w:sz w:val="18"/>
                <w:szCs w:val="18"/>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Contingent Liabilities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Convertible Preferred Stock, $.01 Par Value; 3,000,000 Shares Authorized; No Shares Issued and</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at September 30, 2019 and December 31, 2018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0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$.001 Par Value; 297,000,000 Shares Authorized; 15,904,520 and 11,957,635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00" w:type="dxa"/>
            <w:vAlign w:val="bottom"/>
          </w:tcPr>
          <w:p>
            <w:pPr>
              <w:ind w:left="380"/>
              <w:spacing w:after="0"/>
              <w:rPr>
                <w:sz w:val="20"/>
                <w:szCs w:val="20"/>
                <w:color w:val="auto"/>
              </w:rPr>
            </w:pPr>
            <w:r>
              <w:rPr>
                <w:rFonts w:ascii="Arial" w:cs="Arial" w:eastAsia="Arial" w:hAnsi="Arial"/>
                <w:sz w:val="18"/>
                <w:szCs w:val="18"/>
                <w:color w:val="auto"/>
                <w:w w:val="93"/>
              </w:rPr>
              <w:t>Shares Issued and Outstanding at September 30, 2019 and December 31, 2018, Respectively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1,083,903</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2,583</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(1,002,869)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(962,438)</w:t>
            </w:r>
          </w:p>
        </w:tc>
      </w:tr>
      <w:tr>
        <w:trPr>
          <w:trHeight w:val="21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124,060</w:t>
            </w:r>
          </w:p>
        </w:tc>
        <w:tc>
          <w:tcPr>
            <w:tcW w:w="100" w:type="dxa"/>
            <w:vAlign w:val="bottom"/>
            <w:tcBorders>
              <w:bottom w:val="single" w:sz="8" w:color="CCEEFF"/>
            </w:tcBorders>
          </w:tcPr>
          <w:p>
            <w:pPr>
              <w:spacing w:after="0"/>
              <w:rPr>
                <w:sz w:val="18"/>
                <w:szCs w:val="18"/>
                <w:color w:val="auto"/>
              </w:rPr>
            </w:pPr>
          </w:p>
        </w:tc>
      </w:tr>
      <w:tr>
        <w:trPr>
          <w:trHeight w:val="21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2018</w:t>
            </w:r>
          </w:p>
        </w:tc>
        <w:tc>
          <w:tcPr>
            <w:tcW w:w="16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12,207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1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Asset Impairment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Gain on Fair Value Remeasurement of Contingent</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(6,935)</w:t>
            </w:r>
          </w:p>
        </w:tc>
        <w:tc>
          <w:tcPr>
            <w:tcW w:w="16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(1,612)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(27,968)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44,728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(7,764)</w:t>
            </w:r>
          </w:p>
        </w:tc>
        <w:tc>
          <w:tcPr>
            <w:tcW w:w="16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(42,042)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(144,313)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(142,546)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(40,431)</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(141,781)</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(0.66)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5"/>
              </w:rPr>
              <w:t>Shares Used in Calculating Basic and Diluted Net Loss</w:t>
            </w:r>
          </w:p>
        </w:tc>
        <w:tc>
          <w:tcPr>
            <w:tcW w:w="140" w:type="dxa"/>
            <w:vAlign w:val="bottom"/>
          </w:tcPr>
          <w:p>
            <w:pPr>
              <w:spacing w:after="0"/>
              <w:rPr>
                <w:sz w:val="17"/>
                <w:szCs w:val="17"/>
                <w:color w:val="auto"/>
              </w:rPr>
            </w:pPr>
          </w:p>
        </w:tc>
        <w:tc>
          <w:tcPr>
            <w:tcW w:w="1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15,282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10,912</w:t>
            </w:r>
          </w:p>
        </w:tc>
        <w:tc>
          <w:tcPr>
            <w:tcW w:w="160" w:type="dxa"/>
            <w:vAlign w:val="bottom"/>
          </w:tcPr>
          <w:p>
            <w:pPr>
              <w:spacing w:after="0"/>
              <w:rPr>
                <w:sz w:val="17"/>
                <w:szCs w:val="17"/>
                <w:color w:val="auto"/>
              </w:rPr>
            </w:pPr>
          </w:p>
        </w:tc>
        <w:tc>
          <w:tcPr>
            <w:tcW w:w="1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13,854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40" w:type="dxa"/>
            <w:vAlign w:val="bottom"/>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(40,431)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(141,763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Nine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 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(40,431)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(141,781)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3,713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 Net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or Disposal of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90,976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 Impairment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Other Asset Impairment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Fair Value Remeasurement of Contingent Consideration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Non-Cash Income Tax Benefit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Other Receivables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91,473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178,335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or Disposal of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Stock Issuances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24,310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Investing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Accrued construction in progress</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Supplemental Disclosure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Shares issued to former Kolltan executive for settlement of severance</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The Company’s wholly-owned subsidiary, Celldex Australia PTY LTD was liquidated in September 2019. All intercompany balances and transactions have been eliminated in consolidation.</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2018, which are included in the Company’s Annual Report on Form 10-K filed with the Securities and Exchange Commission on March 7, 2019.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2019.</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At September 30, 2019, the Company had cash, cash equivalents and marketable securities of $72.9 million. The Company has had recurring losses and incurred a loss of $40.4 million for the nine months ended September 30, 2019. Net cash used in operations for the nine months ended September 30, 2019 was $35.4 million. The Company believes that the cash, cash equivalents and marketable securities at November 12, 2019 will be sufficient to meet estimated working capital requirements and fund planned operations for at least the next twelve months from the date of issuance of these financial statements.</w:t>
      </w:r>
    </w:p>
    <w:p>
      <w:pPr>
        <w:spacing w:after="0" w:line="188"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The Board of Directors of the Company approved a one for fifteen reverse stock split of the Company’s outstanding common stock, which was effected on February 8, 2019. All share and per share amounts in the financial statements have been retroactively adjusted for all periods presented to give effect to the reverse stock split, including reclassifying an amount equal to the reduction in par value to additional paid-in capital.</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80" w:firstLine="630"/>
        <w:spacing w:after="0" w:line="312"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on Form 10-Q for the three and nine months ended September 30, 2019 are consistent with those discussed in Note 2 to the financial statements in our Annual Report on Form 10-K for the year ended December 31, 2018, except as it relates to the adoption of new accounting standards during the first nine months of 2019 as discussed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January 1, 2019, the Company adopted a new U.S. GAAP accounting standard which requires that all lessees recognize the assets and liabilities that arise from leases on the balance sheet and disclose qualitative and quantitative information about its leasing arrangements. The new standard was adopted using the modified retrospective transition method, which requires the Company to apply the standard as of the effective date and does not require restatement of prior periods. The Company elected to apply the package of practical expedients, which allowed the Company to not reassess: (i) whether expired or existing contracts contain leases; (ii) lease classification for any expired or existing leases; and (iii) initial direct costs for any existing leases. Adoption of this standard did not have a material impact on the Company’s Consolidated Statement of Operations and Comprehensive Loss or Statement of Cash Flow, however, upon adoption, the Company recorded right-of-use assets of $3.8 million and lease liabilities of $4.7 million on its Consolidated Balance Sheet related to the Company’s operating leases. The difference between the right-of-use assets and lease liabilities recorded upon adoption is due to certain adjustments required to the right-of-use assets for prepaid rent and accrued termination expenses. Refer to Note 5 “Leases” for the Company’s updated lease accounting policy and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2020. The adoption of this standard is not expected to have a material impact on the Company’s consolidated financial statements and related disclosures.</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August 2018, the FASB issued amendments that modify certain disclosure requirements for fair value measurements. The amendments become effective, including interim periods, beginning January 1, 2020. Early adoption, of all the amendments or only the provisions that eliminate or modify the requirements, is permitted. The adoption of this new guidance is not expected to have a material impact on the Company’s consolidated financial statements and related disclosures.</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November 2018, the FASB issued guidance to clarify the interaction between the accounting guidance for collaborative arrangements and revenue from contracts with customers. The amendments become effective, including interim periods, beginning January 1, 2020. Early adoption, including adoption in an interim period, is permitted. This guidance is required to be applied retrospectively as of the date of our adoption of the new revenue standard on January 1, 2018. We are currently evaluating the expected impact this guidance could have on our consolidated financial statements and related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7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4"/>
                <w:szCs w:val="14"/>
                <w:color w:val="auto"/>
              </w:rPr>
            </w:pPr>
          </w:p>
        </w:tc>
        <w:tc>
          <w:tcPr>
            <w:tcW w:w="13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2019</w:t>
            </w:r>
          </w:p>
        </w:tc>
        <w:tc>
          <w:tcPr>
            <w:tcW w:w="1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4"/>
          </w:tcPr>
          <w:p>
            <w:pPr>
              <w:ind w:left="1240"/>
              <w:spacing w:after="0" w:line="142" w:lineRule="exact"/>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11,549</w:t>
            </w:r>
          </w:p>
        </w:tc>
        <w:tc>
          <w:tcPr>
            <w:tcW w:w="220" w:type="dxa"/>
            <w:vAlign w:val="bottom"/>
          </w:tcPr>
          <w:p>
            <w:pPr>
              <w:spacing w:after="0"/>
              <w:rPr>
                <w:sz w:val="18"/>
                <w:szCs w:val="18"/>
                <w:color w:val="auto"/>
              </w:rPr>
            </w:pPr>
          </w:p>
        </w:tc>
        <w:tc>
          <w:tcPr>
            <w:tcW w:w="17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56,332</w:t>
            </w:r>
          </w:p>
        </w:tc>
        <w:tc>
          <w:tcPr>
            <w:tcW w:w="17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56,332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5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67,881</w:t>
            </w:r>
          </w:p>
        </w:tc>
        <w:tc>
          <w:tcPr>
            <w:tcW w:w="220" w:type="dxa"/>
            <w:vAlign w:val="bottom"/>
            <w:tcBorders>
              <w:bottom w:val="single" w:sz="8" w:color="CCEEFF"/>
            </w:tcBorders>
          </w:tcPr>
          <w:p>
            <w:pPr>
              <w:spacing w:after="0"/>
              <w:rPr>
                <w:sz w:val="21"/>
                <w:szCs w:val="21"/>
                <w:color w:val="auto"/>
              </w:rPr>
            </w:pPr>
          </w:p>
        </w:tc>
        <w:tc>
          <w:tcPr>
            <w:tcW w:w="158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67,881</w:t>
            </w:r>
          </w:p>
        </w:tc>
        <w:tc>
          <w:tcPr>
            <w:tcW w:w="2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3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w w:val="97"/>
              </w:rPr>
              <w:t>Kolltan acquisition contingent consideration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12,167</w:t>
            </w:r>
          </w:p>
        </w:tc>
        <w:tc>
          <w:tcPr>
            <w:tcW w:w="17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12,167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18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4"/>
                <w:szCs w:val="14"/>
                <w:color w:val="auto"/>
              </w:rPr>
            </w:pPr>
          </w:p>
        </w:tc>
        <w:tc>
          <w:tcPr>
            <w:tcW w:w="13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2018</w:t>
            </w:r>
          </w:p>
        </w:tc>
        <w:tc>
          <w:tcPr>
            <w:tcW w:w="18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3"/>
          </w:tcPr>
          <w:p>
            <w:pPr>
              <w:ind w:left="1220"/>
              <w:spacing w:after="0" w:line="142" w:lineRule="exact"/>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15,755</w:t>
            </w: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15,755</w:t>
            </w: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69,712</w:t>
            </w: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69,712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85,467</w:t>
            </w:r>
          </w:p>
        </w:tc>
        <w:tc>
          <w:tcPr>
            <w:tcW w:w="220" w:type="dxa"/>
            <w:vAlign w:val="bottom"/>
            <w:tcBorders>
              <w:bottom w:val="single" w:sz="8" w:color="CCEEFF"/>
            </w:tcBorders>
          </w:tcPr>
          <w:p>
            <w:pPr>
              <w:spacing w:after="0"/>
              <w:rPr>
                <w:sz w:val="21"/>
                <w:szCs w:val="21"/>
                <w:color w:val="auto"/>
              </w:rPr>
            </w:pPr>
          </w:p>
        </w:tc>
        <w:tc>
          <w:tcPr>
            <w:tcW w:w="158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85,467</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w w:val="98"/>
              </w:rPr>
              <w:t>Kolltan acquisition contingent consideration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13,779</w:t>
            </w: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13,779</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nine months ended September 30, 2019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Other Liabilities:</w:t>
            </w:r>
          </w:p>
        </w:tc>
      </w:tr>
      <w:tr>
        <w:trPr>
          <w:trHeight w:val="149"/>
        </w:trPr>
        <w:tc>
          <w:tcPr>
            <w:tcW w:w="9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Contingent</w:t>
            </w:r>
          </w:p>
        </w:tc>
      </w:tr>
      <w:tr>
        <w:trPr>
          <w:trHeight w:val="171"/>
        </w:trPr>
        <w:tc>
          <w:tcPr>
            <w:tcW w:w="9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Consideration</w:t>
            </w:r>
          </w:p>
        </w:tc>
      </w:tr>
      <w:tr>
        <w:trPr>
          <w:trHeight w:val="210"/>
        </w:trPr>
        <w:tc>
          <w:tcPr>
            <w:tcW w:w="9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(1,612)</w:t>
            </w:r>
          </w:p>
        </w:tc>
      </w:tr>
      <w:tr>
        <w:trPr>
          <w:trHeight w:val="210"/>
        </w:trPr>
        <w:tc>
          <w:tcPr>
            <w:tcW w:w="9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was primarily an income approach. The Company may be required to pay future consideration of up to $127.5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three and nine months ended September 30, 2019, the Company recorded a $2.1 million and $1.6 million gain on fair value remeasurement of contingent consideration, respectively, primarily due to changes in discount rates, the passage of time and updated assumptions for the varlilumab program. During the three and nine months ended September 30, 2018, the Company recorded a $6.9 million and $28.0 million gain on fair value remeasurement of contingent consideration, respectively, primarily due to discontinuation of the glembatumumab vedotin (“Glemba”) and CDX-014 programs, updated assumptions for the varlilumab program, and lower probability that milestones related to our anti-KIT program would be triggered by the Company’s current anti-KIT program development.</w:t>
      </w:r>
    </w:p>
    <w:p>
      <w:pPr>
        <w:spacing w:after="0" w:line="19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nine months ended September 30, 2019.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0"/>
                <w:szCs w:val="10"/>
                <w:color w:val="auto"/>
              </w:rPr>
            </w:pPr>
          </w:p>
        </w:tc>
        <w:tc>
          <w:tcPr>
            <w:tcW w:w="10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0"/>
                <w:szCs w:val="10"/>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jc w:val="right"/>
              <w:ind w:right="636"/>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year or less)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19,975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36,318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56,293</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or less)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27,355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42,370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69,725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twelve months as of September 30, 2019 and December 31, 2018. The unrealized losses are attributable to changes in interest rates and the Company does not believe any unrealized losses represent other-than-temporary impairments. Marketable securities include $0.2 million and $0.1 million in accrued interest at September 30, 2019 and December 31,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has operating leases of office, manufacturing and laboratory space, which have remaining lease terms of one to six years and may include one or more options to renew or terminate early.</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spacing w:after="0" w:line="18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During the first quarter of 2019, the Company amended its Hampton, New Jersey lease to eliminate 16,200 square feet of space and extend the remaining 33,400 square feet of space for an additional five-year term with an early termination option after three years. The Company recorded an additional right-of-use asset and lease liability of $1.4 million during the first quarter of 2019 for the initial 3 years related to the amendment.</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Operating lease expense was $0.6 million and $1.8 million for the three and nine months ended September 30, 2019, respectively. Variable lease expense was $0.4 million and $1.2 million for the three and nine months ended September 30, 2019, respectively. Operating cash flows used for operating leases during the nine months ended September 30, 2019 was $2.5 million. As of September 30, 2019, the weighted-average remaining lease term was 2 years and the weighted-average discount rate was 11.2%.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3"/>
          </w:tcPr>
          <w:p>
            <w:pPr>
              <w:ind w:left="660"/>
              <w:spacing w:after="0"/>
              <w:rPr>
                <w:sz w:val="20"/>
                <w:szCs w:val="20"/>
                <w:color w:val="auto"/>
              </w:rPr>
            </w:pPr>
            <w:r>
              <w:rPr>
                <w:rFonts w:ascii="Arial" w:cs="Arial" w:eastAsia="Arial" w:hAnsi="Arial"/>
                <w:sz w:val="18"/>
                <w:szCs w:val="18"/>
                <w:color w:val="auto"/>
                <w:w w:val="94"/>
              </w:rPr>
              <w:t>Future minimum lease payments under non-cancellable leases as of September 30, 2019 were as follows: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Present value of operating lease liabilities</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Under the prior lease accounting guidance, operating lease obligations, including estimated variable lease obligations, as of December 31, 2018 were as follows: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4,648</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3,140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a result of the discontinuation of the Glemba program, the Company concluded that the finite-lived intangible asset related to its Amgen Fremont license rights to develop and commercialize Glemba and the indefinite-lived Glemba IPR&amp;D asset were fully impaired and a non-cash impairment charge of $18.7 million was recorded in the first quarter of 2018. Amortization expense related to the finite-lived intangible asset was $0.0 million for the three and nine months ended September 30, 2019, and $0.0 million and $0.2 million for the three and nine months ended September 30, 2018, respectively.</w:t>
      </w:r>
    </w:p>
    <w:p>
      <w:pPr>
        <w:spacing w:after="0" w:line="154"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At September 30, 2019 and 2018, the Company recorded indefinite-lived intangible assets of $48.7 million. Indefinite-lived intangible assets consist of acquired in-process research and development (“IPR&amp;D”) related to the development of CDX-3379, the anti-KIT program (including CDX-0159) and the TAM program. CDX-3379 is in Phase 2 development. CDX-0159 is expected to enter Phase 1 development by year end. The TAM program is in preclinical development. As of September 30, 2019, none of the Company’s IPR&amp;D assets had reached technological feasibility nor did any have alternative future uses.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evaluated goodwill for potential impairment due to the discontinuation of the Glemba program in the first quarter of 2018. The carrying amount of the Company was compared to the Company’s fair value. The Company’s fair value assessment reflected a number of significant management assumptions and estimates including the Company’s probability forecasts for pipeline assets, income taxes, capital expenditures, market premium and changes in working capital requirements. Through this assessment, it was determined that the carrying amount of the Company exceeded its fair value by over $91.0 million. As such, the full goodwill asset was considered impaired and a charge of $91.0 million was recorded during the first quarter of 2018.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Assets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2016, the Company entered into a research and collaboration agreement with an undisclosed private company to access novel technologies and paid $3.5 million to support research activities and make an investment in the private company. The Company recorded $1.8 million to other assets related to this investment and $1.7 million was recorded to research and development expense over the term of the research activities. The stock of the private company does not have a readily determinable fair value, and therefore it is measured at cost less impairment, if any. Based on information received in April 2019, it was determined that there was a deterioration of the private company’s financial condition due to a working capital deficiency and an inability to secure additional funding as of March 31, 2019. Therefore, the Company concluded that the investment was impaired, and a non-cash impairment charge of $1.8 million was recorded during the first quarter of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September 30, 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r>
      <w:tr>
        <w:trPr>
          <w:trHeight w:val="142"/>
        </w:trPr>
        <w:tc>
          <w:tcPr>
            <w:tcW w:w="5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gridSpan w:val="5"/>
          </w:tcPr>
          <w:p>
            <w:pPr>
              <w:jc w:val="right"/>
              <w:ind w:right="119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gridSpan w:val="2"/>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Contingent Milestones (Note 3)</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12,167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13,779</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(Note 12)</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8"/>
                <w:szCs w:val="18"/>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(4,526)</w:t>
            </w: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Long-Term Portion</w:t>
            </w:r>
          </w:p>
        </w:tc>
        <w:tc>
          <w:tcPr>
            <w:tcW w:w="1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November 2015 and December 2014, the Company received approval from the New Jersey Economic Development Authority and agreed to sell New Jersey tax benefits of $9.8 million and $1.9 million to an independent third party for $9.2 million and $1.8 million, respectively. Under the agreement, the Company must maintain a base of operations in New Jersey for five years or the tax benefits must be paid back on a pro-rata basis based on the number of years completed. The Company recognized $0.0 million and $0.2 million in other income related to the sale of these tax benefits during the three and nine months ended September 30, 2019, respectively, and $0.0 million and $0.4 million during the three and nine months ended September 30,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 During the nine months ended September 30, 2019, the Company issued 3.9 million shares of common stock under this controlled equity offering sales agreement with Cantor resulting in net proceeds of $13.8 million after deducting commission and offering expenses. At September 30, 2019, the Company had $23.2 million remaining in aggregate gross offering price available under the Cantor agreement. In October 2019, the Company issued 0.2 million shares of its common stock resulting in net proceeds to the Company of $0.5 million.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Stockholders’ Equity during the three and nine months ended September 30, 2019 and 2018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 Par</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w w:val="95"/>
              </w:rPr>
              <w:t>(In thousands, except share amounts)</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Consolidated Balance at December 31,</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11,957,635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1,083,903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(962,438)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Shares Issued under Stock Option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3,507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Issued in Connection with Cantor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883,569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1,693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(17,239)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Consolidated Balance at March 31,</w:t>
            </w: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12,844,711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1,089,755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(979,677)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Shares Cancelled under Stock Option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and Employee Stock Purchase Plans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Issued in Connection with Cantor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1,972,428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1,464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(11,779)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Consolidated Balance at June 30, 2019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14,816,917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1,098,429</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(991,456)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7"/>
              </w:rPr>
              <w:t>Shares Issued in Connection with Cantor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1,087,603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2,462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Consolidated Balance at</w:t>
            </w: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200" w:type="dxa"/>
            <w:vAlign w:val="bottom"/>
            <w:vMerge w:val="continue"/>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15,904,520</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1,101,598</w:t>
            </w:r>
          </w:p>
        </w:tc>
        <w:tc>
          <w:tcPr>
            <w:tcW w:w="220" w:type="dxa"/>
            <w:vAlign w:val="bottom"/>
            <w:vMerge w:val="restart"/>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2,635</w:t>
            </w:r>
          </w:p>
        </w:tc>
        <w:tc>
          <w:tcPr>
            <w:tcW w:w="220" w:type="dxa"/>
            <w:vAlign w:val="bottom"/>
            <w:vMerge w:val="restart"/>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(1,002,869)</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101,380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September 30, 2019</w:t>
            </w:r>
          </w:p>
        </w:tc>
        <w:tc>
          <w:tcPr>
            <w:tcW w:w="1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 Par</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w w:val="95"/>
              </w:rPr>
              <w:t>(In thousands, except share amounts)</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Consolidated Balance at December 31,</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9,234,693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1,046,313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Shares Issued under Stock Option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9,453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Issued in Connection with Cantor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312,802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Kolltan Severance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Adoption of ASC 606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(118,131)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(118,131)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Consolidated Balance at March 31,</w:t>
            </w: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9,557,919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1,060,902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(929,385)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7"/>
              </w:rPr>
              <w:t>Shares Issued in Connection with Cantor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884,068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8,270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Kolltan Severance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2,048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(16,407)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Consolidated Balance at June 30,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10,443,058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1,071,239</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(945,792)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Shares Issued under Stock Option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7,038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Issued in Connection with Cantor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787,163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Kolltan Severance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Consolidated Balance at</w:t>
            </w: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200" w:type="dxa"/>
            <w:vAlign w:val="bottom"/>
            <w:vMerge w:val="continue"/>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11,238,367</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1,078,577</w:t>
            </w:r>
          </w:p>
        </w:tc>
        <w:tc>
          <w:tcPr>
            <w:tcW w:w="220" w:type="dxa"/>
            <w:vAlign w:val="bottom"/>
            <w:vMerge w:val="restart"/>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2,582</w:t>
            </w:r>
          </w:p>
        </w:tc>
        <w:tc>
          <w:tcPr>
            <w:tcW w:w="220" w:type="dxa"/>
            <w:vAlign w:val="bottom"/>
            <w:vMerge w:val="restart"/>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(953,035)</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128,135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September 30, 2018</w:t>
            </w:r>
          </w:p>
        </w:tc>
        <w:tc>
          <w:tcPr>
            <w:tcW w:w="1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926,840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2.78</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(68,214)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85.89</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2019</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1,724,758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45.15</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2019</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48.71</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1,585,308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551,716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398,707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weighted average grant-date fair value of stock options granted during the three and nine month periods ended September 30, 2019 was $2.00 and $2.08, respectively. Stock-based compensation expense for the three and nine month periods ended September 30, 2019 and 2018 was recorded as follows: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gridSpan w:val="3"/>
          </w:tcPr>
          <w:p>
            <w:pPr>
              <w:jc w:val="right"/>
              <w:ind w:right="576"/>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2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2,124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3,241</w:t>
            </w: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nine month periods ended September 30, 2019 and 2018 were valued using the Black-Scholes option pricing model with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3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4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73 - 85%</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6.0 Years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6.0 Years</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6.0 Years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6.0 Years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1.6 – 1.9%</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1.6 – 2.5%</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2.8 – 3.0%</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None</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None</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None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changes in accumulated other comprehensive income, which is reported as a component of stockholders’ equity,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are summarized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Gain/(Loss) on</w:t>
            </w:r>
          </w:p>
        </w:tc>
        <w:tc>
          <w:tcPr>
            <w:tcW w:w="140" w:type="dxa"/>
            <w:vAlign w:val="bottom"/>
          </w:tcPr>
          <w:p>
            <w:pPr>
              <w:spacing w:after="0"/>
              <w:rPr>
                <w:sz w:val="12"/>
                <w:szCs w:val="12"/>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Currency Items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380" w:hanging="4994"/>
        <w:spacing w:after="0" w:line="528" w:lineRule="auto"/>
        <w:rPr>
          <w:sz w:val="20"/>
          <w:szCs w:val="20"/>
          <w:color w:val="auto"/>
        </w:rPr>
      </w:pPr>
      <w:r>
        <w:rPr>
          <w:rFonts w:ascii="Arial" w:cs="Arial" w:eastAsia="Arial" w:hAnsi="Arial"/>
          <w:sz w:val="18"/>
          <w:szCs w:val="18"/>
          <w:color w:val="auto"/>
        </w:rPr>
        <w:t>No amounts were reclassified out of accumulated other comprehensive income during the nine months ended September 30, 2019.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Company entered into a clinical collaboration agreement with BMS in 2014 to evaluate the safety, tolerability and preliminary efficacy of varlilumab and Opdivo</w:t>
      </w:r>
      <w:r>
        <w:rPr>
          <w:rFonts w:ascii="Arial" w:cs="Arial" w:eastAsia="Arial" w:hAnsi="Arial"/>
          <w:sz w:val="23"/>
          <w:szCs w:val="23"/>
          <w:color w:val="auto"/>
          <w:vertAlign w:val="superscript"/>
        </w:rPr>
        <w:t>®</w:t>
      </w:r>
      <w:r>
        <w:rPr>
          <w:rFonts w:ascii="Arial" w:cs="Arial" w:eastAsia="Arial" w:hAnsi="Arial"/>
          <w:sz w:val="18"/>
          <w:szCs w:val="18"/>
          <w:color w:val="auto"/>
        </w:rPr>
        <w:t>, BMS’s PD-1 immune checkpoint inhibitor, in a Phase 1/2 study. Under this agreement, BMS made an upfront payment to Celldex of $5.0 million and provides funding for 50% of the external costs incurred by the Company in connection with the clinical trial. The Company recorded $0.0 million and $0.2 million in revenue related to this agreement during the three and nine months ended September 30, 2019, respectively, and $0.1 million and $2.7 million during the three and nine months ended September 30,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entered into agreements with Rockefeller University and Duke University pursuant to which the Company performs manufacturing and research and development services on a time-and-materials basis. The Company recognized $0.4 million and $1.9 million in revenue for labor hours and direct costs incurred under these agreements during the three and nine months ended September 30, 2019, respectively, and $0.6 million and $2.1 million during the three and nine months ended September 30, 2018, respectively.</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 has entered into fixed-fee manufacturing and research and development arrangements with the International AIDS Vaccine Initiative and Frontier Biotechnologies, Inc. The Company recognized $0.1 million and $0.3 million in revenue under these agreements during the three and nine months ended September 30, 2019, respectively, and $0.1 million and $2.8 million during the three and nine months ended September 30, 2018,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December 31, 2018 and September 30, 2019, the Company’s right to consideration under all contracts was considered unconditional, and as such, there were no recorded contract assets. At December 31, 2018 and September 30, 2019, the Company had $1.6 million and $0.5 million in contract liabilities recorded, respectively. Revenue recognized from contract liabilities as of December 31, 2018 during the three and nine months ended September 30, 2019 was $0.1 million and $1.3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September 30, 2019 and December 31, 2018.</w:t>
      </w:r>
    </w:p>
    <w:p>
      <w:pPr>
        <w:spacing w:after="0" w:line="14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net deferred tax liability of $3.0 million at September 30, 2019 and December 31, 2018 relates to the temporary differences associated with the IPR&amp;D intangible assets acquired in previous business combinations and is not deductible for tax purposes. As a result of the discontinuation of the Glemba program, the Company recorded a $0.8 million non-cash income tax benefit during the first quarter of 2018.</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Massachusetts, New Jersey, Connecticut and Australia are the jurisdictions in which the Company primarily operates or has operated and has income tax nexus. The Company is not currently under examination by these or any other jurisdictions for any tax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12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9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1,724,758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882,673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Restricted Stock</w:t>
            </w:r>
          </w:p>
        </w:tc>
        <w:tc>
          <w:tcPr>
            <w:tcW w:w="6540" w:type="dxa"/>
            <w:vAlign w:val="bottom"/>
            <w:gridSpan w:val="3"/>
          </w:tcPr>
          <w:p>
            <w:pPr>
              <w:jc w:val="right"/>
              <w:ind w:right="280"/>
              <w:spacing w:after="0"/>
              <w:rPr>
                <w:sz w:val="20"/>
                <w:szCs w:val="20"/>
                <w:color w:val="auto"/>
              </w:rPr>
            </w:pPr>
            <w:r>
              <w:rPr>
                <w:rFonts w:ascii="Arial" w:cs="Arial" w:eastAsia="Arial" w:hAnsi="Arial"/>
                <w:sz w:val="18"/>
                <w:szCs w:val="18"/>
                <w:color w:val="auto"/>
              </w:rPr>
              <w:t>1,110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1,725,868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900" w:type="dxa"/>
            <w:vAlign w:val="bottom"/>
            <w:vMerge w:val="restart"/>
          </w:tcPr>
          <w:p>
            <w:pPr>
              <w:jc w:val="right"/>
              <w:ind w:right="2410"/>
              <w:spacing w:after="0"/>
              <w:rPr>
                <w:sz w:val="20"/>
                <w:szCs w:val="20"/>
                <w:color w:val="auto"/>
              </w:rPr>
            </w:pPr>
            <w:r>
              <w:rPr>
                <w:rFonts w:ascii="Arial" w:cs="Arial" w:eastAsia="Arial" w:hAnsi="Arial"/>
                <w:sz w:val="18"/>
                <w:szCs w:val="18"/>
                <w:color w:val="auto"/>
              </w:rPr>
              <w:t>15</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0" w:type="dxa"/>
            <w:vAlign w:val="bottom"/>
            <w:tcBorders>
              <w:bottom w:val="single" w:sz="8" w:color="808080"/>
            </w:tcBorders>
          </w:tcPr>
          <w:p>
            <w:pPr>
              <w:spacing w:after="0"/>
              <w:rPr>
                <w:sz w:val="11"/>
                <w:szCs w:val="11"/>
                <w:color w:val="auto"/>
              </w:rPr>
            </w:pPr>
          </w:p>
        </w:tc>
        <w:tc>
          <w:tcPr>
            <w:tcW w:w="49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980" w:right="580" w:hanging="324"/>
        <w:spacing w:after="0" w:line="30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46" w:lineRule="exact"/>
        <w:rPr>
          <w:rFonts w:ascii="Arial" w:cs="Arial" w:eastAsia="Arial" w:hAnsi="Arial"/>
          <w:sz w:val="17"/>
          <w:szCs w:val="17"/>
          <w:color w:val="auto"/>
        </w:rPr>
      </w:pPr>
    </w:p>
    <w:p>
      <w:pPr>
        <w:ind w:left="980" w:right="20" w:hanging="324"/>
        <w:spacing w:after="0" w:line="279"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animal, preclinical and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1" w:lineRule="exact"/>
        <w:rPr>
          <w:rFonts w:ascii="Arial" w:cs="Arial" w:eastAsia="Arial" w:hAnsi="Arial"/>
          <w:sz w:val="17"/>
          <w:szCs w:val="17"/>
          <w:color w:val="auto"/>
        </w:rPr>
      </w:pPr>
    </w:p>
    <w:p>
      <w:pPr>
        <w:ind w:left="980" w:right="6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6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225" w:lineRule="exact"/>
        <w:rPr>
          <w:rFonts w:ascii="Arial" w:cs="Arial" w:eastAsia="Arial" w:hAnsi="Arial"/>
          <w:sz w:val="18"/>
          <w:szCs w:val="18"/>
          <w:color w:val="auto"/>
        </w:rPr>
      </w:pPr>
    </w:p>
    <w:p>
      <w:pPr>
        <w:ind w:left="980" w:right="60" w:hanging="324"/>
        <w:spacing w:after="0" w:line="286"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2018 and other reports that we file with the Securities and Exchange Commission</w:t>
      </w:r>
      <w:r>
        <w:rPr>
          <w:rFonts w:ascii="Arial" w:cs="Arial" w:eastAsia="Arial" w:hAnsi="Arial"/>
          <w:sz w:val="17"/>
          <w:szCs w:val="17"/>
          <w:i w:val="1"/>
          <w:iCs w:val="1"/>
          <w:color w:val="auto"/>
        </w:rPr>
        <w:t>.</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complementary technologies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980" w:right="60" w:hanging="324"/>
        <w:spacing w:after="0" w:line="25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as a single-agent and in combination with CDX-301, a dendritic cell growth factor, in a Phase 1 dose-escalation study in multiple types of solid tumors and B cell lymphomas. Celldex intends to add additional combination cohorts with mechanisms that the Company believes could be complementary or synergistic with CDX-1140 and has prioritized a combination with KEYTRUDA® (pembrolizumab), which is expected to open to enrollment in the first quarter of 2020;</w:t>
      </w:r>
    </w:p>
    <w:p>
      <w:pPr>
        <w:spacing w:after="0" w:line="188"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CDX-3379, a monoclonal antibody designed to block the activity of ErbB3 (HER3), currently in an early Phase 2 study in advanced head and neck squamous cell cancer in combination with Erbitux®; and,</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CDX-0159, a monoclonal antibody that specifically binds the KIT receptor, potently inhibits its activity and is expected to enter a Phase 1 study in healthy subjects by year end.</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70"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drug candidate.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not unusual for the clinical development of these types of drug candidates to each take five years or more, and for total development costs to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drug candidate. We estimate that clinical trials of the type we generally conduct are typically completed over the following timelines: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5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5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Phase 2</w:t>
            </w: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1 - 5 Years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5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1 - 5 Years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760" w:type="dxa"/>
            <w:vAlign w:val="bottom"/>
          </w:tcPr>
          <w:p>
            <w:pPr>
              <w:jc w:val="right"/>
              <w:ind w:right="329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57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the past five years through December 31, 2018, we incurred an aggregate of $469.9 million in research and development expenses. The following table indicates the amount incurred for each of our significant research programs and for other identified research and development activities during the nine months ended September 30, 2019 and 2018. The amounts disclosed in the following table reflect direct research and development costs, license fees associated with the underlying technology and an allocation of indirect research and development costs to each program.</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Nine Months Ended</w:t>
            </w:r>
          </w:p>
        </w:tc>
        <w:tc>
          <w:tcPr>
            <w:tcW w:w="140" w:type="dxa"/>
            <w:vAlign w:val="bottom"/>
          </w:tcPr>
          <w:p>
            <w:pPr>
              <w:spacing w:after="0"/>
              <w:rPr>
                <w:sz w:val="14"/>
                <w:szCs w:val="14"/>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 2019</w:t>
            </w:r>
          </w:p>
        </w:tc>
        <w:tc>
          <w:tcPr>
            <w:tcW w:w="14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September 30, 2018</w:t>
            </w:r>
          </w:p>
        </w:tc>
      </w:tr>
      <w:tr>
        <w:trPr>
          <w:trHeight w:val="142"/>
        </w:trPr>
        <w:tc>
          <w:tcPr>
            <w:tcW w:w="6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4"/>
          </w:tcPr>
          <w:p>
            <w:pPr>
              <w:jc w:val="right"/>
              <w:ind w:right="125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3,756</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CDX-3379</w:t>
            </w:r>
          </w:p>
        </w:tc>
        <w:tc>
          <w:tcPr>
            <w:tcW w:w="14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3,346</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2,935</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Anti-KIT Program (including CDX-0159)</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6,436</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14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2,549</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7,222</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CDX-527</w:t>
            </w:r>
          </w:p>
        </w:tc>
        <w:tc>
          <w:tcPr>
            <w:tcW w:w="14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6,823</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 Program</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3,670</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4,245</w:t>
            </w: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14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6,473</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28,339</w:t>
            </w:r>
          </w:p>
        </w:tc>
      </w:tr>
      <w:tr>
        <w:trPr>
          <w:trHeight w:val="210"/>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7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initiated a Phase 1 study of CDX-1140 in November 2017. This study is expected to enroll up to approximately 180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is being utilized to increase the number of dendritic cells in blood and tissue available for CDX-1140 activation. CDX-1140 should, in turn, activate and mature the dendritic cells, an important step for enhancing anti-tumor immune responses.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Interim data from this ongoing study were presented at the Society for Immunotherapy of Cancer’s (SITC) 34th Annual Meeting in November 2019. CDX-1140 monotherapy dose escalation in the study is complete and the maximum tolerated dose and recommended Phase 2 dose was defined as 1.5 mg/kg every four weeks. CDX-1140 monotherapy and combination with CDX-301 was generally well tolerated, with mostly grade 1 or grade 2 drug related adverse events reported. Two patients out of six experienced pneumonitis as DLTs in the CDX-1140 3.0 mg/kg monotherapy cohort. There were no dose limiting toxicities observed in the CDX-301 combination cohorts up to 0.72 mg/kg CDX-1140. A cohort of CDX-1140 at the next highest level, 1.5 mg/kg plus CDX-301, was ongoing at the time of data release.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the cut-off date for reporting, 62 patients with advanced refractory solid tumors or lymphoma were enrolled and 38 patients had pre- and post-treatment scans available. Patients were heavily pretreated (median of 4 prior therapies) and per protocol were required to have received all standard of care treatments prior to study entry. CDX-1140 demonstrated clinical and biological activity in the study.</w:t>
      </w:r>
    </w:p>
    <w:p>
      <w:pPr>
        <w:spacing w:after="0" w:line="181" w:lineRule="exact"/>
        <w:rPr>
          <w:sz w:val="20"/>
          <w:szCs w:val="20"/>
          <w:color w:val="auto"/>
        </w:rPr>
      </w:pPr>
    </w:p>
    <w:p>
      <w:pPr>
        <w:ind w:left="1300" w:right="120" w:hanging="320"/>
        <w:spacing w:after="0" w:line="257"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of five patients with head and neck squamous cell carcinoma (HNSCC) treated with CDX-1140 doses of 0.72 mg/kg or higher experienced clinical benefit. The first patient experienced dramatic shrinkage of a large, protruding neck mass on physical exam after two doses of CDX-1140 at 1.5 mg/kg with documented evidence of tumor necrosis/cavitation on CT scan. This patient also reported decreased tumor pain. A second patient experienced cavitation of greater than 50% of lung metastases on CT scan after one dose of CDX-1140 3 mg/kg.</w:t>
      </w:r>
    </w:p>
    <w:p>
      <w:pPr>
        <w:spacing w:after="0" w:line="188" w:lineRule="exact"/>
        <w:rPr>
          <w:rFonts w:ascii="Arial" w:cs="Arial" w:eastAsia="Arial" w:hAnsi="Arial"/>
          <w:sz w:val="18"/>
          <w:szCs w:val="18"/>
          <w:color w:val="auto"/>
        </w:rPr>
      </w:pPr>
    </w:p>
    <w:p>
      <w:pPr>
        <w:ind w:left="1300" w:right="40" w:hanging="320"/>
        <w:spacing w:after="0" w:line="264"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patient with gastroesophageal carcinoma experienced a RECIST response after two cycles of CDX-1140 0.36 mg/kg plus CDX-301 that included 41% shrinkage of liver and lymph node target lesions, with near complete resolution of the liver lesion. This response was durable for four months.</w:t>
      </w:r>
    </w:p>
    <w:p>
      <w:pPr>
        <w:spacing w:after="0" w:line="181" w:lineRule="exact"/>
        <w:rPr>
          <w:rFonts w:ascii="Arial" w:cs="Arial" w:eastAsia="Arial" w:hAnsi="Arial"/>
          <w:sz w:val="18"/>
          <w:szCs w:val="18"/>
          <w:color w:val="auto"/>
        </w:rPr>
      </w:pPr>
    </w:p>
    <w:p>
      <w:pPr>
        <w:ind w:left="1300" w:right="540" w:hanging="320"/>
        <w:spacing w:after="0" w:line="277"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 patients experienced stable disease (n=4 CDX-1140 monotherapy; n=2 CDX-1140/CDX-301 combination) with a duration of 1.8 months to 5.4 months.</w:t>
      </w:r>
    </w:p>
    <w:p>
      <w:pPr>
        <w:spacing w:after="0" w:line="170" w:lineRule="exact"/>
        <w:rPr>
          <w:rFonts w:ascii="Arial" w:cs="Arial" w:eastAsia="Arial" w:hAnsi="Arial"/>
          <w:sz w:val="18"/>
          <w:szCs w:val="18"/>
          <w:color w:val="auto"/>
        </w:rPr>
      </w:pPr>
    </w:p>
    <w:p>
      <w:pPr>
        <w:ind w:left="1300" w:right="300" w:hanging="320"/>
        <w:spacing w:after="0" w:line="277"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patient experienced immune unconfirmed progressive disease on their first scan and continues on treatment for 10+ months without confirmation of progressive disease at CDX-1140 0.09 mg/kg plus CDX-301.</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Potent pharmacological effects associated with immune activation were also observed, including transient induction of inflammatory cytokines and chemokines associated with dendritic cell and T cell activation at higher dose levels. Similar activation was observed with each cycle of therapy. Peripheral blood immune cells had upregulated immune activation markers and CDX-301 markedly increased the number of dendritic cells and was associated with higher IL-12p40 induction, a key molecule for inducing anti-tumor T cell responses.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Based on the clinical activity observed in HNSCC, up to an additional 15 patients with HNSCC will be enrolled to the study at 1.5 mg/kg CDX-1140 monotherapy. In addition, we have amended the ongoing Phase 1 study to evaluate CDX-1140 in combination with KEYTRUDA® (pembrolizumab), Merck’s anti-PD-1 therapy under a clinical trial collaboration agreement with Merck (known as MSD outside of the U.S. and Canada). The cohort is designed to characterize the safety, pharmacodynamics and activity of CDX-1140 in combination with pembrolizumab in patients refractory to PD1/PDL1 treatment. We expect this cohort will open to enrollment in the first quarter of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 in combination with Erbitux in Erbitux-resistant, advanced head and neck squamous cell carcinoma (HNSSC).</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6"/>
          <w:szCs w:val="16"/>
          <w:color w:val="auto"/>
        </w:rPr>
        <w:t>A Phase 1a/1b study of CDX-3379 was conducted in solid tumors. The study included a single-agent, dose-escalation portion and combination expansion cohorts. The single-agent, dose-escalation portion of the study did not identify an MTD, and there were no dose limiting toxicities. Four combination arms across multiple tumor types were added to evaluate CDX-3379 with several drugs that target EGFR, HER2 or BRAF. They include combinations with Erbitux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(n=16), Tarceva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(n=8), Zelboraf</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(n=9) and Herceptin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was considered refractory, as well as an unconfirmed partial response in a patient with thyroid cancer. Initial data were presented at the 2016 American Society of Clinical Oncology (ASCO) Annual Meeting.</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April 2018, results from a window-of-opportunity study evaluating the effect of CDX-3379 on potential biomarkers in patients with HNSCC were presented at the American Association for Cancer Research (AACR) Annual Meeting. The study enrolled 12 patients with newly diagnosed HNSCC who received two doses of CDX-3379, at a two-week interval prior to tumor resection. CDX-3379 reduced phosphorylated ErbB3 (pErbB3) levels in 83% (10/12) of patient samples, with greater than or equal to 50% decreases in 58% of patients (7/12), which met the primary study objective. Stable disease was observed in 92% (11/12) of patients prior to surgery, and a patient with HPV-negative disease experienced an exceptional response (greater than 92% tumor shrinkage). CDX-3379 was well-tolerated, and no treatment-related adverse events were observed.</w:t>
      </w:r>
    </w:p>
    <w:p>
      <w:pPr>
        <w:spacing w:after="0" w:line="17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Preclinical data from the combination of CDX-3379 and Erbitux in xenograft models of HNSCC were also presented at the AACR Annual Meeting in April 2018. Combining CDX-3379 and Erbitux inhibited tumor growth more potently than Erbitux alone. Mechanistic studies demonstrated a reduction of PD-L1 expression from the combination.</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initiated an open-label Phase 2 study in combination with Erbitux in patients with human papillomavirus (HPV) negative, Erbitux-resistant, advanced HNSCC who have previously been treated with an anti-PD1 checkpoint inhibitor, a population with limited options and a particularly poor prognosis. We opened the study to enrollment in November 2017. The study was initially designed as a Simon two-stage design with an interim futility analysis following enrollment of the first 13 patients. According to the study design, if at least one patient achieved an objective response in the first stage, enrollment could progress to the second stage. The primary endpoint of the study is objective response rate (ORR). Secondary endpoints include assessments of clinical benefit response (CBR), duration of response (DOR), progression-free survival (PFS), overall survival (OS), and safety and pharmacokinetics associated with the combination. Enrollment to the first stage of the Phase 2 study (n=15) is complete and interim data from the study were presented at the 2019 ASCO Annual Meeting in June that support the continued development of CDX-3379.</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Patients had a median of 3 (range of 2-6) prior cancer therapy treatments. All patients had received prior checkpoint inhibitor treatment and 14 of 15 patients were cetuximab refractory. Notable clinical activity was observed in this refractory patient population. A durable confirmed complete response (11+ months) was observed; this response remains ongoing and the patient continues to receive treatment. An unconfirmed partial response (uPR) in a patient that had not received cetuximab was also observed. 7 patients experienced stable disease (47%; includes uPR). A clinical benefit rate of 29% was achieved (objective response or stable disease greater than or equal to 12 weeks). CDX-3379 in combination with cetuximab was generally associated with the expected target-mediated adverse events of diarrhea and rash.</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Emerging data from the Phase 2 study and earlier studies of CDX-3379 suggest that antitumor activity may be associated with somatic mutations in certain genes. Based on these observations, next-generation sequencing was performed on tumor samples from 18 patients with HNSCC treated with CDX-3379 across three clinical studies of CDX-3379 that have enrolled patients with HNSCC. This data set included four patients with clinical responses, eight patients with stable disease and/or tumor shrinkage, and six patients with progressive disease. Key findings are outlined below.</w:t>
      </w:r>
    </w:p>
    <w:p>
      <w:pPr>
        <w:spacing w:after="0" w:line="154"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mutations in the FAT1 gene.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a primary tumor site of oral cavity.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of the four clinical responses occurred in patients who also had mutations in NOTCH1, NOTCH2 or NOTCH3 genes.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Also, of note, all patients (n=7 of 18) who experienced clinical benefit (objective response or stable disease greater than or equal to 12 weeks) had FAT1 and/or NOTCH1-3 mutations.</w:t>
      </w:r>
    </w:p>
    <w:p>
      <w:pPr>
        <w:spacing w:after="0" w:line="170" w:lineRule="exact"/>
        <w:rPr>
          <w:rFonts w:ascii="Arial" w:cs="Arial" w:eastAsia="Arial" w:hAnsi="Arial"/>
          <w:sz w:val="18"/>
          <w:szCs w:val="18"/>
          <w:color w:val="auto"/>
        </w:rPr>
      </w:pPr>
    </w:p>
    <w:p>
      <w:pPr>
        <w:ind w:left="980" w:hanging="324"/>
        <w:spacing w:after="0" w:line="286"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color w:val="auto"/>
        </w:rPr>
        <w:t>FAT1 and NOTCH genes are associated with tumor suppression. Inactivating mutations in the FAT1 and NOTCH genes occur in sizeable subsets of HPV negative HNSCC tumors, having been identified in 32% (FAT1) and 26% (NOTCH) of these tumors, respectively. Preclinical studies investigating the association of CDX-3379 sensitivity and inactivating mutations of FAT1 and other genes are ongoing.</w:t>
      </w:r>
    </w:p>
    <w:p>
      <w:pPr>
        <w:spacing w:after="0" w:line="16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Based on these biomarker observations and the notable clinical activity observed in this refractory patient population, the study has been expanded (n= ~45 patients, including at least 15 patients with FAT1 mutations) to allow for an evaluation of the utility of biomarkers for future patient selection. Enrollment is ongoing.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idiopathic urticaria (CIU), also known as chronic spontaneous urticaria (CSU), mast cell degranulation plays a central role in the onset and progression of the disease.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CDX-0159 is a re-engineered variant of CDX-0158, which was specifically designed to block KIT activation by disrupting both SCF binding and KIT dimerization. Preclinical and clinical data with CDX-0158 demonstrated robust inhibition of mast cell activity and decreased mast cell numbers, supporting the concept that targeting KIT can modulate mast cell activity and potentially provide clinical benefit in mast cell related diseases. CDX-0159 was re-designed to ablate Fc receptor interactions and effector function and improve its safety profile, while preserving full KIT inhibitory activity. In addition, CDX-0159 was modified to provide extended half-life following administration. We plan to initiate a Phase 1a study of CDX-0159 by year end 2019. The study is designed to evaluate the safety profile, pharmacokinetics and pharmacodynamics of single ascending doses of CDX-0159 in healthy subjects. Following completion of this study, we plan to further study CDX-0159 in CIU, a mast cell-related disease. CIU presents as itchy hives, angioedema or both for at least six weeks without a specific trigger; multiple episodes can play out over years or even decades. About 50% of patients with CIU achieve symptomatic control with antihistamines or leukotriene receptor antagonists. Omalizumab, an IgE inhibitor, provides relief for roughly half of the remaining antihistamine/leukotriene refractory patients. Consequently, there is a need for more effective later line therapies.</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review of the CDX-0159 early development program was presented at American College of Allergy, Asthma &amp; Immunology Annual Scientific Meeting in November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Varlilumab is a fully human agonist monoclonal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In an open-label Phase 1 study of varlilumab in patients with selected malignant solid tumors or hematologic cancers, varlilumab demonstrated an acceptable safety profile and induced immunologic activity in patients that is consistent with both its proposed mechanism of action. Durable, multi-year clinical benefit was demonstrated in select patients without additional anti-cancer therapy. Final results from the study in patients with solid tumors were published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xml:space="preserve"> in April 2017.</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2014, we entered into a clinical trial collaboration with Bristol-Myers Squibb, or BMS, to evaluate the safety, tolerability and preliminary efficacy of varlilumab and Opdivo, BMS’s PD-1 immune checkpoint inhibitor, in a Phase 1/2 study. The combination of varlilumab and nivolumab was generally well tolerated across indications at all varlilumab dose levels/schedules tested. Clinical data from patients with “cold” tumors with low expectation of response to checkpoint inhibition monotherapy suggested potential benefit from the combination. Uniquely in the ovarian cancer cohort, increased PD-L1 and CD8 TIL were observed in ~ 60% of patients with paired biopsy samples. Patients with increase in PD-L1 and CD8 TIL had good clinical outcome and higher doses of varlilumab trended towards better activity then lower/less frequent dosing.</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Future development is focused on the generation of a bispecific antibody that leverages our extensive experience with varlilumab and combines PD-1 blockade with a CD27 agonist. Bispecifics provide opportunities to engage two independent pathways involved in controlling immune responses to tumors. Preclinical and clinical studies support the safety and benefit of combining PD-1 blockade with a CD27 agonist. Varlilumab is also being studied in several external investigator-initiated studies.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CDX-301, a recombinant FMS-like tyrosine kinase 3 ligand, or Flt3L, is a hematopoietic cytokine that uniquely expands dendritic cells and hematopoietic stem cells, and in combination with other agents may potentiate anti-tumor responses. Depending on the setting, cells expanded by CDX-301 promote either enhanced or permissive immunity. We believe CDX-301 may hold significant opportunity for synergistic development in combination with other proprietary molecules in our portfolio, as well as with approved or investigational therapies for the treatment of cancer.</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dendritic cell and hematopoietic stem cell populations in healthy volunteers. The study was published in the journal Bone Marrow Transplantation in 2015.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CDX-301 is being used as a priming agent to potentially increase the number of cells available to respond to CDX-1140 in the ongoing Phase 1 trial of CDX-1140. CDX-301 is also in clinical development for multiple cancers in ongoing investigator-sponsored and collaborative studies, including in combination with treatments that release tumor antigens, such as radiation therapy.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2018 for a discussion of our critical accounting policies. There have been no material changes to such critical accounting policies except for the adoption of the updated lease accounting standard on January 1, 2019. We believe our most critical accounting policies include accounting for business combinations, revenue recognition, intangible and long-lived assets, research and development expenses and stock-based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with Three Months Ended September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(76)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Borders>
              <w:bottom w:val="single" w:sz="8" w:color="CCEEFF"/>
            </w:tcBorders>
            <w:gridSpan w:val="2"/>
          </w:tcPr>
          <w:p>
            <w:pPr>
              <w:spacing w:after="0"/>
              <w:rPr>
                <w:sz w:val="21"/>
                <w:szCs w:val="21"/>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(42)%</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11,101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11,918</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(817)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3,722</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02"/>
        </w:trPr>
        <w:tc>
          <w:tcPr>
            <w:tcW w:w="4820" w:type="dxa"/>
            <w:vAlign w:val="bottom"/>
          </w:tcPr>
          <w:p>
            <w:pPr>
              <w:ind w:left="200"/>
              <w:spacing w:after="0" w:line="201" w:lineRule="exact"/>
              <w:rPr>
                <w:sz w:val="20"/>
                <w:szCs w:val="20"/>
                <w:color w:val="auto"/>
              </w:rPr>
            </w:pPr>
            <w:r>
              <w:rPr>
                <w:rFonts w:ascii="Arial" w:cs="Arial" w:eastAsia="Arial" w:hAnsi="Arial"/>
                <w:sz w:val="18"/>
                <w:szCs w:val="18"/>
                <w:color w:val="auto"/>
              </w:rPr>
              <w:t>Gain on Fair Value Remeasurement of Contingent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Consideration</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(2,114)</w:t>
            </w:r>
          </w:p>
        </w:tc>
        <w:tc>
          <w:tcPr>
            <w:tcW w:w="5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(6,935)</w:t>
            </w:r>
          </w:p>
        </w:tc>
        <w:tc>
          <w:tcPr>
            <w:tcW w:w="32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(4,821)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(11,844)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$4.2 million increase in net loss for the three months ended September 30, 2019, as compared to the three months ended September 30, 2018, was primarily the result of a decrease in the gain on fair value remeasurement of contingent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$0.1 million decrease in product development and licensing agreements revenue for the three months ended September 30, 2019, as compared to the three months ended September 30, 2018, was primarily due to a decrease in revenue related to our BMS agreement as a result of the completion of our combination clinical study. The $0.3 million decrease in contracts and grants revenue for the three months ended September 30, 2019, as compared to the three months ended September 30, 2018, was primarily related to a decrease in services performed under our manufacturing and research and development agreement with Duke University. We expect revenue to decrease over the next twelve months, although there may be fluctuations on a quarterly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Increase/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(Decrease)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gridSpan w:val="3"/>
          </w:tcPr>
          <w:p>
            <w:pPr>
              <w:jc w:val="right"/>
              <w:ind w:right="499"/>
              <w:spacing w:after="0" w:line="142" w:lineRule="exact"/>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5,493</w:t>
            </w:r>
          </w:p>
        </w:tc>
        <w:tc>
          <w:tcPr>
            <w:tcW w:w="104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5,810</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(317)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1,380</w:t>
            </w:r>
          </w:p>
        </w:tc>
        <w:tc>
          <w:tcPr>
            <w:tcW w:w="10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886</w:t>
            </w:r>
          </w:p>
        </w:tc>
        <w:tc>
          <w:tcPr>
            <w:tcW w:w="880" w:type="dxa"/>
            <w:vAlign w:val="bottom"/>
          </w:tcPr>
          <w:p>
            <w:pPr>
              <w:spacing w:after="0"/>
              <w:rPr>
                <w:sz w:val="18"/>
                <w:szCs w:val="18"/>
                <w:color w:val="auto"/>
              </w:rPr>
            </w:pPr>
          </w:p>
        </w:tc>
        <w:tc>
          <w:tcPr>
            <w:tcW w:w="1160" w:type="dxa"/>
            <w:vAlign w:val="bottom"/>
          </w:tcPr>
          <w:p>
            <w:pPr>
              <w:jc w:val="right"/>
              <w:ind w:right="596"/>
              <w:spacing w:after="0"/>
              <w:rPr>
                <w:sz w:val="20"/>
                <w:szCs w:val="20"/>
                <w:color w:val="auto"/>
              </w:rPr>
            </w:pPr>
            <w:r>
              <w:rPr>
                <w:rFonts w:ascii="Arial" w:cs="Arial" w:eastAsia="Arial" w:hAnsi="Arial"/>
                <w:sz w:val="18"/>
                <w:szCs w:val="18"/>
                <w:color w:val="auto"/>
              </w:rPr>
              <w:t>494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1,709</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1,819</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1,579</w:t>
            </w:r>
          </w:p>
        </w:tc>
        <w:tc>
          <w:tcPr>
            <w:tcW w:w="104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1,764</w:t>
            </w:r>
          </w:p>
        </w:tc>
        <w:tc>
          <w:tcPr>
            <w:tcW w:w="880" w:type="dxa"/>
            <w:vAlign w:val="bottom"/>
          </w:tcPr>
          <w:p>
            <w:pPr>
              <w:spacing w:after="0"/>
              <w:rPr>
                <w:sz w:val="20"/>
                <w:szCs w:val="20"/>
                <w:color w:val="auto"/>
              </w:rPr>
            </w:pPr>
          </w:p>
        </w:tc>
        <w:tc>
          <w:tcPr>
            <w:tcW w:w="1160" w:type="dxa"/>
            <w:vAlign w:val="bottom"/>
          </w:tcPr>
          <w:p>
            <w:pPr>
              <w:jc w:val="right"/>
              <w:ind w:right="536"/>
              <w:spacing w:after="0"/>
              <w:rPr>
                <w:sz w:val="20"/>
                <w:szCs w:val="20"/>
                <w:color w:val="auto"/>
              </w:rPr>
            </w:pPr>
            <w:r>
              <w:rPr>
                <w:rFonts w:ascii="Arial" w:cs="Arial" w:eastAsia="Arial" w:hAnsi="Arial"/>
                <w:sz w:val="18"/>
                <w:szCs w:val="18"/>
                <w:color w:val="auto"/>
              </w:rPr>
              <w:t>(185)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$0.3 million decrease in personnel expenses for the three months ended September 30, 2019, as compared to the three months ended September 30, 2018, was primarily due to lower stock-based compensation expense. We expect personnel expenses to remain relatively consistent over the next twelve months, although there may be fluctuations on a quarterly basis.</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Laboratory supplies expenses include laboratory materials and supplies, services, and other related expenses incurred in the development of our technology. The $0.5 million increase in laboratory supply expenses for the three months ended September 30, 2019, as compared to the three months ended September 30, 2018, was primarily due to higher laboratory materials and supplies purchases. We expect laboratory supplies expenses to remain relatively consistent over the next twelve months, although there may be fluctuations on a quarterly basis.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$0.1 million decrease in facility expenses for the three months ended September 30, 2019, as compared to the three months ended September 30, 2018, was primarily due to lower depreciation expense. We expect facility expenses to decrease over the next twelve months as a result of the reduction in leased space in our Hampton, New Jersey facility and our decision to consolidate our Massachusetts lab and manufacturing facilities. The lease in Needham, MA will not be renewed and most functions and employees will be integrated into our Fall River, MA facility in 2020. We estimate that this consolidation along with the reduction in square footage at our Hampton, NJ facility earlier this year will decrease our facility footprint by over 35% and will save the Company over $3.5 million annually starting in the second half of 2020.</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$0.2 million decrease in product development expenses for the three months ended September 30, 2019, as compared to the three months ended September 30, 2018, was primarily due to a decrease in clinical trial expenses of $0.6 million, partially offset by an increase in contract research expenses of $0.4 million. We expect product development expenses to remain relatively consistent over the next twelve months,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$0.3 million decrease in general and administrative expenses for the three months ended September 30, 2019, as compared to the three months ended September 30, 2018, was primarily due to lower stock-based compensation expense. We expect general and administrative expenses to remain relatively consistent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$2.1 million gain on fair value remeasurement of contingent consideration for the three months ended September 30, 2019 was primarily due to updated assumptions for the varlilumab program. The $6.9 million gain on fair value remeasurement of contingent consideration for the three months ended September 30, 2018 was primarily due to lower probability that milestones related to our anti-KIT program would be triggered by the Company’s current anti-KIT program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$0.1 million decrease in investment and other income, net for the three months ended September 30, 2019, as compared to the three months ended September 30, 2018, was primarily due to lower levels of cash and investment balances. We anticipate investment income to decrease over the next twelve months due to lower levels of cash and investment balances.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with Nine Months Ended September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2,792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(2,413)</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4,982</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(2,675)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3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360" w:type="dxa"/>
            <w:vAlign w:val="bottom"/>
            <w:tcBorders>
              <w:bottom w:val="single" w:sz="8" w:color="CCEEFF"/>
            </w:tcBorders>
            <w:gridSpan w:val="2"/>
          </w:tcPr>
          <w:p>
            <w:pPr>
              <w:spacing w:after="0"/>
              <w:rPr>
                <w:sz w:val="21"/>
                <w:szCs w:val="21"/>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(65)%</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32,333</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55,242</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(22,909)</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14,936</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(2,729)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90,976</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(90,976)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Impairment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18,677</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(18,677)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Other Asset Impairment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3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02"/>
        </w:trPr>
        <w:tc>
          <w:tcPr>
            <w:tcW w:w="4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Gain on Fair Value Remeasurement of Contingent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Consideration</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(1,612)</w:t>
            </w:r>
          </w:p>
        </w:tc>
        <w:tc>
          <w:tcPr>
            <w:tcW w:w="4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(27,968)</w:t>
            </w:r>
          </w:p>
        </w:tc>
        <w:tc>
          <w:tcPr>
            <w:tcW w:w="3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(26,356)</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(224)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44,728</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(107,359)</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(42,042)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(144,313)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(102,271)</w:t>
            </w:r>
          </w:p>
        </w:tc>
        <w:tc>
          <w:tcPr>
            <w:tcW w:w="360" w:type="dxa"/>
            <w:vAlign w:val="bottom"/>
            <w:gridSpan w:val="2"/>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1,767</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(40,431)</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(142,546)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(102,115)</w:t>
            </w:r>
          </w:p>
        </w:tc>
        <w:tc>
          <w:tcPr>
            <w:tcW w:w="360" w:type="dxa"/>
            <w:vAlign w:val="bottom"/>
            <w:gridSpan w:val="2"/>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(141,781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(101,350</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$101.4 million decrease in net loss for the nine months ended September 30, 2019, as compared to the nine months ended September 30, 2018, was primarily the result of a decrease in non-cash goodwill and intangible asset impairment expense and a decrease in research and development expenses, partially offset by the decrease in gain on fair value remeasurement of contingent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$2.4 million decrease in product development and licensing agreements revenue for the nine months ended September 30, 2019, as compared to the nine months ended September 30, 2018, was primarily due to a decrease in revenue related to our BMS agreement as a result of the completion of our combination clinical study. The $2.7 million decrease in contracts and grants revenue for the nine months ended September 30, 2019, as compared to the nine months ended September 30, 2018, was primarily related to a decrease in services performed under our contract manufacturing and research and development agreements with Rockefeller University and the International AIDS Vaccine Initiative, partially offset by an increase in services performed under our manufacturing and research and development agreement with Duke University.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center"/>
              <w:ind w:left="457"/>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78"/>
              <w:spacing w:after="0"/>
              <w:rPr>
                <w:sz w:val="20"/>
                <w:szCs w:val="20"/>
                <w:color w:val="auto"/>
              </w:rPr>
            </w:pPr>
            <w:r>
              <w:rPr>
                <w:rFonts w:ascii="Arial" w:cs="Arial" w:eastAsia="Arial" w:hAnsi="Arial"/>
                <w:sz w:val="14"/>
                <w:szCs w:val="14"/>
                <w:b w:val="1"/>
                <w:bCs w:val="1"/>
                <w:color w:val="auto"/>
              </w:rPr>
              <w:t>Increase/</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457"/>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(Decrease)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7"/>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1258"/>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3"/>
          </w:tcPr>
          <w:p>
            <w:pPr>
              <w:jc w:val="right"/>
              <w:ind w:right="105"/>
              <w:spacing w:after="0" w:line="142" w:lineRule="exact"/>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16,655</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22,586</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(5,931)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Laboratory Supplies</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3,433</w:t>
            </w:r>
          </w:p>
        </w:tc>
        <w:tc>
          <w:tcPr>
            <w:tcW w:w="6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3,354</w:t>
            </w:r>
          </w:p>
        </w:tc>
        <w:tc>
          <w:tcPr>
            <w:tcW w:w="480" w:type="dxa"/>
            <w:vAlign w:val="bottom"/>
          </w:tcPr>
          <w:p>
            <w:pPr>
              <w:spacing w:after="0"/>
              <w:rPr>
                <w:sz w:val="18"/>
                <w:szCs w:val="18"/>
                <w:color w:val="auto"/>
              </w:rPr>
            </w:pPr>
          </w:p>
        </w:tc>
        <w:tc>
          <w:tcPr>
            <w:tcW w:w="1560" w:type="dxa"/>
            <w:vAlign w:val="bottom"/>
          </w:tcPr>
          <w:p>
            <w:pPr>
              <w:jc w:val="right"/>
              <w:ind w:right="598"/>
              <w:spacing w:after="0"/>
              <w:rPr>
                <w:sz w:val="20"/>
                <w:szCs w:val="20"/>
                <w:color w:val="auto"/>
              </w:rPr>
            </w:pPr>
            <w:r>
              <w:rPr>
                <w:rFonts w:ascii="Arial" w:cs="Arial" w:eastAsia="Arial" w:hAnsi="Arial"/>
                <w:sz w:val="18"/>
                <w:szCs w:val="18"/>
                <w:color w:val="auto"/>
              </w:rPr>
              <w:t>79</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5,164</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5,901</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(737)</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Product Development</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4,101</w:t>
            </w:r>
          </w:p>
        </w:tc>
        <w:tc>
          <w:tcPr>
            <w:tcW w:w="6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16,689</w:t>
            </w:r>
          </w:p>
        </w:tc>
        <w:tc>
          <w:tcPr>
            <w:tcW w:w="480" w:type="dxa"/>
            <w:vAlign w:val="bottom"/>
          </w:tcPr>
          <w:p>
            <w:pPr>
              <w:spacing w:after="0"/>
              <w:rPr>
                <w:sz w:val="20"/>
                <w:szCs w:val="20"/>
                <w:color w:val="auto"/>
              </w:rPr>
            </w:pPr>
          </w:p>
        </w:tc>
        <w:tc>
          <w:tcPr>
            <w:tcW w:w="1560" w:type="dxa"/>
            <w:vAlign w:val="bottom"/>
          </w:tcPr>
          <w:p>
            <w:pPr>
              <w:jc w:val="right"/>
              <w:ind w:right="538"/>
              <w:spacing w:after="0"/>
              <w:rPr>
                <w:sz w:val="20"/>
                <w:szCs w:val="20"/>
                <w:color w:val="auto"/>
              </w:rPr>
            </w:pPr>
            <w:r>
              <w:rPr>
                <w:rFonts w:ascii="Arial" w:cs="Arial" w:eastAsia="Arial" w:hAnsi="Arial"/>
                <w:sz w:val="18"/>
                <w:szCs w:val="18"/>
                <w:color w:val="auto"/>
              </w:rPr>
              <w:t>(12,588)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0"/>
                <w:szCs w:val="20"/>
                <w:color w:val="auto"/>
              </w:rPr>
            </w:pPr>
          </w:p>
        </w:tc>
      </w:tr>
      <w:tr>
        <w:trPr>
          <w:trHeight w:val="418"/>
        </w:trPr>
        <w:tc>
          <w:tcPr>
            <w:tcW w:w="3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37"/>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20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$5.9 million decrease in personnel expenses for the nine months ended September 30, 2019, as compared to the nine months ended September 30, 2018, was primarily due to a decrease in headcount, lower stock-based compensation expense and lower severance expense related to the workforce reduction that occurred in the second quarter of 2018 as a result of the discontinuation of the Glemba program.</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$0.1 million increase in laboratory supply expenses for the nine months ended September 30, 2019, as compared to the nine months ended September 30, 2018, was primarily due to higher laboratory materials and supplies purchases.</w:t>
      </w:r>
    </w:p>
    <w:p>
      <w:pPr>
        <w:spacing w:after="0" w:line="181"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$0.7 million decrease in facility expenses for the nine months ended September 30, 2019, as compared to the nine months ended September 30, 2018, was primarily due to lower depreciation expense.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$12.6 million decrease in product development expenses for the nine months ended September 30, 2019, as compared to the nine months ended September 30, 2018, was primarily due to a decrease in clinical trial expenses of $7.8 million and a decrease in contract manufacturing expenses of $4.1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$2.7 million decrease in general and administrative expenses for the nine months ended September 30, 2019, as compared to the nine months ended September 30, 2018, was primarily due to a decrease in headcount, lower commercial planning costs and lower lease restructuring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 Impairment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concluded that the Company’s investment in an undisclosed private company was impaired as a result of a deterioration in the private company’s financial condition and recorded a non-cash impairment charge of $1.8 million during the first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$1.6 million gain on fair value remeasurement of contingent consideration for the nine months ended September 30, 2019 was primarily due to changes in discount rates, the passage of time and updated assumptions for the varlilumab program. The $28.0 million gain on fair value remeasurement of contingent consideration for the nine months ended September 30, 2018 was due to discontinuation of the Glemba and CDX-014 programs, updated assumptions for the varlilumab program, and lower probability that milestones related to our anti-KIT program would be triggered by the Company’s current anti-KIT program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decrease in amortization expense for the nine months ended September 30, 2019, as compared to the nine months ended September 30, 2018, was the result of impairing the remaining balance of our intangible assets subject to amortization during the first quarter of 2018 due to the discontinuation of the Glemba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$0.2 million decrease in investment and other income, net for the nine months ended September 30, 2019, as compared to the nine months ended September 30, 2018, was primarily due to lower other income related to our sale of New Jersey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6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At September 30, 2019, our principal sources of liquidity consisted of cash, cash equivalents and marketable securities of $72.9 million. We have had recurring losses and incurred a loss of $40.4 million for the nine months ended September 30, 2019. Net cash used in operations for the nine months ended September 30, 2019 was $35.4 million. We believe that the cash, cash equivalents and marketable securities at September 30, 2019, combined with the anticipated proceeds from future sales of our common stock under the Cantor agreement, are sufficient to meet estimated working capital requirements and fund planned operations through 2020, although there is no assurance that future sales under the Cantor agreement will occur. This could be impacted if we elected to pay Kolltan contingent milestones, if any, in cash.</w:t>
      </w:r>
    </w:p>
    <w:p>
      <w:pPr>
        <w:spacing w:after="0" w:line="17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operating activities was $35.4 million for the nine months ended September 30, 2019 as compared to $59.8 million for the nine months ended September 30, 2018. The decrease in net cash used in operating activities was primarily due to decreases in both general and administrative and research and development expenses. We expect that cash used in operating activities will remain relatively consistent over the next twelve months, although there may be fluctuations on a quarterly basis.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Net cash provided by investing activities was $13.9 million for the nine months ended September 30, 2019 as compared to $26.5 million for the nine months ended September 30, 2018. The decrease in net cash provided by investing activities was primarily due to net sales and maturities of marketable securities for the nine months ended September 30, 2019 of $14.5 million as compared to $26.8 million for the nine months ended September 30,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cash provided by financing activities was $13.8 million for the nine months ended September 30, 2019 as compared to $25.9 million for the nine months ended September 30, 2018. Net proceeds from stock issuances pursuant to employee benefit plans were $0.0 million during the nine months ended September 30, 2019 as compared to $0.4 million for the nine months ended September 30,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nine months ended September 30, 2019, we issued 3.9 million shares of common stock under this controlled equity offering sales agreement with Cantor resulting in net proceeds of $13.8 million after deducting commission and offering expenses. At September 30, 2019, we had $23.2 million remaining in aggregate gross offering price available under the Cantor agreement. In October 2019, we issued 0.2 million shares of its common stock resulting in net proceeds to us of $0.5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2018 which was filed with the SEC on March 7, 2019 have not materially changed since we filed that report.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March 2019, the Company amended its Hampton, New Jersey lease to eliminate 16,200 square feet of space and extend the remaining 33,400 square feet of space for an additional five-year term with an early termination option after three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 fair value at September 30, 2019 due to the short-term maturities of these instruments.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2019,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2019.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2019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2018,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120" w:firstLine="690"/>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7,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included herewith and are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960" w:type="dxa"/>
            <w:vAlign w:val="bottom"/>
            <w:gridSpan w:val="3"/>
          </w:tcPr>
          <w:p>
            <w:pPr>
              <w:ind w:left="1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4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4"/>
          </w:tcPr>
          <w:p>
            <w:pPr>
              <w:spacing w:after="0" w:line="170" w:lineRule="exact"/>
              <w:rPr>
                <w:rFonts w:ascii="Arial" w:cs="Arial" w:eastAsia="Arial" w:hAnsi="Arial"/>
                <w:sz w:val="18"/>
                <w:szCs w:val="18"/>
                <w:color w:val="0000EE"/>
              </w:rPr>
            </w:pPr>
            <w:hyperlink w:anchor="page31">
              <w:r>
                <w:rPr>
                  <w:rFonts w:ascii="Arial" w:cs="Arial" w:eastAsia="Arial" w:hAnsi="Arial"/>
                  <w:sz w:val="18"/>
                  <w:szCs w:val="18"/>
                  <w:color w:val="0000EE"/>
                </w:rPr>
                <w:t>Certification of President and Chief Executive Officer</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 of Senior Vice President and Chief Financial Officer</w:t>
              </w:r>
            </w:hyperlink>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4720" w:type="dxa"/>
            <w:vAlign w:val="bottom"/>
            <w:tcBorders>
              <w:top w:val="single" w:sz="8" w:color="0000EE"/>
            </w:tcBorders>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Section 1350 Certifications</w:t>
              </w:r>
            </w:hyperlink>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9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1"/>
              </w:rPr>
              <w:t>XBRL Instance Document.</w:t>
            </w:r>
          </w:p>
        </w:tc>
        <w:tc>
          <w:tcPr>
            <w:tcW w:w="7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60" w:hanging="728"/>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00" w:hanging="6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12, 2019</w:t>
      </w:r>
      <w:r>
        <w:rPr>
          <w:sz w:val="20"/>
          <w:szCs w:val="20"/>
          <w:color w:val="auto"/>
        </w:rPr>
        <w:tab/>
      </w:r>
      <w:r>
        <w:rPr>
          <w:rFonts w:ascii="Arial" w:cs="Arial" w:eastAsia="Arial" w:hAnsi="Arial"/>
          <w:sz w:val="17"/>
          <w:szCs w:val="17"/>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SAM MARTIN</w:t>
      </w:r>
    </w:p>
    <w:p>
      <w:pPr>
        <w:spacing w:after="0" w:line="2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12, 2019</w:t>
      </w:r>
      <w:r>
        <w:rPr>
          <w:sz w:val="20"/>
          <w:szCs w:val="20"/>
          <w:color w:val="auto"/>
        </w:rPr>
        <w:tab/>
      </w:r>
      <w:r>
        <w:rPr>
          <w:rFonts w:ascii="Arial" w:cs="Arial" w:eastAsia="Arial" w:hAnsi="Arial"/>
          <w:sz w:val="16"/>
          <w:szCs w:val="16"/>
          <w:color w:val="auto"/>
        </w:rPr>
        <w:t>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12, 2019</w:t>
            </w:r>
          </w:p>
        </w:tc>
        <w:tc>
          <w:tcPr>
            <w:tcW w:w="2860" w:type="dxa"/>
            <w:vAlign w:val="bottom"/>
          </w:tcPr>
          <w:p>
            <w:pPr>
              <w:ind w:left="20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86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860" w:type="dxa"/>
            <w:vAlign w:val="bottom"/>
          </w:tcPr>
          <w:p>
            <w:pPr>
              <w:ind w:left="20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860" w:type="dxa"/>
            <w:vAlign w:val="bottom"/>
          </w:tcPr>
          <w:p>
            <w:pPr>
              <w:jc w:val="right"/>
              <w:ind w:right="790"/>
              <w:spacing w:after="0"/>
              <w:rPr>
                <w:sz w:val="20"/>
                <w:szCs w:val="20"/>
                <w:color w:val="auto"/>
              </w:rPr>
            </w:pPr>
            <w:r>
              <w:rPr>
                <w:rFonts w:ascii="Arial" w:cs="Arial" w:eastAsia="Arial" w:hAnsi="Arial"/>
                <w:sz w:val="18"/>
                <w:szCs w:val="18"/>
                <w:color w:val="auto"/>
              </w:rPr>
              <w:t>1</w:t>
            </w: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12, 2019</w:t>
            </w:r>
          </w:p>
        </w:tc>
        <w:tc>
          <w:tcPr>
            <w:tcW w:w="2920" w:type="dxa"/>
            <w:vAlign w:val="bottom"/>
          </w:tcPr>
          <w:p>
            <w:pPr>
              <w:ind w:left="20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92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Sam Martin</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920" w:type="dxa"/>
            <w:vAlign w:val="bottom"/>
          </w:tcPr>
          <w:p>
            <w:pPr>
              <w:jc w:val="right"/>
              <w:ind w:right="850"/>
              <w:spacing w:after="0"/>
              <w:rPr>
                <w:sz w:val="20"/>
                <w:szCs w:val="20"/>
                <w:color w:val="auto"/>
              </w:rPr>
            </w:pPr>
            <w:r>
              <w:rPr>
                <w:rFonts w:ascii="Arial" w:cs="Arial" w:eastAsia="Arial" w:hAnsi="Arial"/>
                <w:sz w:val="18"/>
                <w:szCs w:val="18"/>
                <w:color w:val="auto"/>
              </w:rPr>
              <w:t>1</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November 12, 2019</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860" w:type="dxa"/>
            <w:vAlign w:val="bottom"/>
          </w:tcPr>
          <w:p>
            <w:pPr>
              <w:spacing w:after="0"/>
              <w:rPr>
                <w:sz w:val="16"/>
                <w:szCs w:val="16"/>
                <w:color w:val="auto"/>
              </w:rPr>
            </w:pPr>
          </w:p>
        </w:tc>
        <w:tc>
          <w:tcPr>
            <w:tcW w:w="28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86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 November 12, 2019</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860" w:type="dxa"/>
            <w:vAlign w:val="bottom"/>
          </w:tcPr>
          <w:p>
            <w:pPr>
              <w:spacing w:after="0"/>
              <w:rPr>
                <w:sz w:val="16"/>
                <w:szCs w:val="16"/>
                <w:color w:val="auto"/>
              </w:rPr>
            </w:pPr>
          </w:p>
        </w:tc>
        <w:tc>
          <w:tcPr>
            <w:tcW w:w="28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86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2019-12-28T01:59:24Z</dcterms:created>
  <dcterms:modified xsi:type="dcterms:W3CDTF">2019-12-28T01:59:24Z</dcterms:modified>
</cp:coreProperties>
</file>