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13" w:lineRule="exact"/>
        <w:rPr>
          <w:sz w:val="24"/>
          <w:szCs w:val="24"/>
          <w:color w:val="auto"/>
        </w:rPr>
      </w:pPr>
    </w:p>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190" w:lineRule="exact"/>
        <w:rPr>
          <w:sz w:val="24"/>
          <w:szCs w:val="24"/>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396875</wp:posOffset>
            </wp:positionV>
            <wp:extent cx="725678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780" cy="40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UNITED STATES</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186"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FORM 10-K</w:t>
      </w:r>
    </w:p>
    <w:p>
      <w:pPr>
        <w:spacing w:after="0" w:line="212"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(Mark one)</w:t>
      </w:r>
    </w:p>
    <w:p>
      <w:pPr>
        <w:spacing w:after="0" w:line="241" w:lineRule="exact"/>
        <w:rPr>
          <w:sz w:val="24"/>
          <w:szCs w:val="24"/>
          <w:color w:val="auto"/>
        </w:rPr>
      </w:pPr>
    </w:p>
    <w:p>
      <w:pPr>
        <w:ind w:left="1140" w:right="4260" w:hanging="721"/>
        <w:spacing w:after="0" w:line="295" w:lineRule="auto"/>
        <w:tabs>
          <w:tab w:leader="none" w:pos="11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7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fiscal year ended December 31, 2014</w:t>
      </w: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241" w:lineRule="exact"/>
        <w:rPr>
          <w:sz w:val="24"/>
          <w:szCs w:val="24"/>
          <w:color w:val="auto"/>
        </w:rPr>
      </w:pPr>
    </w:p>
    <w:p>
      <w:pPr>
        <w:ind w:left="4460" w:right="1920" w:hanging="4007"/>
        <w:spacing w:after="0" w:line="512" w:lineRule="auto"/>
        <w:tabs>
          <w:tab w:leader="none" w:pos="114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000-15006</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CELLDEX THERAPEUTICS, INC.</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tbl>
      <w:tblPr>
        <w:tblLayout w:type="fixed"/>
        <w:tblInd w:w="3700" w:type="dxa"/>
        <w:tblCellMar>
          <w:top w:w="0" w:type="dxa"/>
          <w:left w:w="0" w:type="dxa"/>
          <w:bottom w:w="0" w:type="dxa"/>
          <w:right w:w="0" w:type="dxa"/>
        </w:tblCellMar>
      </w:tblPr>
      <w:tr>
        <w:trPr>
          <w:trHeight w:val="204"/>
        </w:trPr>
        <w:tc>
          <w:tcPr>
            <w:tcW w:w="2180" w:type="dxa"/>
            <w:vAlign w:val="bottom"/>
          </w:tcPr>
          <w:p>
            <w:pPr>
              <w:jc w:val="center"/>
              <w:ind w:right="199"/>
              <w:spacing w:after="0"/>
              <w:rPr>
                <w:sz w:val="20"/>
                <w:szCs w:val="20"/>
                <w:color w:val="auto"/>
              </w:rPr>
            </w:pPr>
            <w:r>
              <w:rPr>
                <w:rFonts w:ascii="Arial" w:cs="Arial" w:eastAsia="Arial" w:hAnsi="Arial"/>
                <w:sz w:val="16"/>
                <w:szCs w:val="16"/>
                <w:b w:val="1"/>
                <w:bCs w:val="1"/>
                <w:color w:val="auto"/>
                <w:w w:val="93"/>
              </w:rPr>
              <w:t>Delaware</w:t>
            </w:r>
          </w:p>
        </w:tc>
        <w:tc>
          <w:tcPr>
            <w:tcW w:w="1500" w:type="dxa"/>
            <w:vAlign w:val="bottom"/>
          </w:tcPr>
          <w:p>
            <w:pPr>
              <w:jc w:val="center"/>
              <w:ind w:left="239"/>
              <w:spacing w:after="0"/>
              <w:rPr>
                <w:sz w:val="20"/>
                <w:szCs w:val="20"/>
                <w:color w:val="auto"/>
              </w:rPr>
            </w:pPr>
            <w:r>
              <w:rPr>
                <w:rFonts w:ascii="Arial" w:cs="Arial" w:eastAsia="Arial" w:hAnsi="Arial"/>
                <w:sz w:val="16"/>
                <w:szCs w:val="16"/>
                <w:b w:val="1"/>
                <w:bCs w:val="1"/>
                <w:color w:val="auto"/>
                <w:w w:val="91"/>
              </w:rPr>
              <w:t>13-3191702</w:t>
            </w:r>
          </w:p>
        </w:tc>
      </w:tr>
      <w:tr>
        <w:trPr>
          <w:trHeight w:val="200"/>
        </w:trPr>
        <w:tc>
          <w:tcPr>
            <w:tcW w:w="2180" w:type="dxa"/>
            <w:vAlign w:val="bottom"/>
          </w:tcPr>
          <w:p>
            <w:pPr>
              <w:jc w:val="center"/>
              <w:ind w:right="219"/>
              <w:spacing w:after="0"/>
              <w:rPr>
                <w:sz w:val="20"/>
                <w:szCs w:val="20"/>
                <w:color w:val="auto"/>
              </w:rPr>
            </w:pPr>
            <w:r>
              <w:rPr>
                <w:rFonts w:ascii="Arial" w:cs="Arial" w:eastAsia="Arial" w:hAnsi="Arial"/>
                <w:sz w:val="16"/>
                <w:szCs w:val="16"/>
                <w:color w:val="auto"/>
                <w:w w:val="93"/>
              </w:rPr>
              <w:t>(State or other jurisdiction of</w:t>
            </w:r>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5"/>
              </w:rPr>
              <w:t>(I.R.S. Employer</w:t>
            </w:r>
          </w:p>
        </w:tc>
      </w:tr>
      <w:tr>
        <w:trPr>
          <w:trHeight w:val="200"/>
        </w:trPr>
        <w:tc>
          <w:tcPr>
            <w:tcW w:w="2180" w:type="dxa"/>
            <w:vAlign w:val="bottom"/>
          </w:tcPr>
          <w:p>
            <w:pPr>
              <w:jc w:val="center"/>
              <w:ind w:right="199"/>
              <w:spacing w:after="0"/>
              <w:rPr>
                <w:sz w:val="20"/>
                <w:szCs w:val="20"/>
                <w:color w:val="auto"/>
              </w:rPr>
            </w:pPr>
            <w:r>
              <w:rPr>
                <w:rFonts w:ascii="Arial" w:cs="Arial" w:eastAsia="Arial" w:hAnsi="Arial"/>
                <w:sz w:val="16"/>
                <w:szCs w:val="16"/>
                <w:color w:val="auto"/>
                <w:w w:val="95"/>
              </w:rPr>
              <w:t>incorporation or</w:t>
            </w:r>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6"/>
              </w:rPr>
              <w:t>Identification No.)</w:t>
            </w:r>
          </w:p>
        </w:tc>
      </w:tr>
      <w:tr>
        <w:trPr>
          <w:trHeight w:val="207"/>
        </w:trPr>
        <w:tc>
          <w:tcPr>
            <w:tcW w:w="2180" w:type="dxa"/>
            <w:vAlign w:val="bottom"/>
          </w:tcPr>
          <w:p>
            <w:pPr>
              <w:jc w:val="center"/>
              <w:ind w:right="199"/>
              <w:spacing w:after="0"/>
              <w:rPr>
                <w:sz w:val="20"/>
                <w:szCs w:val="20"/>
                <w:color w:val="auto"/>
              </w:rPr>
            </w:pPr>
            <w:r>
              <w:rPr>
                <w:rFonts w:ascii="Arial" w:cs="Arial" w:eastAsia="Arial" w:hAnsi="Arial"/>
                <w:sz w:val="16"/>
                <w:szCs w:val="16"/>
                <w:color w:val="auto"/>
                <w:w w:val="92"/>
              </w:rPr>
              <w:t>organization)</w:t>
            </w:r>
          </w:p>
        </w:tc>
        <w:tc>
          <w:tcPr>
            <w:tcW w:w="1500" w:type="dxa"/>
            <w:vAlign w:val="bottom"/>
          </w:tcPr>
          <w:p>
            <w:pPr>
              <w:spacing w:after="0"/>
              <w:rPr>
                <w:sz w:val="17"/>
                <w:szCs w:val="17"/>
                <w:color w:val="auto"/>
              </w:rPr>
            </w:pPr>
          </w:p>
        </w:tc>
      </w:tr>
    </w:tbl>
    <w:p>
      <w:pPr>
        <w:spacing w:after="0" w:line="18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Perryville III Building, 53 Frontage Road, Suite 220, Hampton, New Jersey 08827</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offices) (Zip Code)</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(908) 200-7500</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0" w:lineRule="exact"/>
        <w:rPr>
          <w:sz w:val="24"/>
          <w:szCs w:val="24"/>
          <w:color w:val="auto"/>
        </w:rPr>
      </w:pPr>
    </w:p>
    <w:tbl>
      <w:tblPr>
        <w:tblLayout w:type="fixed"/>
        <w:tblInd w:w="36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80" w:type="dxa"/>
            <w:vAlign w:val="bottom"/>
          </w:tcPr>
          <w:p>
            <w:pPr>
              <w:jc w:val="center"/>
              <w:ind w:left="111"/>
              <w:spacing w:after="0"/>
              <w:rPr>
                <w:sz w:val="20"/>
                <w:szCs w:val="20"/>
                <w:color w:val="auto"/>
              </w:rPr>
            </w:pPr>
            <w:r>
              <w:rPr>
                <w:rFonts w:ascii="Arial" w:cs="Arial" w:eastAsia="Arial" w:hAnsi="Arial"/>
                <w:sz w:val="13"/>
                <w:szCs w:val="13"/>
                <w:b w:val="1"/>
                <w:bCs w:val="1"/>
                <w:color w:val="auto"/>
                <w:w w:val="87"/>
              </w:rPr>
              <w:t>Name of Each Exchange on Which</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50"/>
        </w:trPr>
        <w:tc>
          <w:tcPr>
            <w:tcW w:w="2320" w:type="dxa"/>
            <w:vAlign w:val="bottom"/>
          </w:tcPr>
          <w:p>
            <w:pPr>
              <w:spacing w:after="0"/>
              <w:rPr>
                <w:sz w:val="13"/>
                <w:szCs w:val="13"/>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Title of Class:</w:t>
            </w:r>
          </w:p>
        </w:tc>
        <w:tc>
          <w:tcPr>
            <w:tcW w:w="1120" w:type="dxa"/>
            <w:vAlign w:val="bottom"/>
          </w:tcPr>
          <w:p>
            <w:pPr>
              <w:spacing w:after="0"/>
              <w:rPr>
                <w:sz w:val="13"/>
                <w:szCs w:val="13"/>
                <w:color w:val="auto"/>
              </w:rPr>
            </w:pPr>
          </w:p>
        </w:tc>
        <w:tc>
          <w:tcPr>
            <w:tcW w:w="2280" w:type="dxa"/>
            <w:vAlign w:val="bottom"/>
            <w:tcBorders>
              <w:bottom w:val="single" w:sz="8" w:color="auto"/>
            </w:tcBorders>
          </w:tcPr>
          <w:p>
            <w:pPr>
              <w:jc w:val="center"/>
              <w:ind w:left="131"/>
              <w:spacing w:after="0"/>
              <w:rPr>
                <w:sz w:val="20"/>
                <w:szCs w:val="20"/>
                <w:color w:val="auto"/>
              </w:rPr>
            </w:pPr>
            <w:r>
              <w:rPr>
                <w:rFonts w:ascii="Arial" w:cs="Arial" w:eastAsia="Arial" w:hAnsi="Arial"/>
                <w:sz w:val="13"/>
                <w:szCs w:val="13"/>
                <w:b w:val="1"/>
                <w:bCs w:val="1"/>
                <w:color w:val="auto"/>
                <w:w w:val="83"/>
              </w:rPr>
              <w:t>Registered:</w:t>
            </w:r>
          </w:p>
        </w:tc>
        <w:tc>
          <w:tcPr>
            <w:tcW w:w="2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199"/>
        </w:trPr>
        <w:tc>
          <w:tcPr>
            <w:tcW w:w="232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Arial" w:cs="Arial" w:eastAsia="Arial" w:hAnsi="Arial"/>
                <w:sz w:val="16"/>
                <w:szCs w:val="16"/>
                <w:color w:val="auto"/>
                <w:w w:val="91"/>
              </w:rPr>
              <w:t>Common Stock, par value $.001</w:t>
            </w:r>
          </w:p>
        </w:tc>
        <w:tc>
          <w:tcPr>
            <w:tcW w:w="1120" w:type="dxa"/>
            <w:vAlign w:val="bottom"/>
          </w:tcPr>
          <w:p>
            <w:pPr>
              <w:spacing w:after="0"/>
              <w:rPr>
                <w:sz w:val="17"/>
                <w:szCs w:val="17"/>
                <w:color w:val="auto"/>
              </w:rPr>
            </w:pPr>
          </w:p>
        </w:tc>
        <w:tc>
          <w:tcPr>
            <w:tcW w:w="2280" w:type="dxa"/>
            <w:vAlign w:val="bottom"/>
          </w:tcPr>
          <w:p>
            <w:pPr>
              <w:jc w:val="center"/>
              <w:ind w:left="111"/>
              <w:spacing w:after="0"/>
              <w:rPr>
                <w:sz w:val="20"/>
                <w:szCs w:val="20"/>
                <w:color w:val="auto"/>
              </w:rPr>
            </w:pPr>
            <w:r>
              <w:rPr>
                <w:rFonts w:ascii="Arial" w:cs="Arial" w:eastAsia="Arial" w:hAnsi="Arial"/>
                <w:sz w:val="16"/>
                <w:szCs w:val="16"/>
                <w:color w:val="auto"/>
                <w:w w:val="96"/>
              </w:rPr>
              <w:t>NASDAQ Global Market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91"/>
        </w:trPr>
        <w:tc>
          <w:tcPr>
            <w:tcW w:w="2320" w:type="dxa"/>
            <w:vAlign w:val="bottom"/>
          </w:tcPr>
          <w:p>
            <w:pPr>
              <w:spacing w:after="0"/>
              <w:rPr>
                <w:sz w:val="24"/>
                <w:szCs w:val="24"/>
                <w:color w:val="auto"/>
              </w:rPr>
            </w:pPr>
          </w:p>
        </w:tc>
        <w:tc>
          <w:tcPr>
            <w:tcW w:w="5880" w:type="dxa"/>
            <w:vAlign w:val="bottom"/>
            <w:gridSpan w:val="3"/>
          </w:tcPr>
          <w:p>
            <w:pPr>
              <w:ind w:left="96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8"/>
        </w:trPr>
        <w:tc>
          <w:tcPr>
            <w:tcW w:w="8200" w:type="dxa"/>
            <w:vAlign w:val="bottom"/>
            <w:gridSpan w:val="4"/>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3"/>
              </w:rPr>
              <w:t>☒</w:t>
            </w:r>
          </w:p>
        </w:tc>
        <w:tc>
          <w:tcPr>
            <w:tcW w:w="520" w:type="dxa"/>
            <w:vAlign w:val="bottom"/>
            <w:gridSpan w:val="2"/>
          </w:tcPr>
          <w:p>
            <w:pPr>
              <w:ind w:left="60"/>
              <w:spacing w:after="0"/>
              <w:rPr>
                <w:sz w:val="20"/>
                <w:szCs w:val="20"/>
                <w:color w:val="auto"/>
              </w:rPr>
            </w:pPr>
            <w:r>
              <w:rPr>
                <w:rFonts w:ascii="Arial" w:cs="Arial" w:eastAsia="Arial" w:hAnsi="Arial"/>
                <w:sz w:val="16"/>
                <w:szCs w:val="16"/>
                <w:color w:val="auto"/>
              </w:rPr>
              <w:t>No o</w:t>
            </w:r>
          </w:p>
        </w:tc>
      </w:tr>
      <w:tr>
        <w:trPr>
          <w:trHeight w:val="400"/>
        </w:trPr>
        <w:tc>
          <w:tcPr>
            <w:tcW w:w="8200" w:type="dxa"/>
            <w:vAlign w:val="bottom"/>
            <w:gridSpan w:val="4"/>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 Yes o</w:t>
            </w:r>
          </w:p>
        </w:tc>
        <w:tc>
          <w:tcPr>
            <w:tcW w:w="520" w:type="dxa"/>
            <w:vAlign w:val="bottom"/>
            <w:gridSpan w:val="2"/>
          </w:tcPr>
          <w:p>
            <w:pPr>
              <w:ind w:left="120"/>
              <w:spacing w:after="0" w:line="184" w:lineRule="exact"/>
              <w:rPr>
                <w:sz w:val="20"/>
                <w:szCs w:val="20"/>
                <w:color w:val="auto"/>
              </w:rPr>
            </w:pPr>
            <w:r>
              <w:rPr>
                <w:rFonts w:ascii="Arial" w:cs="Arial" w:eastAsia="Arial" w:hAnsi="Arial"/>
                <w:sz w:val="16"/>
                <w:szCs w:val="16"/>
                <w:color w:val="auto"/>
                <w:w w:val="92"/>
              </w:rPr>
              <w:t xml:space="preserve">No </w:t>
            </w:r>
            <w:r>
              <w:rPr>
                <w:rFonts w:ascii="MS PGothic" w:cs="MS PGothic" w:eastAsia="MS PGothic" w:hAnsi="MS PGothic"/>
                <w:sz w:val="16"/>
                <w:szCs w:val="16"/>
                <w:color w:val="auto"/>
                <w:w w:val="92"/>
              </w:rPr>
              <w:t>☒</w:t>
            </w:r>
          </w:p>
        </w:tc>
      </w:tr>
    </w:tbl>
    <w:p>
      <w:pPr>
        <w:spacing w:after="0" w:line="175" w:lineRule="exact"/>
        <w:rPr>
          <w:sz w:val="24"/>
          <w:szCs w:val="24"/>
          <w:color w:val="auto"/>
        </w:rPr>
      </w:pPr>
    </w:p>
    <w:p>
      <w:pPr>
        <w:ind w:right="360" w:firstLine="366"/>
        <w:spacing w:after="0" w:line="30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tabs>
          <w:tab w:leader="none" w:pos="1140" w:val="left"/>
        </w:tabs>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 o</w:t>
      </w:r>
    </w:p>
    <w:p>
      <w:pPr>
        <w:spacing w:after="0" w:line="209" w:lineRule="exact"/>
        <w:rPr>
          <w:sz w:val="24"/>
          <w:szCs w:val="24"/>
          <w:color w:val="auto"/>
        </w:rPr>
      </w:pPr>
    </w:p>
    <w:p>
      <w:pPr>
        <w:ind w:right="300" w:firstLine="366"/>
        <w:spacing w:after="0" w:line="208"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77" w:lineRule="exact"/>
        <w:rPr>
          <w:sz w:val="24"/>
          <w:szCs w:val="24"/>
          <w:color w:val="auto"/>
        </w:rPr>
      </w:pPr>
    </w:p>
    <w:p>
      <w:pPr>
        <w:ind w:firstLine="366"/>
        <w:spacing w:after="0" w:line="208"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77" w:lineRule="exact"/>
        <w:rPr>
          <w:sz w:val="24"/>
          <w:szCs w:val="24"/>
          <w:color w:val="auto"/>
        </w:rPr>
      </w:pPr>
    </w:p>
    <w:p>
      <w:pPr>
        <w:ind w:right="180" w:firstLine="366"/>
        <w:spacing w:after="0" w:line="29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60"/>
          </w:cols>
          <w:pgMar w:left="240" w:top="643" w:right="299" w:bottom="0" w:gutter="0" w:footer="0" w:header="0"/>
        </w:sectPr>
      </w:pPr>
    </w:p>
    <w:p>
      <w:pPr>
        <w:spacing w:after="0" w:line="126" w:lineRule="exact"/>
        <w:rPr>
          <w:sz w:val="24"/>
          <w:szCs w:val="24"/>
          <w:color w:val="auto"/>
        </w:rPr>
      </w:pPr>
    </w:p>
    <w:p>
      <w:pPr>
        <w:ind w:left="4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37" w:lineRule="exact"/>
        <w:rPr>
          <w:sz w:val="24"/>
          <w:szCs w:val="24"/>
          <w:color w:val="auto"/>
        </w:rPr>
      </w:pPr>
    </w:p>
    <w:p>
      <w:pPr>
        <w:sectPr>
          <w:pgSz w:w="11900" w:h="16838" w:orient="portrait"/>
          <w:cols w:equalWidth="0" w:num="4">
            <w:col w:w="2540" w:space="720"/>
            <w:col w:w="1880" w:space="720"/>
            <w:col w:w="2340" w:space="720"/>
            <w:col w:w="2440"/>
          </w:cols>
          <w:pgMar w:left="240" w:top="643" w:right="299" w:bottom="0" w:gutter="0" w:footer="0" w:header="0"/>
          <w:type w:val="continuous"/>
        </w:sectPr>
      </w:pPr>
    </w:p>
    <w:p>
      <w:pPr>
        <w:jc w:val="center"/>
        <w:ind w:left="1780"/>
        <w:spacing w:after="0"/>
        <w:rPr>
          <w:sz w:val="20"/>
          <w:szCs w:val="20"/>
          <w:color w:val="auto"/>
        </w:rPr>
      </w:pPr>
      <w:r>
        <w:rPr>
          <w:rFonts w:ascii="Arial" w:cs="Arial" w:eastAsia="Arial" w:hAnsi="Arial"/>
          <w:sz w:val="13"/>
          <w:szCs w:val="13"/>
          <w:color w:val="auto"/>
        </w:rPr>
        <w:t>(Do not check if a</w:t>
      </w:r>
    </w:p>
    <w:p>
      <w:pPr>
        <w:jc w:val="center"/>
        <w:ind w:left="1780"/>
        <w:spacing w:after="0"/>
        <w:rPr>
          <w:sz w:val="20"/>
          <w:szCs w:val="20"/>
          <w:color w:val="auto"/>
        </w:rPr>
      </w:pPr>
      <w:r>
        <w:rPr>
          <w:rFonts w:ascii="Arial" w:cs="Arial" w:eastAsia="Arial" w:hAnsi="Arial"/>
          <w:sz w:val="11"/>
          <w:szCs w:val="11"/>
          <w:color w:val="auto"/>
        </w:rPr>
        <w:t>smaller reporting company)</w:t>
      </w:r>
    </w:p>
    <w:p>
      <w:pPr>
        <w:sectPr>
          <w:pgSz w:w="11900" w:h="16838" w:orient="portrait"/>
          <w:cols w:equalWidth="0" w:num="1">
            <w:col w:w="11360"/>
          </w:cols>
          <w:pgMar w:left="240" w:top="643" w:right="299" w:bottom="0" w:gutter="0" w:footer="0" w:header="0"/>
          <w:type w:val="continuous"/>
        </w:sectPr>
      </w:pPr>
    </w:p>
    <w:p>
      <w:pPr>
        <w:spacing w:after="0" w:line="201"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30" w:lineRule="exact"/>
        <w:rPr>
          <w:sz w:val="24"/>
          <w:szCs w:val="24"/>
          <w:color w:val="auto"/>
        </w:rPr>
      </w:pPr>
    </w:p>
    <w:p>
      <w:pPr>
        <w:sectPr>
          <w:pgSz w:w="11900" w:h="16838" w:orient="portrait"/>
          <w:cols w:equalWidth="0" w:num="2">
            <w:col w:w="7460" w:space="160"/>
            <w:col w:w="3740"/>
          </w:cols>
          <w:pgMar w:left="240" w:top="643" w:right="299" w:bottom="0" w:gutter="0" w:footer="0" w:header="0"/>
          <w:type w:val="continuous"/>
        </w:sectPr>
      </w:pPr>
    </w:p>
    <w:p>
      <w:pPr>
        <w:spacing w:after="0" w:line="39" w:lineRule="exact"/>
        <w:rPr>
          <w:sz w:val="24"/>
          <w:szCs w:val="24"/>
          <w:color w:val="auto"/>
        </w:rPr>
      </w:pPr>
    </w:p>
    <w:p>
      <w:pPr>
        <w:jc w:val="both"/>
        <w:ind w:right="100" w:firstLine="363"/>
        <w:spacing w:after="0" w:line="275" w:lineRule="auto"/>
        <w:rPr>
          <w:sz w:val="20"/>
          <w:szCs w:val="20"/>
          <w:color w:val="auto"/>
        </w:rPr>
      </w:pPr>
      <w:r>
        <w:rPr>
          <w:rFonts w:ascii="Arial" w:cs="Arial" w:eastAsia="Arial" w:hAnsi="Arial"/>
          <w:sz w:val="16"/>
          <w:szCs w:val="16"/>
          <w:color w:val="auto"/>
        </w:rPr>
        <w:t>The aggregate market value of the registrant's common stock held by non-affiliates as of June 30, 2014 was $1.5 billion.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168"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number of shares of common stock outstanding at February 17, 2015 was 89,608,606 shares.</w:t>
      </w:r>
    </w:p>
    <w:p>
      <w:pPr>
        <w:sectPr>
          <w:pgSz w:w="11900" w:h="16838" w:orient="portrait"/>
          <w:cols w:equalWidth="0" w:num="1">
            <w:col w:w="11360"/>
          </w:cols>
          <w:pgMar w:left="240" w:top="643" w:right="299" w:bottom="0" w:gutter="0" w:footer="0" w:header="0"/>
          <w:type w:val="continuous"/>
        </w:sectPr>
      </w:pPr>
    </w:p>
    <w:bookmarkStart w:id="1" w:name="page2"/>
    <w:bookmarkEnd w:id="1"/>
    <w:p>
      <w:pPr>
        <w:ind w:left="34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Portions of the definitive Proxy Statement for our 2015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323850</wp:posOffset>
            </wp:positionV>
            <wp:extent cx="725678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6780" cy="40005"/>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488315</wp:posOffset>
            </wp:positionV>
            <wp:extent cx="726122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9859"/>
          </w:cols>
          <w:pgMar w:left="600" w:top="127"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00"/>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40" w:type="dxa"/>
            <w:vAlign w:val="bottom"/>
            <w:gridSpan w:val="10"/>
          </w:tcPr>
          <w:p>
            <w:pPr>
              <w:jc w:val="center"/>
              <w:ind w:right="2380"/>
              <w:spacing w:after="0"/>
              <w:rPr>
                <w:sz w:val="20"/>
                <w:szCs w:val="20"/>
                <w:color w:val="auto"/>
              </w:rPr>
            </w:pPr>
            <w:r>
              <w:rPr>
                <w:rFonts w:ascii="Arial" w:cs="Arial" w:eastAsia="Arial" w:hAnsi="Arial"/>
                <w:sz w:val="16"/>
                <w:szCs w:val="16"/>
                <w:b w:val="1"/>
                <w:bCs w:val="1"/>
                <w:color w:val="auto"/>
              </w:rPr>
              <w:t>CELLDEX THERAPEUTICS, INC.</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40" w:type="dxa"/>
            <w:vAlign w:val="bottom"/>
            <w:gridSpan w:val="10"/>
          </w:tcPr>
          <w:p>
            <w:pPr>
              <w:jc w:val="center"/>
              <w:ind w:right="2380"/>
              <w:spacing w:after="0"/>
              <w:rPr>
                <w:sz w:val="20"/>
                <w:szCs w:val="20"/>
                <w:color w:val="auto"/>
              </w:rPr>
            </w:pPr>
            <w:r>
              <w:rPr>
                <w:rFonts w:ascii="Arial" w:cs="Arial" w:eastAsia="Arial" w:hAnsi="Arial"/>
                <w:sz w:val="16"/>
                <w:szCs w:val="16"/>
                <w:b w:val="1"/>
                <w:bCs w:val="1"/>
                <w:color w:val="auto"/>
              </w:rPr>
              <w:t>ANNUAL REPORT ON FORM 10-K</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10"/>
          </w:tcPr>
          <w:p>
            <w:pPr>
              <w:jc w:val="center"/>
              <w:ind w:right="2420"/>
              <w:spacing w:after="0"/>
              <w:rPr>
                <w:sz w:val="20"/>
                <w:szCs w:val="20"/>
                <w:color w:val="auto"/>
              </w:rPr>
            </w:pPr>
            <w:r>
              <w:rPr>
                <w:rFonts w:ascii="Arial" w:cs="Arial" w:eastAsia="Arial" w:hAnsi="Arial"/>
                <w:sz w:val="16"/>
                <w:szCs w:val="16"/>
                <w:b w:val="1"/>
                <w:bCs w:val="1"/>
                <w:color w:val="auto"/>
                <w:w w:val="99"/>
              </w:rPr>
              <w:t>YEAR ENDED DECEMBER 31, 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00" w:type="dxa"/>
            <w:vAlign w:val="bottom"/>
            <w:gridSpan w:val="9"/>
          </w:tcPr>
          <w:p>
            <w:pPr>
              <w:jc w:val="center"/>
              <w:ind w:right="3160"/>
              <w:spacing w:after="0"/>
              <w:rPr>
                <w:sz w:val="20"/>
                <w:szCs w:val="20"/>
                <w:color w:val="auto"/>
              </w:rPr>
            </w:pPr>
            <w:r>
              <w:rPr>
                <w:rFonts w:ascii="Arial" w:cs="Arial" w:eastAsia="Arial" w:hAnsi="Arial"/>
                <w:sz w:val="16"/>
                <w:szCs w:val="16"/>
                <w:b w:val="1"/>
                <w:bCs w:val="1"/>
                <w:color w:val="auto"/>
              </w:rPr>
              <w:t>TABLE OF CONTENTS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480" w:type="dxa"/>
            <w:vAlign w:val="bottom"/>
            <w:gridSpan w:val="5"/>
            <w:vMerge w:val="restart"/>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Part I</w:t>
              </w:r>
            </w:hyperlink>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5"/>
        </w:trPr>
        <w:tc>
          <w:tcPr>
            <w:tcW w:w="48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6">
              <w:r>
                <w:rPr>
                  <w:rFonts w:ascii="Arial" w:cs="Arial" w:eastAsia="Arial" w:hAnsi="Arial"/>
                  <w:sz w:val="16"/>
                  <w:szCs w:val="16"/>
                  <w:color w:val="0000EE"/>
                  <w:w w:val="89"/>
                </w:rPr>
                <w:t>Item</w:t>
              </w:r>
            </w:hyperlink>
          </w:p>
        </w:tc>
        <w:tc>
          <w:tcPr>
            <w:tcW w:w="160" w:type="dxa"/>
            <w:vAlign w:val="bottom"/>
          </w:tcPr>
          <w:p>
            <w:pPr>
              <w:ind w:left="20"/>
              <w:spacing w:after="0" w:line="180" w:lineRule="exact"/>
              <w:rPr>
                <w:rFonts w:ascii="Arial" w:cs="Arial" w:eastAsia="Arial" w:hAnsi="Arial"/>
                <w:sz w:val="16"/>
                <w:szCs w:val="16"/>
                <w:color w:val="0000EE"/>
                <w:w w:val="89"/>
              </w:rPr>
            </w:pPr>
            <w:hyperlink w:anchor="page6">
              <w:r>
                <w:rPr>
                  <w:rFonts w:ascii="Arial" w:cs="Arial" w:eastAsia="Arial" w:hAnsi="Arial"/>
                  <w:sz w:val="16"/>
                  <w:szCs w:val="16"/>
                  <w:color w:val="0000EE"/>
                  <w:w w:val="89"/>
                </w:rPr>
                <w:t>1.</w:t>
              </w:r>
            </w:hyperlink>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6">
              <w:r>
                <w:rPr>
                  <w:rFonts w:ascii="Arial" w:cs="Arial" w:eastAsia="Arial" w:hAnsi="Arial"/>
                  <w:sz w:val="16"/>
                  <w:szCs w:val="16"/>
                  <w:color w:val="0000EE"/>
                </w:rPr>
                <w:t>Business</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6">
              <w:r>
                <w:rPr>
                  <w:rFonts w:ascii="Arial" w:cs="Arial" w:eastAsia="Arial" w:hAnsi="Arial"/>
                  <w:sz w:val="16"/>
                  <w:szCs w:val="16"/>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27">
              <w:r>
                <w:rPr>
                  <w:rFonts w:ascii="Arial" w:cs="Arial" w:eastAsia="Arial" w:hAnsi="Arial"/>
                  <w:sz w:val="16"/>
                  <w:szCs w:val="16"/>
                  <w:color w:val="0000EE"/>
                  <w:w w:val="89"/>
                </w:rPr>
                <w:t>Item</w:t>
              </w:r>
            </w:hyperlink>
          </w:p>
        </w:tc>
        <w:tc>
          <w:tcPr>
            <w:tcW w:w="440" w:type="dxa"/>
            <w:vAlign w:val="bottom"/>
            <w:gridSpan w:val="3"/>
          </w:tcPr>
          <w:p>
            <w:pPr>
              <w:ind w:left="20"/>
              <w:spacing w:after="0" w:line="180" w:lineRule="exact"/>
              <w:rPr>
                <w:rFonts w:ascii="Arial" w:cs="Arial" w:eastAsia="Arial" w:hAnsi="Arial"/>
                <w:sz w:val="16"/>
                <w:szCs w:val="16"/>
                <w:color w:val="0000EE"/>
              </w:rPr>
            </w:pPr>
            <w:hyperlink w:anchor="page27">
              <w:r>
                <w:rPr>
                  <w:rFonts w:ascii="Arial" w:cs="Arial" w:eastAsia="Arial" w:hAnsi="Arial"/>
                  <w:sz w:val="16"/>
                  <w:szCs w:val="16"/>
                  <w:color w:val="0000EE"/>
                </w:rPr>
                <w:t>1A.</w:t>
              </w:r>
            </w:hyperlink>
          </w:p>
        </w:tc>
        <w:tc>
          <w:tcPr>
            <w:tcW w:w="7660" w:type="dxa"/>
            <w:vAlign w:val="bottom"/>
            <w:gridSpan w:val="18"/>
          </w:tcPr>
          <w:p>
            <w:pPr>
              <w:ind w:left="180"/>
              <w:spacing w:after="0" w:line="180" w:lineRule="exact"/>
              <w:rPr>
                <w:rFonts w:ascii="Arial" w:cs="Arial" w:eastAsia="Arial" w:hAnsi="Arial"/>
                <w:sz w:val="16"/>
                <w:szCs w:val="16"/>
                <w:color w:val="0000EE"/>
              </w:rPr>
            </w:pPr>
            <w:hyperlink w:anchor="page27">
              <w:r>
                <w:rPr>
                  <w:rFonts w:ascii="Arial" w:cs="Arial" w:eastAsia="Arial" w:hAnsi="Arial"/>
                  <w:sz w:val="16"/>
                  <w:szCs w:val="16"/>
                  <w:color w:val="0000EE"/>
                </w:rPr>
                <w:t>Risk Factors</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27">
              <w:r>
                <w:rPr>
                  <w:rFonts w:ascii="Arial" w:cs="Arial" w:eastAsia="Arial" w:hAnsi="Arial"/>
                  <w:sz w:val="16"/>
                  <w:szCs w:val="16"/>
                  <w:color w:val="0000EE"/>
                </w:rPr>
                <w:t>22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47">
              <w:r>
                <w:rPr>
                  <w:rFonts w:ascii="Arial" w:cs="Arial" w:eastAsia="Arial" w:hAnsi="Arial"/>
                  <w:sz w:val="16"/>
                  <w:szCs w:val="16"/>
                  <w:color w:val="0000EE"/>
                  <w:w w:val="89"/>
                </w:rPr>
                <w:t>Item</w:t>
              </w:r>
            </w:hyperlink>
          </w:p>
        </w:tc>
        <w:tc>
          <w:tcPr>
            <w:tcW w:w="220" w:type="dxa"/>
            <w:vAlign w:val="bottom"/>
            <w:gridSpan w:val="2"/>
          </w:tcPr>
          <w:p>
            <w:pPr>
              <w:ind w:left="20"/>
              <w:spacing w:after="0"/>
              <w:rPr>
                <w:rFonts w:ascii="Arial" w:cs="Arial" w:eastAsia="Arial" w:hAnsi="Arial"/>
                <w:sz w:val="15"/>
                <w:szCs w:val="15"/>
                <w:color w:val="0000EE"/>
                <w:w w:val="70"/>
              </w:rPr>
            </w:pPr>
            <w:hyperlink w:anchor="page47">
              <w:r>
                <w:rPr>
                  <w:rFonts w:ascii="Arial" w:cs="Arial" w:eastAsia="Arial" w:hAnsi="Arial"/>
                  <w:sz w:val="15"/>
                  <w:szCs w:val="15"/>
                  <w:color w:val="0000EE"/>
                  <w:w w:val="70"/>
                </w:rPr>
                <w:t>1B.</w:t>
              </w:r>
            </w:hyperlink>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47">
              <w:r>
                <w:rPr>
                  <w:rFonts w:ascii="Arial" w:cs="Arial" w:eastAsia="Arial" w:hAnsi="Arial"/>
                  <w:sz w:val="16"/>
                  <w:szCs w:val="16"/>
                  <w:color w:val="0000EE"/>
                </w:rPr>
                <w:t>Unresolved Staff Comments</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47">
              <w:r>
                <w:rPr>
                  <w:rFonts w:ascii="Arial" w:cs="Arial" w:eastAsia="Arial" w:hAnsi="Arial"/>
                  <w:sz w:val="16"/>
                  <w:szCs w:val="16"/>
                  <w:color w:val="0000EE"/>
                </w:rPr>
                <w:t>42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48">
              <w:r>
                <w:rPr>
                  <w:rFonts w:ascii="Arial" w:cs="Arial" w:eastAsia="Arial" w:hAnsi="Arial"/>
                  <w:sz w:val="16"/>
                  <w:szCs w:val="16"/>
                  <w:color w:val="0000EE"/>
                  <w:w w:val="89"/>
                </w:rPr>
                <w:t>Item</w:t>
              </w:r>
            </w:hyperlink>
          </w:p>
        </w:tc>
        <w:tc>
          <w:tcPr>
            <w:tcW w:w="160" w:type="dxa"/>
            <w:vAlign w:val="bottom"/>
          </w:tcPr>
          <w:p>
            <w:pPr>
              <w:ind w:left="20"/>
              <w:spacing w:after="0" w:line="180" w:lineRule="exact"/>
              <w:rPr>
                <w:rFonts w:ascii="Arial" w:cs="Arial" w:eastAsia="Arial" w:hAnsi="Arial"/>
                <w:sz w:val="16"/>
                <w:szCs w:val="16"/>
                <w:color w:val="0000EE"/>
                <w:w w:val="89"/>
              </w:rPr>
            </w:pPr>
            <w:hyperlink w:anchor="page48">
              <w:r>
                <w:rPr>
                  <w:rFonts w:ascii="Arial" w:cs="Arial" w:eastAsia="Arial" w:hAnsi="Arial"/>
                  <w:sz w:val="16"/>
                  <w:szCs w:val="16"/>
                  <w:color w:val="0000EE"/>
                  <w:w w:val="89"/>
                </w:rPr>
                <w:t>2.</w:t>
              </w:r>
            </w:hyperlink>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48">
              <w:r>
                <w:rPr>
                  <w:rFonts w:ascii="Arial" w:cs="Arial" w:eastAsia="Arial" w:hAnsi="Arial"/>
                  <w:sz w:val="16"/>
                  <w:szCs w:val="16"/>
                  <w:color w:val="0000EE"/>
                </w:rPr>
                <w:t>Properties</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48">
              <w:r>
                <w:rPr>
                  <w:rFonts w:ascii="Arial" w:cs="Arial" w:eastAsia="Arial" w:hAnsi="Arial"/>
                  <w:sz w:val="16"/>
                  <w:szCs w:val="16"/>
                  <w:color w:val="0000EE"/>
                </w:rPr>
                <w:t>43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48">
              <w:r>
                <w:rPr>
                  <w:rFonts w:ascii="Arial" w:cs="Arial" w:eastAsia="Arial" w:hAnsi="Arial"/>
                  <w:sz w:val="16"/>
                  <w:szCs w:val="16"/>
                  <w:color w:val="0000EE"/>
                  <w:w w:val="89"/>
                </w:rPr>
                <w:t>Item</w:t>
              </w:r>
            </w:hyperlink>
          </w:p>
        </w:tc>
        <w:tc>
          <w:tcPr>
            <w:tcW w:w="160" w:type="dxa"/>
            <w:vAlign w:val="bottom"/>
          </w:tcPr>
          <w:p>
            <w:pPr>
              <w:ind w:left="20"/>
              <w:spacing w:after="0" w:line="180" w:lineRule="exact"/>
              <w:rPr>
                <w:rFonts w:ascii="Arial" w:cs="Arial" w:eastAsia="Arial" w:hAnsi="Arial"/>
                <w:sz w:val="16"/>
                <w:szCs w:val="16"/>
                <w:color w:val="0000EE"/>
                <w:w w:val="89"/>
              </w:rPr>
            </w:pPr>
            <w:hyperlink w:anchor="page48">
              <w:r>
                <w:rPr>
                  <w:rFonts w:ascii="Arial" w:cs="Arial" w:eastAsia="Arial" w:hAnsi="Arial"/>
                  <w:sz w:val="16"/>
                  <w:szCs w:val="16"/>
                  <w:color w:val="0000EE"/>
                  <w:w w:val="89"/>
                </w:rPr>
                <w:t>3.</w:t>
              </w:r>
            </w:hyperlink>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48">
              <w:r>
                <w:rPr>
                  <w:rFonts w:ascii="Arial" w:cs="Arial" w:eastAsia="Arial" w:hAnsi="Arial"/>
                  <w:sz w:val="16"/>
                  <w:szCs w:val="16"/>
                  <w:color w:val="0000EE"/>
                </w:rPr>
                <w:t>Legal Proceedings</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48">
              <w:r>
                <w:rPr>
                  <w:rFonts w:ascii="Arial" w:cs="Arial" w:eastAsia="Arial" w:hAnsi="Arial"/>
                  <w:sz w:val="16"/>
                  <w:szCs w:val="16"/>
                  <w:color w:val="0000EE"/>
                </w:rPr>
                <w:t>43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48">
              <w:r>
                <w:rPr>
                  <w:rFonts w:ascii="Arial" w:cs="Arial" w:eastAsia="Arial" w:hAnsi="Arial"/>
                  <w:sz w:val="16"/>
                  <w:szCs w:val="16"/>
                  <w:color w:val="0000EE"/>
                  <w:w w:val="89"/>
                </w:rPr>
                <w:t>Item</w:t>
              </w:r>
            </w:hyperlink>
          </w:p>
        </w:tc>
        <w:tc>
          <w:tcPr>
            <w:tcW w:w="160" w:type="dxa"/>
            <w:vAlign w:val="bottom"/>
          </w:tcPr>
          <w:p>
            <w:pPr>
              <w:ind w:left="20"/>
              <w:spacing w:after="0" w:line="180" w:lineRule="exact"/>
              <w:rPr>
                <w:rFonts w:ascii="Arial" w:cs="Arial" w:eastAsia="Arial" w:hAnsi="Arial"/>
                <w:sz w:val="16"/>
                <w:szCs w:val="16"/>
                <w:color w:val="0000EE"/>
                <w:w w:val="89"/>
              </w:rPr>
            </w:pPr>
            <w:hyperlink w:anchor="page48">
              <w:r>
                <w:rPr>
                  <w:rFonts w:ascii="Arial" w:cs="Arial" w:eastAsia="Arial" w:hAnsi="Arial"/>
                  <w:sz w:val="16"/>
                  <w:szCs w:val="16"/>
                  <w:color w:val="0000EE"/>
                  <w:w w:val="89"/>
                </w:rPr>
                <w:t>4.</w:t>
              </w:r>
            </w:hyperlink>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48">
              <w:r>
                <w:rPr>
                  <w:rFonts w:ascii="Arial" w:cs="Arial" w:eastAsia="Arial" w:hAnsi="Arial"/>
                  <w:sz w:val="16"/>
                  <w:szCs w:val="16"/>
                  <w:color w:val="0000EE"/>
                </w:rPr>
                <w:t>Mine Safety Disclosures</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48">
              <w:r>
                <w:rPr>
                  <w:rFonts w:ascii="Arial" w:cs="Arial" w:eastAsia="Arial" w:hAnsi="Arial"/>
                  <w:sz w:val="16"/>
                  <w:szCs w:val="16"/>
                  <w:color w:val="0000EE"/>
                </w:rPr>
                <w:t>43</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0" w:type="dxa"/>
            <w:vAlign w:val="bottom"/>
            <w:tcBorders>
              <w:bottom w:val="single" w:sz="8" w:color="0000EE"/>
            </w:tcBorders>
            <w:gridSpan w:val="3"/>
          </w:tcPr>
          <w:p>
            <w:pPr>
              <w:spacing w:after="0" w:line="180" w:lineRule="exact"/>
              <w:rPr>
                <w:rFonts w:ascii="Arial" w:cs="Arial" w:eastAsia="Arial" w:hAnsi="Arial"/>
                <w:sz w:val="16"/>
                <w:szCs w:val="16"/>
                <w:color w:val="0000EE"/>
                <w:w w:val="93"/>
              </w:rPr>
            </w:pPr>
            <w:hyperlink w:anchor="page49">
              <w:r>
                <w:rPr>
                  <w:rFonts w:ascii="Arial" w:cs="Arial" w:eastAsia="Arial" w:hAnsi="Arial"/>
                  <w:sz w:val="16"/>
                  <w:szCs w:val="16"/>
                  <w:color w:val="0000EE"/>
                  <w:w w:val="93"/>
                </w:rPr>
                <w:t>Part II</w:t>
              </w:r>
            </w:hyperlink>
          </w:p>
        </w:tc>
        <w:tc>
          <w:tcPr>
            <w:tcW w:w="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49">
              <w:r>
                <w:rPr>
                  <w:rFonts w:ascii="Arial" w:cs="Arial" w:eastAsia="Arial" w:hAnsi="Arial"/>
                  <w:sz w:val="16"/>
                  <w:szCs w:val="16"/>
                  <w:color w:val="0000EE"/>
                  <w:w w:val="89"/>
                </w:rPr>
                <w:t>Item</w:t>
              </w:r>
            </w:hyperlink>
          </w:p>
        </w:tc>
        <w:tc>
          <w:tcPr>
            <w:tcW w:w="160" w:type="dxa"/>
            <w:vAlign w:val="bottom"/>
          </w:tcPr>
          <w:p>
            <w:pPr>
              <w:ind w:left="20"/>
              <w:spacing w:after="0" w:line="180" w:lineRule="exact"/>
              <w:rPr>
                <w:rFonts w:ascii="Arial" w:cs="Arial" w:eastAsia="Arial" w:hAnsi="Arial"/>
                <w:sz w:val="16"/>
                <w:szCs w:val="16"/>
                <w:color w:val="0000EE"/>
                <w:w w:val="89"/>
              </w:rPr>
            </w:pPr>
            <w:hyperlink w:anchor="page49">
              <w:r>
                <w:rPr>
                  <w:rFonts w:ascii="Arial" w:cs="Arial" w:eastAsia="Arial" w:hAnsi="Arial"/>
                  <w:sz w:val="16"/>
                  <w:szCs w:val="16"/>
                  <w:color w:val="0000EE"/>
                  <w:w w:val="89"/>
                </w:rPr>
                <w:t>5.</w:t>
              </w:r>
            </w:hyperlink>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w w:val="94"/>
              </w:rPr>
            </w:pPr>
            <w:hyperlink w:anchor="page49">
              <w:r>
                <w:rPr>
                  <w:rFonts w:ascii="Arial" w:cs="Arial" w:eastAsia="Arial" w:hAnsi="Arial"/>
                  <w:sz w:val="16"/>
                  <w:szCs w:val="16"/>
                  <w:color w:val="0000EE"/>
                  <w:w w:val="94"/>
                </w:rPr>
                <w:t>Market for Registrant's Common Equity, Related Stockholder Matters and Issuer Purchases of Equity Securities</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49">
              <w:r>
                <w:rPr>
                  <w:rFonts w:ascii="Arial" w:cs="Arial" w:eastAsia="Arial" w:hAnsi="Arial"/>
                  <w:sz w:val="16"/>
                  <w:szCs w:val="16"/>
                  <w:color w:val="0000EE"/>
                </w:rPr>
                <w:t>44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50">
              <w:r>
                <w:rPr>
                  <w:rFonts w:ascii="Arial" w:cs="Arial" w:eastAsia="Arial" w:hAnsi="Arial"/>
                  <w:sz w:val="16"/>
                  <w:szCs w:val="16"/>
                  <w:color w:val="0000EE"/>
                  <w:w w:val="89"/>
                </w:rPr>
                <w:t>Item</w:t>
              </w:r>
            </w:hyperlink>
          </w:p>
        </w:tc>
        <w:tc>
          <w:tcPr>
            <w:tcW w:w="160" w:type="dxa"/>
            <w:vAlign w:val="bottom"/>
          </w:tcPr>
          <w:p>
            <w:pPr>
              <w:ind w:left="20"/>
              <w:spacing w:after="0" w:line="180" w:lineRule="exact"/>
              <w:rPr>
                <w:rFonts w:ascii="Arial" w:cs="Arial" w:eastAsia="Arial" w:hAnsi="Arial"/>
                <w:sz w:val="16"/>
                <w:szCs w:val="16"/>
                <w:color w:val="0000EE"/>
                <w:w w:val="89"/>
              </w:rPr>
            </w:pPr>
            <w:hyperlink w:anchor="page50">
              <w:r>
                <w:rPr>
                  <w:rFonts w:ascii="Arial" w:cs="Arial" w:eastAsia="Arial" w:hAnsi="Arial"/>
                  <w:sz w:val="16"/>
                  <w:szCs w:val="16"/>
                  <w:color w:val="0000EE"/>
                  <w:w w:val="89"/>
                </w:rPr>
                <w:t>6.</w:t>
              </w:r>
            </w:hyperlink>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50">
              <w:r>
                <w:rPr>
                  <w:rFonts w:ascii="Arial" w:cs="Arial" w:eastAsia="Arial" w:hAnsi="Arial"/>
                  <w:sz w:val="16"/>
                  <w:szCs w:val="16"/>
                  <w:color w:val="0000EE"/>
                </w:rPr>
                <w:t>Selected Financial Data</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50">
              <w:r>
                <w:rPr>
                  <w:rFonts w:ascii="Arial" w:cs="Arial" w:eastAsia="Arial" w:hAnsi="Arial"/>
                  <w:sz w:val="16"/>
                  <w:szCs w:val="16"/>
                  <w:color w:val="0000EE"/>
                </w:rPr>
                <w:t>45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52">
              <w:r>
                <w:rPr>
                  <w:rFonts w:ascii="Arial" w:cs="Arial" w:eastAsia="Arial" w:hAnsi="Arial"/>
                  <w:sz w:val="16"/>
                  <w:szCs w:val="16"/>
                  <w:color w:val="0000EE"/>
                  <w:w w:val="89"/>
                </w:rPr>
                <w:t>Item</w:t>
              </w:r>
            </w:hyperlink>
          </w:p>
        </w:tc>
        <w:tc>
          <w:tcPr>
            <w:tcW w:w="160" w:type="dxa"/>
            <w:vAlign w:val="bottom"/>
          </w:tcPr>
          <w:p>
            <w:pPr>
              <w:ind w:left="20"/>
              <w:spacing w:after="0" w:line="180" w:lineRule="exact"/>
              <w:rPr>
                <w:rFonts w:ascii="Arial" w:cs="Arial" w:eastAsia="Arial" w:hAnsi="Arial"/>
                <w:sz w:val="16"/>
                <w:szCs w:val="16"/>
                <w:color w:val="0000EE"/>
                <w:w w:val="89"/>
              </w:rPr>
            </w:pPr>
            <w:hyperlink w:anchor="page52">
              <w:r>
                <w:rPr>
                  <w:rFonts w:ascii="Arial" w:cs="Arial" w:eastAsia="Arial" w:hAnsi="Arial"/>
                  <w:sz w:val="16"/>
                  <w:szCs w:val="16"/>
                  <w:color w:val="0000EE"/>
                  <w:w w:val="89"/>
                </w:rPr>
                <w:t>7.</w:t>
              </w:r>
            </w:hyperlink>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52">
              <w:r>
                <w:rPr>
                  <w:rFonts w:ascii="Arial" w:cs="Arial" w:eastAsia="Arial" w:hAnsi="Arial"/>
                  <w:sz w:val="16"/>
                  <w:szCs w:val="16"/>
                  <w:color w:val="0000EE"/>
                </w:rPr>
                <w:t>Management's Discussion and Analysis of Financial Condition and Results of Operations</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52">
              <w:r>
                <w:rPr>
                  <w:rFonts w:ascii="Arial" w:cs="Arial" w:eastAsia="Arial" w:hAnsi="Arial"/>
                  <w:sz w:val="16"/>
                  <w:szCs w:val="16"/>
                  <w:color w:val="0000EE"/>
                </w:rPr>
                <w:t>47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71">
              <w:r>
                <w:rPr>
                  <w:rFonts w:ascii="Arial" w:cs="Arial" w:eastAsia="Arial" w:hAnsi="Arial"/>
                  <w:sz w:val="16"/>
                  <w:szCs w:val="16"/>
                  <w:color w:val="0000EE"/>
                  <w:w w:val="89"/>
                </w:rPr>
                <w:t>Item</w:t>
              </w:r>
            </w:hyperlink>
          </w:p>
        </w:tc>
        <w:tc>
          <w:tcPr>
            <w:tcW w:w="440" w:type="dxa"/>
            <w:vAlign w:val="bottom"/>
            <w:gridSpan w:val="3"/>
          </w:tcPr>
          <w:p>
            <w:pPr>
              <w:ind w:left="20"/>
              <w:spacing w:after="0" w:line="180" w:lineRule="exact"/>
              <w:rPr>
                <w:rFonts w:ascii="Arial" w:cs="Arial" w:eastAsia="Arial" w:hAnsi="Arial"/>
                <w:sz w:val="16"/>
                <w:szCs w:val="16"/>
                <w:color w:val="0000EE"/>
              </w:rPr>
            </w:pPr>
            <w:hyperlink w:anchor="page71">
              <w:r>
                <w:rPr>
                  <w:rFonts w:ascii="Arial" w:cs="Arial" w:eastAsia="Arial" w:hAnsi="Arial"/>
                  <w:sz w:val="16"/>
                  <w:szCs w:val="16"/>
                  <w:color w:val="0000EE"/>
                </w:rPr>
                <w:t>7A.</w:t>
              </w:r>
            </w:hyperlink>
          </w:p>
        </w:tc>
        <w:tc>
          <w:tcPr>
            <w:tcW w:w="7660" w:type="dxa"/>
            <w:vAlign w:val="bottom"/>
            <w:gridSpan w:val="18"/>
          </w:tcPr>
          <w:p>
            <w:pPr>
              <w:ind w:left="180"/>
              <w:spacing w:after="0" w:line="180" w:lineRule="exact"/>
              <w:rPr>
                <w:rFonts w:ascii="Arial" w:cs="Arial" w:eastAsia="Arial" w:hAnsi="Arial"/>
                <w:sz w:val="16"/>
                <w:szCs w:val="16"/>
                <w:color w:val="0000EE"/>
              </w:rPr>
            </w:pPr>
            <w:hyperlink w:anchor="page71">
              <w:r>
                <w:rPr>
                  <w:rFonts w:ascii="Arial" w:cs="Arial" w:eastAsia="Arial" w:hAnsi="Arial"/>
                  <w:sz w:val="16"/>
                  <w:szCs w:val="16"/>
                  <w:color w:val="0000EE"/>
                </w:rPr>
                <w:t>Quantitative and Qualitative Disclosures About Market Risk</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71">
              <w:r>
                <w:rPr>
                  <w:rFonts w:ascii="Arial" w:cs="Arial" w:eastAsia="Arial" w:hAnsi="Arial"/>
                  <w:sz w:val="16"/>
                  <w:szCs w:val="16"/>
                  <w:color w:val="0000EE"/>
                </w:rPr>
                <w:t>66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72">
              <w:r>
                <w:rPr>
                  <w:rFonts w:ascii="Arial" w:cs="Arial" w:eastAsia="Arial" w:hAnsi="Arial"/>
                  <w:sz w:val="16"/>
                  <w:szCs w:val="16"/>
                  <w:color w:val="0000EE"/>
                  <w:w w:val="89"/>
                </w:rPr>
                <w:t>Item</w:t>
              </w:r>
            </w:hyperlink>
          </w:p>
        </w:tc>
        <w:tc>
          <w:tcPr>
            <w:tcW w:w="160" w:type="dxa"/>
            <w:vAlign w:val="bottom"/>
          </w:tcPr>
          <w:p>
            <w:pPr>
              <w:ind w:left="20"/>
              <w:spacing w:after="0" w:line="180" w:lineRule="exact"/>
              <w:rPr>
                <w:rFonts w:ascii="Arial" w:cs="Arial" w:eastAsia="Arial" w:hAnsi="Arial"/>
                <w:sz w:val="16"/>
                <w:szCs w:val="16"/>
                <w:color w:val="0000EE"/>
                <w:w w:val="89"/>
              </w:rPr>
            </w:pPr>
            <w:hyperlink w:anchor="page72">
              <w:r>
                <w:rPr>
                  <w:rFonts w:ascii="Arial" w:cs="Arial" w:eastAsia="Arial" w:hAnsi="Arial"/>
                  <w:sz w:val="16"/>
                  <w:szCs w:val="16"/>
                  <w:color w:val="0000EE"/>
                  <w:w w:val="89"/>
                </w:rPr>
                <w:t>8.</w:t>
              </w:r>
            </w:hyperlink>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72">
              <w:r>
                <w:rPr>
                  <w:rFonts w:ascii="Arial" w:cs="Arial" w:eastAsia="Arial" w:hAnsi="Arial"/>
                  <w:sz w:val="16"/>
                  <w:szCs w:val="16"/>
                  <w:color w:val="0000EE"/>
                </w:rPr>
                <w:t>Financial Statements and Supplementary Data</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72">
              <w:r>
                <w:rPr>
                  <w:rFonts w:ascii="Arial" w:cs="Arial" w:eastAsia="Arial" w:hAnsi="Arial"/>
                  <w:sz w:val="16"/>
                  <w:szCs w:val="16"/>
                  <w:color w:val="0000EE"/>
                </w:rPr>
                <w:t>67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100">
              <w:r>
                <w:rPr>
                  <w:rFonts w:ascii="Arial" w:cs="Arial" w:eastAsia="Arial" w:hAnsi="Arial"/>
                  <w:sz w:val="16"/>
                  <w:szCs w:val="16"/>
                  <w:color w:val="0000EE"/>
                  <w:w w:val="89"/>
                </w:rPr>
                <w:t>Item</w:t>
              </w:r>
            </w:hyperlink>
          </w:p>
        </w:tc>
        <w:tc>
          <w:tcPr>
            <w:tcW w:w="160" w:type="dxa"/>
            <w:vAlign w:val="bottom"/>
          </w:tcPr>
          <w:p>
            <w:pPr>
              <w:ind w:left="20"/>
              <w:spacing w:after="0" w:line="180" w:lineRule="exact"/>
              <w:rPr>
                <w:rFonts w:ascii="Arial" w:cs="Arial" w:eastAsia="Arial" w:hAnsi="Arial"/>
                <w:sz w:val="16"/>
                <w:szCs w:val="16"/>
                <w:color w:val="0000EE"/>
                <w:w w:val="89"/>
              </w:rPr>
            </w:pPr>
            <w:hyperlink w:anchor="page100">
              <w:r>
                <w:rPr>
                  <w:rFonts w:ascii="Arial" w:cs="Arial" w:eastAsia="Arial" w:hAnsi="Arial"/>
                  <w:sz w:val="16"/>
                  <w:szCs w:val="16"/>
                  <w:color w:val="0000EE"/>
                  <w:w w:val="89"/>
                </w:rPr>
                <w:t>9.</w:t>
              </w:r>
            </w:hyperlink>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100">
              <w:r>
                <w:rPr>
                  <w:rFonts w:ascii="Arial" w:cs="Arial" w:eastAsia="Arial" w:hAnsi="Arial"/>
                  <w:sz w:val="16"/>
                  <w:szCs w:val="16"/>
                  <w:color w:val="0000EE"/>
                </w:rPr>
                <w:t>Changes in and Disagreements With Accountants on Accounting and Financial Disclosure</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100">
              <w:r>
                <w:rPr>
                  <w:rFonts w:ascii="Arial" w:cs="Arial" w:eastAsia="Arial" w:hAnsi="Arial"/>
                  <w:sz w:val="16"/>
                  <w:szCs w:val="16"/>
                  <w:color w:val="0000EE"/>
                </w:rPr>
                <w:t>95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100">
              <w:r>
                <w:rPr>
                  <w:rFonts w:ascii="Arial" w:cs="Arial" w:eastAsia="Arial" w:hAnsi="Arial"/>
                  <w:sz w:val="16"/>
                  <w:szCs w:val="16"/>
                  <w:color w:val="0000EE"/>
                  <w:w w:val="89"/>
                </w:rPr>
                <w:t>Item</w:t>
              </w:r>
            </w:hyperlink>
          </w:p>
        </w:tc>
        <w:tc>
          <w:tcPr>
            <w:tcW w:w="440" w:type="dxa"/>
            <w:vAlign w:val="bottom"/>
            <w:gridSpan w:val="3"/>
          </w:tcPr>
          <w:p>
            <w:pPr>
              <w:ind w:left="20"/>
              <w:spacing w:after="0" w:line="180" w:lineRule="exact"/>
              <w:rPr>
                <w:rFonts w:ascii="Arial" w:cs="Arial" w:eastAsia="Arial" w:hAnsi="Arial"/>
                <w:sz w:val="16"/>
                <w:szCs w:val="16"/>
                <w:color w:val="0000EE"/>
              </w:rPr>
            </w:pPr>
            <w:hyperlink w:anchor="page100">
              <w:r>
                <w:rPr>
                  <w:rFonts w:ascii="Arial" w:cs="Arial" w:eastAsia="Arial" w:hAnsi="Arial"/>
                  <w:sz w:val="16"/>
                  <w:szCs w:val="16"/>
                  <w:color w:val="0000EE"/>
                </w:rPr>
                <w:t>9A.</w:t>
              </w:r>
            </w:hyperlink>
          </w:p>
        </w:tc>
        <w:tc>
          <w:tcPr>
            <w:tcW w:w="7660" w:type="dxa"/>
            <w:vAlign w:val="bottom"/>
            <w:gridSpan w:val="18"/>
          </w:tcPr>
          <w:p>
            <w:pPr>
              <w:ind w:left="180"/>
              <w:spacing w:after="0" w:line="180" w:lineRule="exact"/>
              <w:rPr>
                <w:rFonts w:ascii="Arial" w:cs="Arial" w:eastAsia="Arial" w:hAnsi="Arial"/>
                <w:sz w:val="16"/>
                <w:szCs w:val="16"/>
                <w:color w:val="0000EE"/>
              </w:rPr>
            </w:pPr>
            <w:hyperlink w:anchor="page100">
              <w:r>
                <w:rPr>
                  <w:rFonts w:ascii="Arial" w:cs="Arial" w:eastAsia="Arial" w:hAnsi="Arial"/>
                  <w:sz w:val="16"/>
                  <w:szCs w:val="16"/>
                  <w:color w:val="0000EE"/>
                </w:rPr>
                <w:t>Controls and Procedures</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100">
              <w:r>
                <w:rPr>
                  <w:rFonts w:ascii="Arial" w:cs="Arial" w:eastAsia="Arial" w:hAnsi="Arial"/>
                  <w:sz w:val="16"/>
                  <w:szCs w:val="16"/>
                  <w:color w:val="0000EE"/>
                </w:rPr>
                <w:t>95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101">
              <w:r>
                <w:rPr>
                  <w:rFonts w:ascii="Arial" w:cs="Arial" w:eastAsia="Arial" w:hAnsi="Arial"/>
                  <w:sz w:val="16"/>
                  <w:szCs w:val="16"/>
                  <w:color w:val="0000EE"/>
                  <w:w w:val="89"/>
                </w:rPr>
                <w:t>Item</w:t>
              </w:r>
            </w:hyperlink>
          </w:p>
        </w:tc>
        <w:tc>
          <w:tcPr>
            <w:tcW w:w="220" w:type="dxa"/>
            <w:vAlign w:val="bottom"/>
            <w:gridSpan w:val="2"/>
          </w:tcPr>
          <w:p>
            <w:pPr>
              <w:ind w:left="20"/>
              <w:spacing w:after="0"/>
              <w:rPr>
                <w:rFonts w:ascii="Arial" w:cs="Arial" w:eastAsia="Arial" w:hAnsi="Arial"/>
                <w:sz w:val="15"/>
                <w:szCs w:val="15"/>
                <w:color w:val="0000EE"/>
                <w:w w:val="70"/>
              </w:rPr>
            </w:pPr>
            <w:hyperlink w:anchor="page101">
              <w:r>
                <w:rPr>
                  <w:rFonts w:ascii="Arial" w:cs="Arial" w:eastAsia="Arial" w:hAnsi="Arial"/>
                  <w:sz w:val="15"/>
                  <w:szCs w:val="15"/>
                  <w:color w:val="0000EE"/>
                  <w:w w:val="70"/>
                </w:rPr>
                <w:t>9B.</w:t>
              </w:r>
            </w:hyperlink>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101">
              <w:r>
                <w:rPr>
                  <w:rFonts w:ascii="Arial" w:cs="Arial" w:eastAsia="Arial" w:hAnsi="Arial"/>
                  <w:sz w:val="16"/>
                  <w:szCs w:val="16"/>
                  <w:color w:val="0000EE"/>
                </w:rPr>
                <w:t>Other Information</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101">
              <w:r>
                <w:rPr>
                  <w:rFonts w:ascii="Arial" w:cs="Arial" w:eastAsia="Arial" w:hAnsi="Arial"/>
                  <w:sz w:val="16"/>
                  <w:szCs w:val="16"/>
                  <w:color w:val="0000EE"/>
                </w:rPr>
                <w:t>96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0" w:type="dxa"/>
            <w:vAlign w:val="bottom"/>
            <w:gridSpan w:val="5"/>
          </w:tcPr>
          <w:p>
            <w:pPr>
              <w:spacing w:after="0" w:line="180" w:lineRule="exact"/>
              <w:rPr>
                <w:rFonts w:ascii="Arial" w:cs="Arial" w:eastAsia="Arial" w:hAnsi="Arial"/>
                <w:sz w:val="16"/>
                <w:szCs w:val="16"/>
                <w:color w:val="0000EE"/>
                <w:w w:val="97"/>
              </w:rPr>
            </w:pPr>
            <w:hyperlink w:anchor="page101">
              <w:r>
                <w:rPr>
                  <w:rFonts w:ascii="Arial" w:cs="Arial" w:eastAsia="Arial" w:hAnsi="Arial"/>
                  <w:sz w:val="16"/>
                  <w:szCs w:val="16"/>
                  <w:color w:val="0000EE"/>
                  <w:w w:val="97"/>
                </w:rPr>
                <w:t>Part III</w:t>
              </w:r>
            </w:hyperlink>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101">
              <w:r>
                <w:rPr>
                  <w:rFonts w:ascii="Arial" w:cs="Arial" w:eastAsia="Arial" w:hAnsi="Arial"/>
                  <w:sz w:val="16"/>
                  <w:szCs w:val="16"/>
                  <w:color w:val="0000EE"/>
                  <w:w w:val="89"/>
                </w:rPr>
                <w:t>Item</w:t>
              </w:r>
            </w:hyperlink>
          </w:p>
        </w:tc>
        <w:tc>
          <w:tcPr>
            <w:tcW w:w="220" w:type="dxa"/>
            <w:vAlign w:val="bottom"/>
            <w:gridSpan w:val="2"/>
          </w:tcPr>
          <w:p>
            <w:pPr>
              <w:ind w:left="20"/>
              <w:spacing w:after="0" w:line="180" w:lineRule="exact"/>
              <w:rPr>
                <w:rFonts w:ascii="Arial" w:cs="Arial" w:eastAsia="Arial" w:hAnsi="Arial"/>
                <w:sz w:val="16"/>
                <w:szCs w:val="16"/>
                <w:color w:val="0000EE"/>
                <w:w w:val="71"/>
              </w:rPr>
            </w:pPr>
            <w:hyperlink w:anchor="page101">
              <w:r>
                <w:rPr>
                  <w:rFonts w:ascii="Arial" w:cs="Arial" w:eastAsia="Arial" w:hAnsi="Arial"/>
                  <w:sz w:val="16"/>
                  <w:szCs w:val="16"/>
                  <w:color w:val="0000EE"/>
                  <w:w w:val="71"/>
                </w:rPr>
                <w:t>10.</w:t>
              </w:r>
            </w:hyperlink>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101">
              <w:r>
                <w:rPr>
                  <w:rFonts w:ascii="Arial" w:cs="Arial" w:eastAsia="Arial" w:hAnsi="Arial"/>
                  <w:sz w:val="16"/>
                  <w:szCs w:val="16"/>
                  <w:color w:val="0000EE"/>
                </w:rPr>
                <w:t>Directors, Executive Officers and Corporate Governance</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101">
              <w:r>
                <w:rPr>
                  <w:rFonts w:ascii="Arial" w:cs="Arial" w:eastAsia="Arial" w:hAnsi="Arial"/>
                  <w:sz w:val="16"/>
                  <w:szCs w:val="16"/>
                  <w:color w:val="0000EE"/>
                </w:rPr>
                <w:t>96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101">
              <w:r>
                <w:rPr>
                  <w:rFonts w:ascii="Arial" w:cs="Arial" w:eastAsia="Arial" w:hAnsi="Arial"/>
                  <w:sz w:val="16"/>
                  <w:szCs w:val="16"/>
                  <w:color w:val="0000EE"/>
                  <w:w w:val="89"/>
                </w:rPr>
                <w:t>Item</w:t>
              </w:r>
            </w:hyperlink>
          </w:p>
        </w:tc>
        <w:tc>
          <w:tcPr>
            <w:tcW w:w="220" w:type="dxa"/>
            <w:vAlign w:val="bottom"/>
            <w:gridSpan w:val="2"/>
          </w:tcPr>
          <w:p>
            <w:pPr>
              <w:ind w:left="20"/>
              <w:spacing w:after="0" w:line="180" w:lineRule="exact"/>
              <w:rPr>
                <w:rFonts w:ascii="Arial" w:cs="Arial" w:eastAsia="Arial" w:hAnsi="Arial"/>
                <w:sz w:val="16"/>
                <w:szCs w:val="16"/>
                <w:color w:val="0000EE"/>
                <w:w w:val="71"/>
              </w:rPr>
            </w:pPr>
            <w:hyperlink w:anchor="page101">
              <w:r>
                <w:rPr>
                  <w:rFonts w:ascii="Arial" w:cs="Arial" w:eastAsia="Arial" w:hAnsi="Arial"/>
                  <w:sz w:val="16"/>
                  <w:szCs w:val="16"/>
                  <w:color w:val="0000EE"/>
                  <w:w w:val="71"/>
                </w:rPr>
                <w:t>11.</w:t>
              </w:r>
            </w:hyperlink>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101">
              <w:r>
                <w:rPr>
                  <w:rFonts w:ascii="Arial" w:cs="Arial" w:eastAsia="Arial" w:hAnsi="Arial"/>
                  <w:sz w:val="16"/>
                  <w:szCs w:val="16"/>
                  <w:color w:val="0000EE"/>
                </w:rPr>
                <w:t>Executive Compensation</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101">
              <w:r>
                <w:rPr>
                  <w:rFonts w:ascii="Arial" w:cs="Arial" w:eastAsia="Arial" w:hAnsi="Arial"/>
                  <w:sz w:val="16"/>
                  <w:szCs w:val="16"/>
                  <w:color w:val="0000EE"/>
                </w:rPr>
                <w:t>96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101">
              <w:r>
                <w:rPr>
                  <w:rFonts w:ascii="Arial" w:cs="Arial" w:eastAsia="Arial" w:hAnsi="Arial"/>
                  <w:sz w:val="16"/>
                  <w:szCs w:val="16"/>
                  <w:color w:val="0000EE"/>
                  <w:w w:val="89"/>
                </w:rPr>
                <w:t>Item</w:t>
              </w:r>
            </w:hyperlink>
          </w:p>
        </w:tc>
        <w:tc>
          <w:tcPr>
            <w:tcW w:w="220" w:type="dxa"/>
            <w:vAlign w:val="bottom"/>
            <w:gridSpan w:val="2"/>
          </w:tcPr>
          <w:p>
            <w:pPr>
              <w:ind w:left="20"/>
              <w:spacing w:after="0" w:line="180" w:lineRule="exact"/>
              <w:rPr>
                <w:rFonts w:ascii="Arial" w:cs="Arial" w:eastAsia="Arial" w:hAnsi="Arial"/>
                <w:sz w:val="16"/>
                <w:szCs w:val="16"/>
                <w:color w:val="0000EE"/>
                <w:w w:val="71"/>
              </w:rPr>
            </w:pPr>
            <w:hyperlink w:anchor="page101">
              <w:r>
                <w:rPr>
                  <w:rFonts w:ascii="Arial" w:cs="Arial" w:eastAsia="Arial" w:hAnsi="Arial"/>
                  <w:sz w:val="16"/>
                  <w:szCs w:val="16"/>
                  <w:color w:val="0000EE"/>
                  <w:w w:val="71"/>
                </w:rPr>
                <w:t>12.</w:t>
              </w:r>
            </w:hyperlink>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101">
              <w:r>
                <w:rPr>
                  <w:rFonts w:ascii="Arial" w:cs="Arial" w:eastAsia="Arial" w:hAnsi="Arial"/>
                  <w:sz w:val="16"/>
                  <w:szCs w:val="16"/>
                  <w:color w:val="0000EE"/>
                </w:rPr>
                <w:t>Security Ownership of Certain Beneficial Owners and Management and Related Stockholder Matters</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101">
              <w:r>
                <w:rPr>
                  <w:rFonts w:ascii="Arial" w:cs="Arial" w:eastAsia="Arial" w:hAnsi="Arial"/>
                  <w:sz w:val="16"/>
                  <w:szCs w:val="16"/>
                  <w:color w:val="0000EE"/>
                </w:rPr>
                <w:t>96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2340" w:type="dxa"/>
            <w:vAlign w:val="bottom"/>
            <w:tcBorders>
              <w:left w:val="single" w:sz="8" w:color="0000EE"/>
            </w:tcBorders>
            <w:gridSpan w:val="4"/>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101">
              <w:r>
                <w:rPr>
                  <w:rFonts w:ascii="Arial" w:cs="Arial" w:eastAsia="Arial" w:hAnsi="Arial"/>
                  <w:sz w:val="16"/>
                  <w:szCs w:val="16"/>
                  <w:color w:val="0000EE"/>
                  <w:w w:val="89"/>
                </w:rPr>
                <w:t>Item</w:t>
              </w:r>
            </w:hyperlink>
          </w:p>
        </w:tc>
        <w:tc>
          <w:tcPr>
            <w:tcW w:w="220" w:type="dxa"/>
            <w:vAlign w:val="bottom"/>
            <w:gridSpan w:val="2"/>
          </w:tcPr>
          <w:p>
            <w:pPr>
              <w:ind w:left="20"/>
              <w:spacing w:after="0" w:line="180" w:lineRule="exact"/>
              <w:rPr>
                <w:rFonts w:ascii="Arial" w:cs="Arial" w:eastAsia="Arial" w:hAnsi="Arial"/>
                <w:sz w:val="16"/>
                <w:szCs w:val="16"/>
                <w:color w:val="0000EE"/>
                <w:w w:val="71"/>
              </w:rPr>
            </w:pPr>
            <w:hyperlink w:anchor="page101">
              <w:r>
                <w:rPr>
                  <w:rFonts w:ascii="Arial" w:cs="Arial" w:eastAsia="Arial" w:hAnsi="Arial"/>
                  <w:sz w:val="16"/>
                  <w:szCs w:val="16"/>
                  <w:color w:val="0000EE"/>
                  <w:w w:val="71"/>
                </w:rPr>
                <w:t>13.</w:t>
              </w:r>
            </w:hyperlink>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101">
              <w:r>
                <w:rPr>
                  <w:rFonts w:ascii="Arial" w:cs="Arial" w:eastAsia="Arial" w:hAnsi="Arial"/>
                  <w:sz w:val="16"/>
                  <w:szCs w:val="16"/>
                  <w:color w:val="0000EE"/>
                </w:rPr>
                <w:t>Certain Relationships and Related Transactions, and Director Independence</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101">
              <w:r>
                <w:rPr>
                  <w:rFonts w:ascii="Arial" w:cs="Arial" w:eastAsia="Arial" w:hAnsi="Arial"/>
                  <w:sz w:val="16"/>
                  <w:szCs w:val="16"/>
                  <w:color w:val="0000EE"/>
                </w:rPr>
                <w:t>96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2340" w:type="dxa"/>
            <w:vAlign w:val="bottom"/>
            <w:tcBorders>
              <w:left w:val="single" w:sz="8" w:color="0000EE"/>
            </w:tcBorders>
            <w:gridSpan w:val="4"/>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102">
              <w:r>
                <w:rPr>
                  <w:rFonts w:ascii="Arial" w:cs="Arial" w:eastAsia="Arial" w:hAnsi="Arial"/>
                  <w:sz w:val="16"/>
                  <w:szCs w:val="16"/>
                  <w:color w:val="0000EE"/>
                  <w:w w:val="89"/>
                </w:rPr>
                <w:t>Item</w:t>
              </w:r>
            </w:hyperlink>
          </w:p>
        </w:tc>
        <w:tc>
          <w:tcPr>
            <w:tcW w:w="220" w:type="dxa"/>
            <w:vAlign w:val="bottom"/>
            <w:gridSpan w:val="2"/>
          </w:tcPr>
          <w:p>
            <w:pPr>
              <w:ind w:left="20"/>
              <w:spacing w:after="0" w:line="180" w:lineRule="exact"/>
              <w:rPr>
                <w:rFonts w:ascii="Arial" w:cs="Arial" w:eastAsia="Arial" w:hAnsi="Arial"/>
                <w:sz w:val="16"/>
                <w:szCs w:val="16"/>
                <w:color w:val="0000EE"/>
                <w:w w:val="71"/>
              </w:rPr>
            </w:pPr>
            <w:hyperlink w:anchor="page102">
              <w:r>
                <w:rPr>
                  <w:rFonts w:ascii="Arial" w:cs="Arial" w:eastAsia="Arial" w:hAnsi="Arial"/>
                  <w:sz w:val="16"/>
                  <w:szCs w:val="16"/>
                  <w:color w:val="0000EE"/>
                  <w:w w:val="71"/>
                </w:rPr>
                <w:t>14.</w:t>
              </w:r>
            </w:hyperlink>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102">
              <w:r>
                <w:rPr>
                  <w:rFonts w:ascii="Arial" w:cs="Arial" w:eastAsia="Arial" w:hAnsi="Arial"/>
                  <w:sz w:val="16"/>
                  <w:szCs w:val="16"/>
                  <w:color w:val="0000EE"/>
                </w:rPr>
                <w:t>Principal Accountant Fees and Services</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102">
              <w:r>
                <w:rPr>
                  <w:rFonts w:ascii="Arial" w:cs="Arial" w:eastAsia="Arial" w:hAnsi="Arial"/>
                  <w:sz w:val="16"/>
                  <w:szCs w:val="16"/>
                  <w:color w:val="0000EE"/>
                </w:rPr>
                <w:t>97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0" w:type="dxa"/>
            <w:vAlign w:val="bottom"/>
            <w:tcBorders>
              <w:bottom w:val="single" w:sz="8" w:color="0000EE"/>
            </w:tcBorders>
            <w:gridSpan w:val="5"/>
          </w:tcPr>
          <w:p>
            <w:pPr>
              <w:spacing w:after="0" w:line="180" w:lineRule="exact"/>
              <w:rPr>
                <w:rFonts w:ascii="Arial" w:cs="Arial" w:eastAsia="Arial" w:hAnsi="Arial"/>
                <w:sz w:val="16"/>
                <w:szCs w:val="16"/>
                <w:color w:val="0000EE"/>
                <w:w w:val="93"/>
              </w:rPr>
            </w:pPr>
            <w:hyperlink w:anchor="page103">
              <w:r>
                <w:rPr>
                  <w:rFonts w:ascii="Arial" w:cs="Arial" w:eastAsia="Arial" w:hAnsi="Arial"/>
                  <w:sz w:val="16"/>
                  <w:szCs w:val="16"/>
                  <w:color w:val="0000EE"/>
                  <w:w w:val="93"/>
                </w:rPr>
                <w:t>Part IV</w:t>
              </w:r>
            </w:hyperlink>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00" w:type="dxa"/>
            <w:vAlign w:val="bottom"/>
            <w:gridSpan w:val="4"/>
          </w:tcPr>
          <w:p>
            <w:pPr>
              <w:spacing w:after="0" w:line="180" w:lineRule="exact"/>
              <w:rPr>
                <w:rFonts w:ascii="Arial" w:cs="Arial" w:eastAsia="Arial" w:hAnsi="Arial"/>
                <w:sz w:val="16"/>
                <w:szCs w:val="16"/>
                <w:color w:val="0000EE"/>
                <w:w w:val="89"/>
              </w:rPr>
            </w:pPr>
            <w:hyperlink w:anchor="page103">
              <w:r>
                <w:rPr>
                  <w:rFonts w:ascii="Arial" w:cs="Arial" w:eastAsia="Arial" w:hAnsi="Arial"/>
                  <w:sz w:val="16"/>
                  <w:szCs w:val="16"/>
                  <w:color w:val="0000EE"/>
                  <w:w w:val="89"/>
                </w:rPr>
                <w:t>Item</w:t>
              </w:r>
            </w:hyperlink>
          </w:p>
        </w:tc>
        <w:tc>
          <w:tcPr>
            <w:tcW w:w="220" w:type="dxa"/>
            <w:vAlign w:val="bottom"/>
            <w:gridSpan w:val="2"/>
          </w:tcPr>
          <w:p>
            <w:pPr>
              <w:ind w:left="20"/>
              <w:spacing w:after="0" w:line="180" w:lineRule="exact"/>
              <w:rPr>
                <w:rFonts w:ascii="Arial" w:cs="Arial" w:eastAsia="Arial" w:hAnsi="Arial"/>
                <w:sz w:val="16"/>
                <w:szCs w:val="16"/>
                <w:color w:val="0000EE"/>
                <w:w w:val="71"/>
              </w:rPr>
            </w:pPr>
            <w:hyperlink w:anchor="page103">
              <w:r>
                <w:rPr>
                  <w:rFonts w:ascii="Arial" w:cs="Arial" w:eastAsia="Arial" w:hAnsi="Arial"/>
                  <w:sz w:val="16"/>
                  <w:szCs w:val="16"/>
                  <w:color w:val="0000EE"/>
                  <w:w w:val="71"/>
                </w:rPr>
                <w:t>15.</w:t>
              </w:r>
            </w:hyperlink>
          </w:p>
        </w:tc>
        <w:tc>
          <w:tcPr>
            <w:tcW w:w="220" w:type="dxa"/>
            <w:vAlign w:val="bottom"/>
          </w:tcPr>
          <w:p>
            <w:pPr>
              <w:spacing w:after="0"/>
              <w:rPr>
                <w:sz w:val="15"/>
                <w:szCs w:val="15"/>
                <w:color w:val="auto"/>
              </w:rPr>
            </w:pPr>
          </w:p>
        </w:tc>
        <w:tc>
          <w:tcPr>
            <w:tcW w:w="7660" w:type="dxa"/>
            <w:vAlign w:val="bottom"/>
            <w:gridSpan w:val="18"/>
          </w:tcPr>
          <w:p>
            <w:pPr>
              <w:ind w:left="180"/>
              <w:spacing w:after="0" w:line="180" w:lineRule="exact"/>
              <w:rPr>
                <w:rFonts w:ascii="Arial" w:cs="Arial" w:eastAsia="Arial" w:hAnsi="Arial"/>
                <w:sz w:val="16"/>
                <w:szCs w:val="16"/>
                <w:color w:val="0000EE"/>
              </w:rPr>
            </w:pPr>
            <w:hyperlink w:anchor="page103">
              <w:r>
                <w:rPr>
                  <w:rFonts w:ascii="Arial" w:cs="Arial" w:eastAsia="Arial" w:hAnsi="Arial"/>
                  <w:sz w:val="16"/>
                  <w:szCs w:val="16"/>
                  <w:color w:val="0000EE"/>
                </w:rPr>
                <w:t>Exhibits, Financial Statement Schedules</w:t>
              </w:r>
            </w:hyperlink>
          </w:p>
        </w:tc>
        <w:tc>
          <w:tcPr>
            <w:tcW w:w="420" w:type="dxa"/>
            <w:vAlign w:val="bottom"/>
            <w:gridSpan w:val="5"/>
          </w:tcPr>
          <w:p>
            <w:pPr>
              <w:jc w:val="right"/>
              <w:spacing w:after="0" w:line="180" w:lineRule="exact"/>
              <w:rPr>
                <w:rFonts w:ascii="Arial" w:cs="Arial" w:eastAsia="Arial" w:hAnsi="Arial"/>
                <w:sz w:val="16"/>
                <w:szCs w:val="16"/>
                <w:color w:val="0000EE"/>
              </w:rPr>
            </w:pPr>
            <w:hyperlink w:anchor="page103">
              <w:r>
                <w:rPr>
                  <w:rFonts w:ascii="Arial" w:cs="Arial" w:eastAsia="Arial" w:hAnsi="Arial"/>
                  <w:sz w:val="16"/>
                  <w:szCs w:val="16"/>
                  <w:color w:val="0000EE"/>
                </w:rPr>
                <w:t>98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Borders>
              <w:bottom w:val="single" w:sz="8" w:color="0000EE"/>
            </w:tcBorders>
            <w:gridSpan w:val="7"/>
          </w:tcPr>
          <w:p>
            <w:pPr>
              <w:spacing w:after="0" w:line="180" w:lineRule="exact"/>
              <w:rPr>
                <w:rFonts w:ascii="Arial" w:cs="Arial" w:eastAsia="Arial" w:hAnsi="Arial"/>
                <w:sz w:val="16"/>
                <w:szCs w:val="16"/>
                <w:color w:val="0000EE"/>
                <w:w w:val="86"/>
              </w:rPr>
            </w:pPr>
            <w:hyperlink w:anchor="page108">
              <w:r>
                <w:rPr>
                  <w:rFonts w:ascii="Arial" w:cs="Arial" w:eastAsia="Arial" w:hAnsi="Arial"/>
                  <w:sz w:val="16"/>
                  <w:szCs w:val="16"/>
                  <w:color w:val="0000EE"/>
                  <w:w w:val="86"/>
                </w:rPr>
                <w:t>Signatures</w:t>
              </w:r>
            </w:hyperlink>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0000EE"/>
            </w:tcBorders>
            <w:gridSpan w:val="4"/>
          </w:tcPr>
          <w:p>
            <w:pPr>
              <w:jc w:val="right"/>
              <w:spacing w:after="0" w:line="180" w:lineRule="exact"/>
              <w:rPr>
                <w:rFonts w:ascii="Arial" w:cs="Arial" w:eastAsia="Arial" w:hAnsi="Arial"/>
                <w:sz w:val="16"/>
                <w:szCs w:val="16"/>
                <w:color w:val="0000EE"/>
                <w:w w:val="89"/>
              </w:rPr>
            </w:pPr>
            <w:hyperlink w:anchor="page108">
              <w:r>
                <w:rPr>
                  <w:rFonts w:ascii="Arial" w:cs="Arial" w:eastAsia="Arial" w:hAnsi="Arial"/>
                  <w:sz w:val="16"/>
                  <w:szCs w:val="16"/>
                  <w:color w:val="0000EE"/>
                  <w:w w:val="89"/>
                </w:rPr>
                <w:t>103</w:t>
              </w:r>
            </w:hyperlink>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firstLine="325"/>
        <w:spacing w:after="0" w:line="285" w:lineRule="auto"/>
        <w:rPr>
          <w:sz w:val="20"/>
          <w:szCs w:val="20"/>
          <w:color w:val="auto"/>
        </w:rPr>
      </w:pPr>
      <w:r>
        <w:rPr>
          <w:rFonts w:ascii="Arial" w:cs="Arial" w:eastAsia="Arial" w:hAnsi="Arial"/>
          <w:sz w:val="15"/>
          <w:szCs w:val="15"/>
          <w:b w:val="1"/>
          <w:bCs w:val="1"/>
          <w:i w:val="1"/>
          <w:iCs w:val="1"/>
          <w:color w:val="auto"/>
        </w:rPr>
        <w:t xml:space="preserve">Safe Harbor Statement under the Private Securities Litigation Reform Act of 1995: </w:t>
      </w:r>
      <w:r>
        <w:rPr>
          <w:rFonts w:ascii="Arial" w:cs="Arial" w:eastAsia="Arial" w:hAnsi="Arial"/>
          <w:sz w:val="15"/>
          <w:szCs w:val="15"/>
          <w:color w:val="auto"/>
        </w:rPr>
        <w:t>This Annual Report on Form 10-K contains forward-looking statements made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2" w:lineRule="exact"/>
        <w:rPr>
          <w:sz w:val="20"/>
          <w:szCs w:val="20"/>
          <w:color w:val="auto"/>
        </w:rPr>
      </w:pPr>
    </w:p>
    <w:p>
      <w:pPr>
        <w:ind w:right="120" w:firstLine="322"/>
        <w:spacing w:after="0" w:line="290" w:lineRule="auto"/>
        <w:rPr>
          <w:sz w:val="20"/>
          <w:szCs w:val="20"/>
          <w:color w:val="auto"/>
        </w:rPr>
      </w:pPr>
      <w:r>
        <w:rPr>
          <w:rFonts w:ascii="Arial" w:cs="Arial" w:eastAsia="Arial" w:hAnsi="Arial"/>
          <w:sz w:val="16"/>
          <w:szCs w:val="16"/>
          <w:color w:val="auto"/>
        </w:rPr>
        <w:t>There are a number of important factors that could cause the actual results to differ materially from those expressed in any forward-looking statement made by us. These factors include, but are not limited to:</w:t>
      </w:r>
    </w:p>
    <w:p>
      <w:pPr>
        <w:spacing w:after="0" w:line="168" w:lineRule="exact"/>
        <w:rPr>
          <w:sz w:val="20"/>
          <w:szCs w:val="20"/>
          <w:color w:val="auto"/>
        </w:rPr>
      </w:pPr>
    </w:p>
    <w:p>
      <w:pPr>
        <w:ind w:left="1000" w:right="120" w:hanging="500"/>
        <w:spacing w:after="0" w:line="275"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complete research and further development, including animal, preclinical and clinical studies, and, if we obtain regulatory approval, commercialization of rindopepimut (also referred to as Rintega® and CDX-110), glembatumumab vedotin (also referred to as CDX-011), and other drug candidates and the growth of the markets for those drug candidates;</w:t>
      </w:r>
    </w:p>
    <w:p>
      <w:pPr>
        <w:spacing w:after="0" w:line="192" w:lineRule="exact"/>
        <w:rPr>
          <w:rFonts w:ascii="Arial" w:cs="Arial" w:eastAsia="Arial" w:hAnsi="Arial"/>
          <w:sz w:val="16"/>
          <w:szCs w:val="16"/>
          <w:color w:val="auto"/>
        </w:rPr>
      </w:pPr>
    </w:p>
    <w:p>
      <w:pPr>
        <w:ind w:left="1000" w:right="40" w:hanging="500"/>
        <w:spacing w:after="0" w:line="270"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4" w:lineRule="exact"/>
        <w:rPr>
          <w:rFonts w:ascii="Arial" w:cs="Arial" w:eastAsia="Arial" w:hAnsi="Arial"/>
          <w:sz w:val="16"/>
          <w:szCs w:val="16"/>
          <w:color w:val="auto"/>
        </w:rPr>
      </w:pPr>
    </w:p>
    <w:p>
      <w:pPr>
        <w:ind w:left="1000" w:hanging="500"/>
        <w:spacing w:after="0" w:line="290"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multiple clinical trials for a variety of drug candidates at different stages of development, including ACT IV and ReACT for rindopepimut and METRIC for glembatumumab vedotin;</w:t>
      </w:r>
    </w:p>
    <w:p>
      <w:pPr>
        <w:spacing w:after="0" w:line="168" w:lineRule="exact"/>
        <w:rPr>
          <w:rFonts w:ascii="Arial" w:cs="Arial" w:eastAsia="Arial" w:hAnsi="Arial"/>
          <w:sz w:val="16"/>
          <w:szCs w:val="16"/>
          <w:color w:val="auto"/>
        </w:rPr>
      </w:pPr>
    </w:p>
    <w:p>
      <w:pPr>
        <w:ind w:left="1000" w:hanging="500"/>
        <w:spacing w:after="0"/>
        <w:tabs>
          <w:tab w:leader="none" w:pos="10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cost, timing, scope and results of ongoing safety and efficacy trials of rindopepimut, glembatumumab vedotin, and other preclinical and clinical testing;</w:t>
      </w:r>
    </w:p>
    <w:p>
      <w:pPr>
        <w:spacing w:after="0" w:line="252" w:lineRule="exact"/>
        <w:rPr>
          <w:rFonts w:ascii="Arial" w:cs="Arial" w:eastAsia="Arial" w:hAnsi="Arial"/>
          <w:sz w:val="15"/>
          <w:szCs w:val="15"/>
          <w:color w:val="auto"/>
        </w:rPr>
      </w:pPr>
    </w:p>
    <w:p>
      <w:pPr>
        <w:ind w:left="1000" w:right="660" w:hanging="500"/>
        <w:spacing w:after="0" w:line="290"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fund and complete the development and, if we obtain regulatory approval, to commercialize rindopepimut in North America and Europe ourselves;</w:t>
      </w:r>
    </w:p>
    <w:p>
      <w:pPr>
        <w:spacing w:after="0" w:line="168" w:lineRule="exact"/>
        <w:rPr>
          <w:rFonts w:ascii="Arial" w:cs="Arial" w:eastAsia="Arial" w:hAnsi="Arial"/>
          <w:sz w:val="16"/>
          <w:szCs w:val="16"/>
          <w:color w:val="auto"/>
        </w:rPr>
      </w:pPr>
    </w:p>
    <w:p>
      <w:pPr>
        <w:ind w:left="1000" w:right="460" w:hanging="500"/>
        <w:spacing w:after="0" w:line="290"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cost, delivery and quality of clinical and commercial grade materials produced by our own manufacturing facility or supplied by contract manufacturers, suppliers and partners, who may be the sole source of supply;</w:t>
      </w:r>
    </w:p>
    <w:p>
      <w:pPr>
        <w:spacing w:after="0" w:line="168" w:lineRule="exact"/>
        <w:rPr>
          <w:rFonts w:ascii="Arial" w:cs="Arial" w:eastAsia="Arial" w:hAnsi="Arial"/>
          <w:sz w:val="16"/>
          <w:szCs w:val="16"/>
          <w:color w:val="auto"/>
        </w:rPr>
      </w:pPr>
    </w:p>
    <w:p>
      <w:pPr>
        <w:ind w:left="1000" w:hanging="50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cost and uncertainty of obtaining regulatory approvals for our drug candidates;</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28" w:lineRule="exact"/>
        <w:rPr>
          <w:rFonts w:ascii="Arial" w:cs="Arial" w:eastAsia="Arial" w:hAnsi="Arial"/>
          <w:sz w:val="16"/>
          <w:szCs w:val="16"/>
          <w:color w:val="auto"/>
        </w:rPr>
      </w:pPr>
    </w:p>
    <w:p>
      <w:pPr>
        <w:ind w:left="1000" w:right="280" w:hanging="500"/>
        <w:spacing w:after="0" w:line="290"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negotiate strategic partnerships, where appropriate, for our programs, which may include, rindopepimut outside of North America and Europe, glembatumumab vedotin and varlilumab (also referred to as CDX-1127);</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9" w:lineRule="exact"/>
        <w:rPr>
          <w:sz w:val="20"/>
          <w:szCs w:val="20"/>
          <w:color w:val="auto"/>
        </w:rPr>
      </w:pPr>
    </w:p>
    <w:p>
      <w:pPr>
        <w:ind w:left="1000" w:right="100" w:hanging="500"/>
        <w:spacing w:after="0" w:line="290"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product candidates and expand our focus to broader markets for our existing targeted immunotherapeutics;</w:t>
      </w:r>
    </w:p>
    <w:p>
      <w:pPr>
        <w:spacing w:after="0" w:line="180" w:lineRule="exact"/>
        <w:rPr>
          <w:rFonts w:ascii="Arial" w:cs="Arial" w:eastAsia="Arial" w:hAnsi="Arial"/>
          <w:sz w:val="16"/>
          <w:szCs w:val="16"/>
          <w:color w:val="auto"/>
        </w:rPr>
      </w:pPr>
    </w:p>
    <w:p>
      <w:pPr>
        <w:ind w:left="1000" w:right="40" w:hanging="500"/>
        <w:spacing w:after="0" w:line="290"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adapt our proprietary antibody-targeted technology, or APC Targeting Technology™, to develop new, safe and effective therapeutics for oncology and infectious disease indications;</w:t>
      </w:r>
    </w:p>
    <w:p>
      <w:pPr>
        <w:spacing w:after="0" w:line="168" w:lineRule="exact"/>
        <w:rPr>
          <w:rFonts w:ascii="Arial" w:cs="Arial" w:eastAsia="Arial" w:hAnsi="Arial"/>
          <w:sz w:val="16"/>
          <w:szCs w:val="16"/>
          <w:color w:val="auto"/>
        </w:rPr>
      </w:pPr>
    </w:p>
    <w:p>
      <w:pPr>
        <w:ind w:left="1000" w:hanging="500"/>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availability, cost, delivery and quality of clinical management services provided by our clinical research organization partners;</w:t>
      </w:r>
    </w:p>
    <w:p>
      <w:pPr>
        <w:spacing w:after="0" w:line="228" w:lineRule="exact"/>
        <w:rPr>
          <w:rFonts w:ascii="Arial" w:cs="Arial" w:eastAsia="Arial" w:hAnsi="Arial"/>
          <w:sz w:val="16"/>
          <w:szCs w:val="16"/>
          <w:color w:val="auto"/>
        </w:rPr>
      </w:pPr>
    </w:p>
    <w:p>
      <w:pPr>
        <w:jc w:val="both"/>
        <w:ind w:left="1000" w:right="240" w:hanging="500"/>
        <w:spacing w:after="0" w:line="366" w:lineRule="auto"/>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134" w:lineRule="exact"/>
        <w:rPr>
          <w:rFonts w:ascii="Arial" w:cs="Arial" w:eastAsia="Arial" w:hAnsi="Arial"/>
          <w:sz w:val="14"/>
          <w:szCs w:val="14"/>
          <w:color w:val="auto"/>
        </w:rPr>
      </w:pPr>
    </w:p>
    <w:p>
      <w:pPr>
        <w:ind w:left="1000" w:hanging="500"/>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factors listed under "Risk Factors" in this Annual Report on Form 10-K.</w:t>
      </w:r>
    </w:p>
    <w:p>
      <w:pPr>
        <w:spacing w:after="0" w:line="216" w:lineRule="exact"/>
        <w:rPr>
          <w:sz w:val="20"/>
          <w:szCs w:val="20"/>
          <w:color w:val="auto"/>
        </w:rPr>
      </w:pPr>
    </w:p>
    <w:p>
      <w:pPr>
        <w:ind w:firstLine="316"/>
        <w:spacing w:after="0" w:line="268"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0" w:lineRule="exact"/>
        <w:rPr>
          <w:sz w:val="20"/>
          <w:szCs w:val="20"/>
          <w:color w:val="auto"/>
        </w:rPr>
      </w:pPr>
    </w:p>
    <w:p>
      <w:pPr>
        <w:ind w:right="80" w:firstLine="325"/>
        <w:spacing w:after="0" w:line="268" w:lineRule="auto"/>
        <w:rPr>
          <w:sz w:val="20"/>
          <w:szCs w:val="20"/>
          <w:color w:val="auto"/>
        </w:rPr>
      </w:pPr>
      <w:r>
        <w:rPr>
          <w:rFonts w:ascii="Arial" w:cs="Arial" w:eastAsia="Arial" w:hAnsi="Arial"/>
          <w:sz w:val="16"/>
          <w:szCs w:val="16"/>
          <w:color w:val="auto"/>
        </w:rPr>
        <w:t>Celldex Therapeutics, Inc., which we refer to as "Celldex," "we," "us," "our" or the "Company," is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treat cancers and other diseases that induce undesirable activity by the body's own proteins or cells.</w:t>
      </w:r>
    </w:p>
    <w:p>
      <w:pPr>
        <w:spacing w:after="0" w:line="173" w:lineRule="exact"/>
        <w:rPr>
          <w:sz w:val="20"/>
          <w:szCs w:val="20"/>
          <w:color w:val="auto"/>
        </w:rPr>
      </w:pPr>
    </w:p>
    <w:p>
      <w:pPr>
        <w:ind w:right="20" w:firstLine="325"/>
        <w:spacing w:after="0" w:line="265" w:lineRule="auto"/>
        <w:rPr>
          <w:sz w:val="20"/>
          <w:szCs w:val="20"/>
          <w:color w:val="auto"/>
        </w:rPr>
      </w:pPr>
      <w:r>
        <w:rPr>
          <w:rFonts w:ascii="Arial" w:cs="Arial" w:eastAsia="Arial" w:hAnsi="Arial"/>
          <w:sz w:val="16"/>
          <w:szCs w:val="16"/>
          <w:color w:val="auto"/>
        </w:rPr>
        <w:t>Our lead drug candidates include rindopepimut (also referred to as Rintega® and CDX-110) and glembatumumab vedotin (also referred to as CDX-011). Rindopepimut is a targeted immunotherapeutic in a pivotal Phase 3 study for the treatment of front-line glioblastoma and a Phase 2 study for the treatment of recurrent glioblastoma. Glembatumumab vedotin is a targeted antibody-drug conjugate in a randomized, Phase 2b study for the treatment of triple negative breast cancer and a Phase 2 study for the treatment of metastatic melanoma. We also have a number of earlier stage drug candidates in clinical development, including varlilumab (also referred to as CDX-1127), a fully human therapeutic monoclonal antibody for cancer indications, CDX-1401, a targeted immunotherapeutic aimed at antigen presenting cells, or APC, for cancer indications and CDX-301, an immune cell mobilizing agent and dendritic cell growth factor. Our drug candidates address market opportunities for which we believe current therapies are inadequate or non-existent.</w:t>
      </w:r>
    </w:p>
    <w:p>
      <w:pPr>
        <w:spacing w:after="0" w:line="178" w:lineRule="exact"/>
        <w:rPr>
          <w:sz w:val="20"/>
          <w:szCs w:val="20"/>
          <w:color w:val="auto"/>
        </w:rPr>
      </w:pPr>
    </w:p>
    <w:p>
      <w:pPr>
        <w:ind w:firstLine="322"/>
        <w:spacing w:after="0" w:line="270" w:lineRule="auto"/>
        <w:rPr>
          <w:sz w:val="20"/>
          <w:szCs w:val="20"/>
          <w:color w:val="auto"/>
        </w:rPr>
      </w:pPr>
      <w:r>
        <w:rPr>
          <w:rFonts w:ascii="Arial" w:cs="Arial" w:eastAsia="Arial" w:hAnsi="Arial"/>
          <w:sz w:val="16"/>
          <w:szCs w:val="16"/>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includes the programs that we currently believe are significant to our business: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1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Product (generic)</w:t>
            </w:r>
          </w:p>
        </w:tc>
        <w:tc>
          <w:tcPr>
            <w:tcW w:w="3100" w:type="dxa"/>
            <w:vAlign w:val="bottom"/>
          </w:tcPr>
          <w:p>
            <w:pPr>
              <w:spacing w:after="0"/>
              <w:rPr>
                <w:sz w:val="13"/>
                <w:szCs w:val="13"/>
                <w:color w:val="auto"/>
              </w:rPr>
            </w:pPr>
          </w:p>
        </w:tc>
        <w:tc>
          <w:tcPr>
            <w:tcW w:w="3500" w:type="dxa"/>
            <w:vAlign w:val="bottom"/>
            <w:tcBorders>
              <w:bottom w:val="single" w:sz="8" w:color="auto"/>
            </w:tcBorders>
          </w:tcPr>
          <w:p>
            <w:pPr>
              <w:ind w:left="1340"/>
              <w:spacing w:after="0"/>
              <w:rPr>
                <w:sz w:val="20"/>
                <w:szCs w:val="20"/>
                <w:color w:val="auto"/>
              </w:rPr>
            </w:pPr>
            <w:r>
              <w:rPr>
                <w:rFonts w:ascii="Arial" w:cs="Arial" w:eastAsia="Arial" w:hAnsi="Arial"/>
                <w:sz w:val="13"/>
                <w:szCs w:val="13"/>
                <w:b w:val="1"/>
                <w:bCs w:val="1"/>
                <w:color w:val="auto"/>
              </w:rPr>
              <w:t>Indication/Field</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Partner</w:t>
            </w:r>
          </w:p>
        </w:tc>
        <w:tc>
          <w:tcPr>
            <w:tcW w:w="160" w:type="dxa"/>
            <w:vAlign w:val="bottom"/>
          </w:tcPr>
          <w:p>
            <w:pPr>
              <w:spacing w:after="0"/>
              <w:rPr>
                <w:sz w:val="13"/>
                <w:szCs w:val="13"/>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Status</w:t>
            </w:r>
          </w:p>
        </w:tc>
      </w:tr>
      <w:tr>
        <w:trPr>
          <w:trHeight w:val="193"/>
        </w:trPr>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CLINICAL</w:t>
            </w:r>
          </w:p>
        </w:tc>
        <w:tc>
          <w:tcPr>
            <w:tcW w:w="3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00"/>
        </w:trPr>
        <w:tc>
          <w:tcPr>
            <w:tcW w:w="4140" w:type="dxa"/>
            <w:vAlign w:val="bottom"/>
            <w:gridSpan w:val="2"/>
          </w:tcPr>
          <w:p>
            <w:pPr>
              <w:ind w:left="160"/>
              <w:spacing w:after="0"/>
              <w:rPr>
                <w:sz w:val="20"/>
                <w:szCs w:val="20"/>
                <w:color w:val="auto"/>
              </w:rPr>
            </w:pPr>
            <w:r>
              <w:rPr>
                <w:rFonts w:ascii="Arial" w:cs="Arial" w:eastAsia="Arial" w:hAnsi="Arial"/>
                <w:sz w:val="16"/>
                <w:szCs w:val="16"/>
                <w:color w:val="auto"/>
              </w:rPr>
              <w:t>Rindopepimut</w:t>
            </w:r>
          </w:p>
        </w:tc>
        <w:tc>
          <w:tcPr>
            <w:tcW w:w="3500" w:type="dxa"/>
            <w:vAlign w:val="bottom"/>
          </w:tcPr>
          <w:p>
            <w:pPr>
              <w:spacing w:after="0"/>
              <w:rPr>
                <w:sz w:val="20"/>
                <w:szCs w:val="20"/>
                <w:color w:val="auto"/>
              </w:rPr>
            </w:pPr>
            <w:r>
              <w:rPr>
                <w:rFonts w:ascii="Arial" w:cs="Arial" w:eastAsia="Arial" w:hAnsi="Arial"/>
                <w:sz w:val="16"/>
                <w:szCs w:val="16"/>
                <w:color w:val="auto"/>
              </w:rPr>
              <w:t>Front-line glioblastoma</w:t>
            </w:r>
          </w:p>
        </w:tc>
        <w:tc>
          <w:tcPr>
            <w:tcW w:w="1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6"/>
                <w:szCs w:val="16"/>
                <w:color w:val="auto"/>
              </w:rPr>
              <w:t>Phase 3</w:t>
            </w:r>
          </w:p>
        </w:tc>
      </w:tr>
      <w:tr>
        <w:trPr>
          <w:trHeight w:val="200"/>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Glembatumumab vedotin</w:t>
            </w: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Metastatic breast cancer</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6"/>
                <w:szCs w:val="16"/>
                <w:color w:val="auto"/>
              </w:rPr>
              <w:t>Phase 2b</w:t>
            </w:r>
          </w:p>
        </w:tc>
      </w:tr>
      <w:tr>
        <w:trPr>
          <w:trHeight w:val="200"/>
        </w:trPr>
        <w:tc>
          <w:tcPr>
            <w:tcW w:w="4140" w:type="dxa"/>
            <w:vAlign w:val="bottom"/>
            <w:gridSpan w:val="2"/>
          </w:tcPr>
          <w:p>
            <w:pPr>
              <w:ind w:left="160"/>
              <w:spacing w:after="0"/>
              <w:rPr>
                <w:sz w:val="20"/>
                <w:szCs w:val="20"/>
                <w:color w:val="auto"/>
              </w:rPr>
            </w:pPr>
            <w:r>
              <w:rPr>
                <w:rFonts w:ascii="Arial" w:cs="Arial" w:eastAsia="Arial" w:hAnsi="Arial"/>
                <w:sz w:val="16"/>
                <w:szCs w:val="16"/>
                <w:color w:val="auto"/>
              </w:rPr>
              <w:t>Rindopepimut</w:t>
            </w:r>
          </w:p>
        </w:tc>
        <w:tc>
          <w:tcPr>
            <w:tcW w:w="3500" w:type="dxa"/>
            <w:vAlign w:val="bottom"/>
          </w:tcPr>
          <w:p>
            <w:pPr>
              <w:spacing w:after="0"/>
              <w:rPr>
                <w:sz w:val="20"/>
                <w:szCs w:val="20"/>
                <w:color w:val="auto"/>
              </w:rPr>
            </w:pPr>
            <w:r>
              <w:rPr>
                <w:rFonts w:ascii="Arial" w:cs="Arial" w:eastAsia="Arial" w:hAnsi="Arial"/>
                <w:sz w:val="16"/>
                <w:szCs w:val="16"/>
                <w:color w:val="auto"/>
              </w:rPr>
              <w:t>Recurrent glioblastoma</w:t>
            </w:r>
          </w:p>
        </w:tc>
        <w:tc>
          <w:tcPr>
            <w:tcW w:w="1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6"/>
                <w:szCs w:val="16"/>
                <w:color w:val="auto"/>
              </w:rPr>
              <w:t>Phase 2</w:t>
            </w:r>
          </w:p>
        </w:tc>
      </w:tr>
      <w:tr>
        <w:trPr>
          <w:trHeight w:val="200"/>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Glembatumumab vedotin</w:t>
            </w: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Metastatic melanoma</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6"/>
                <w:szCs w:val="16"/>
                <w:color w:val="auto"/>
              </w:rPr>
              <w:t>Phase 2</w:t>
            </w:r>
          </w:p>
        </w:tc>
      </w:tr>
      <w:tr>
        <w:trPr>
          <w:trHeight w:val="200"/>
        </w:trPr>
        <w:tc>
          <w:tcPr>
            <w:tcW w:w="4140" w:type="dxa"/>
            <w:vAlign w:val="bottom"/>
            <w:gridSpan w:val="2"/>
          </w:tcPr>
          <w:p>
            <w:pPr>
              <w:ind w:left="160"/>
              <w:spacing w:after="0"/>
              <w:rPr>
                <w:sz w:val="20"/>
                <w:szCs w:val="20"/>
                <w:color w:val="auto"/>
              </w:rPr>
            </w:pPr>
            <w:r>
              <w:rPr>
                <w:rFonts w:ascii="Arial" w:cs="Arial" w:eastAsia="Arial" w:hAnsi="Arial"/>
                <w:sz w:val="16"/>
                <w:szCs w:val="16"/>
                <w:color w:val="auto"/>
              </w:rPr>
              <w:t>Varlilumab</w:t>
            </w:r>
          </w:p>
        </w:tc>
        <w:tc>
          <w:tcPr>
            <w:tcW w:w="3500" w:type="dxa"/>
            <w:vAlign w:val="bottom"/>
          </w:tcPr>
          <w:p>
            <w:pPr>
              <w:spacing w:after="0"/>
              <w:rPr>
                <w:sz w:val="20"/>
                <w:szCs w:val="20"/>
                <w:color w:val="auto"/>
              </w:rPr>
            </w:pPr>
            <w:r>
              <w:rPr>
                <w:rFonts w:ascii="Arial" w:cs="Arial" w:eastAsia="Arial" w:hAnsi="Arial"/>
                <w:sz w:val="16"/>
                <w:szCs w:val="16"/>
                <w:color w:val="auto"/>
              </w:rPr>
              <w:t>Lymphoma/leukemia and solid tumors</w:t>
            </w:r>
          </w:p>
        </w:tc>
        <w:tc>
          <w:tcPr>
            <w:tcW w:w="1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6"/>
                <w:szCs w:val="16"/>
                <w:color w:val="auto"/>
              </w:rPr>
              <w:t>Phase 1</w:t>
            </w:r>
          </w:p>
        </w:tc>
      </w:tr>
      <w:tr>
        <w:trPr>
          <w:trHeight w:val="200"/>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Varlilumab</w:t>
            </w: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Multiple solid tumors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6"/>
                <w:szCs w:val="16"/>
                <w:color w:val="auto"/>
                <w:w w:val="97"/>
              </w:rPr>
              <w:t>Phase 1/2</w:t>
            </w:r>
          </w:p>
        </w:tc>
      </w:tr>
      <w:tr>
        <w:trPr>
          <w:trHeight w:val="200"/>
        </w:trPr>
        <w:tc>
          <w:tcPr>
            <w:tcW w:w="4140" w:type="dxa"/>
            <w:vAlign w:val="bottom"/>
            <w:gridSpan w:val="2"/>
          </w:tcPr>
          <w:p>
            <w:pPr>
              <w:ind w:left="160"/>
              <w:spacing w:after="0"/>
              <w:rPr>
                <w:sz w:val="20"/>
                <w:szCs w:val="20"/>
                <w:color w:val="auto"/>
              </w:rPr>
            </w:pPr>
            <w:r>
              <w:rPr>
                <w:rFonts w:ascii="Arial" w:cs="Arial" w:eastAsia="Arial" w:hAnsi="Arial"/>
                <w:sz w:val="16"/>
                <w:szCs w:val="16"/>
                <w:color w:val="auto"/>
              </w:rPr>
              <w:t>CDX-1401</w:t>
            </w:r>
          </w:p>
        </w:tc>
        <w:tc>
          <w:tcPr>
            <w:tcW w:w="3500" w:type="dxa"/>
            <w:vAlign w:val="bottom"/>
          </w:tcPr>
          <w:p>
            <w:pPr>
              <w:spacing w:after="0"/>
              <w:rPr>
                <w:sz w:val="20"/>
                <w:szCs w:val="20"/>
                <w:color w:val="auto"/>
              </w:rPr>
            </w:pPr>
            <w:r>
              <w:rPr>
                <w:rFonts w:ascii="Arial" w:cs="Arial" w:eastAsia="Arial" w:hAnsi="Arial"/>
                <w:sz w:val="16"/>
                <w:szCs w:val="16"/>
                <w:color w:val="auto"/>
              </w:rPr>
              <w:t>Multiple solid tumors</w:t>
            </w:r>
          </w:p>
        </w:tc>
        <w:tc>
          <w:tcPr>
            <w:tcW w:w="1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6"/>
                <w:szCs w:val="16"/>
                <w:color w:val="auto"/>
              </w:rPr>
              <w:t>Phase 1</w:t>
            </w:r>
          </w:p>
        </w:tc>
      </w:tr>
      <w:tr>
        <w:trPr>
          <w:trHeight w:val="200"/>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CDX-301</w:t>
            </w: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w w:val="94"/>
              </w:rPr>
              <w:t>Allogeneic Hematopoietic Stem Cell Transplantation</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6"/>
                <w:szCs w:val="16"/>
                <w:color w:val="auto"/>
              </w:rPr>
              <w:t>Phase 1</w:t>
            </w:r>
          </w:p>
        </w:tc>
      </w:tr>
      <w:tr>
        <w:trPr>
          <w:trHeight w:val="200"/>
        </w:trPr>
        <w:tc>
          <w:tcPr>
            <w:tcW w:w="4140" w:type="dxa"/>
            <w:vAlign w:val="bottom"/>
            <w:gridSpan w:val="2"/>
          </w:tcPr>
          <w:p>
            <w:pPr>
              <w:spacing w:after="0"/>
              <w:rPr>
                <w:sz w:val="20"/>
                <w:szCs w:val="20"/>
                <w:color w:val="auto"/>
              </w:rPr>
            </w:pPr>
            <w:r>
              <w:rPr>
                <w:rFonts w:ascii="Arial" w:cs="Arial" w:eastAsia="Arial" w:hAnsi="Arial"/>
                <w:sz w:val="16"/>
                <w:szCs w:val="16"/>
                <w:b w:val="1"/>
                <w:bCs w:val="1"/>
                <w:color w:val="auto"/>
              </w:rPr>
              <w:t>PRECLINICAL</w:t>
            </w:r>
          </w:p>
        </w:tc>
        <w:tc>
          <w:tcPr>
            <w:tcW w:w="3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CDX-014</w:t>
            </w: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Ovarian and renal cancer</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6"/>
                <w:szCs w:val="16"/>
                <w:color w:val="auto"/>
                <w:w w:val="95"/>
              </w:rPr>
              <w:t>Preclinical</w:t>
            </w:r>
          </w:p>
        </w:tc>
      </w:tr>
    </w:tbl>
    <w:p>
      <w:pPr>
        <w:spacing w:after="0" w:line="191" w:lineRule="exact"/>
        <w:rPr>
          <w:sz w:val="20"/>
          <w:szCs w:val="20"/>
          <w:color w:val="auto"/>
        </w:rPr>
      </w:pPr>
    </w:p>
    <w:p>
      <w:pPr>
        <w:ind w:firstLine="325"/>
        <w:spacing w:after="0" w:line="302" w:lineRule="auto"/>
        <w:rPr>
          <w:sz w:val="20"/>
          <w:szCs w:val="20"/>
          <w:color w:val="auto"/>
        </w:rPr>
      </w:pPr>
      <w:r>
        <w:rPr>
          <w:rFonts w:ascii="Arial" w:cs="Arial" w:eastAsia="Arial" w:hAnsi="Arial"/>
          <w:sz w:val="15"/>
          <w:szCs w:val="15"/>
          <w:color w:val="auto"/>
        </w:rPr>
        <w:t>Our future success depends upon many factors, including our ability, and that of any licensees and collaborators that we may have, to successfully develop, obtain regulatory approval for and commercialize our drug candidates. We have had no commercial revenues from sales of our drug candidates and we have had a history of operating losses. It is possible that we may not be able to successfully develop, obtain regulatory approval for, or commercialize, our drug candidates, and we 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subject to a number of risks that you should be aware of before investing in us. These risks are described more fully in "Item 1A. Risk Factors."</w:t>
      </w:r>
    </w:p>
    <w:p>
      <w:pPr>
        <w:spacing w:after="0" w:line="216" w:lineRule="exact"/>
        <w:rPr>
          <w:sz w:val="20"/>
          <w:szCs w:val="20"/>
          <w:color w:val="auto"/>
        </w:rPr>
      </w:pPr>
    </w:p>
    <w:p>
      <w:pPr>
        <w:ind w:right="60" w:firstLine="322"/>
        <w:spacing w:after="0" w:line="270" w:lineRule="auto"/>
        <w:rPr>
          <w:sz w:val="20"/>
          <w:szCs w:val="20"/>
          <w:color w:val="auto"/>
        </w:rPr>
      </w:pPr>
      <w:r>
        <w:rPr>
          <w:rFonts w:ascii="Arial" w:cs="Arial" w:eastAsia="Arial" w:hAnsi="Arial"/>
          <w:sz w:val="16"/>
          <w:szCs w:val="16"/>
          <w:color w:val="auto"/>
        </w:rPr>
        <w:t xml:space="preserve">We are incorporated in Delaware. Our website is located at </w:t>
      </w:r>
      <w:r>
        <w:rPr>
          <w:rFonts w:ascii="Arial" w:cs="Arial" w:eastAsia="Arial" w:hAnsi="Arial"/>
          <w:sz w:val="16"/>
          <w:szCs w:val="16"/>
          <w:i w:val="1"/>
          <w:iCs w:val="1"/>
          <w:color w:val="auto"/>
        </w:rPr>
        <w:t>http://www.celldex.com.</w:t>
      </w:r>
      <w:r>
        <w:rPr>
          <w:rFonts w:ascii="Arial" w:cs="Arial" w:eastAsia="Arial" w:hAnsi="Arial"/>
          <w:sz w:val="16"/>
          <w:szCs w:val="16"/>
          <w:color w:val="auto"/>
        </w:rPr>
        <w:t xml:space="preserve"> On our website, investors can obtain, free of charge, a copy of our Annual Report on Form 10-K, Quarterly Reports on Form 10-Q, Current Reports on Form 8-K, and other reports filed or furnished pursuant to Section 13(a) or 15(d) of the Exchange Act of 1934, as amended, as soon as reasonably practicable after we file such material electronically with, or furnish it to, the Securities and Exchange Commission, or SEC. None of the information posted on our website is incorporated by reference into this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Development Programs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Rindopepimut</w:t>
      </w:r>
    </w:p>
    <w:p>
      <w:pPr>
        <w:spacing w:after="0" w:line="216" w:lineRule="exact"/>
        <w:rPr>
          <w:sz w:val="20"/>
          <w:szCs w:val="20"/>
          <w:color w:val="auto"/>
        </w:rPr>
      </w:pPr>
    </w:p>
    <w:p>
      <w:pPr>
        <w:ind w:firstLine="325"/>
        <w:spacing w:after="0" w:line="265" w:lineRule="auto"/>
        <w:rPr>
          <w:sz w:val="20"/>
          <w:szCs w:val="20"/>
          <w:color w:val="auto"/>
        </w:rPr>
      </w:pPr>
      <w:r>
        <w:rPr>
          <w:rFonts w:ascii="Arial" w:cs="Arial" w:eastAsia="Arial" w:hAnsi="Arial"/>
          <w:sz w:val="16"/>
          <w:szCs w:val="16"/>
          <w:color w:val="auto"/>
        </w:rPr>
        <w:t>Rindopepimut is an immunotherapeutic that targets the tumor-specific molecule epidermal growth factor receptor variant III, or EGFRvIII. EGFRvIII is a mutated form of the epidermal growth factor receptor, or EGFR, that is only expressed in cancer cells and not in normal tissue and can directly contribute to cancer cell growth. EGFRvIII is expressed in approximately 30% of glioblastoma multiforme, or GBM, tumors, the most common and aggressive form of brain cancer. Rindopepimut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rindopepimut for the treatment of EGFRvIII expressing GBM. The FDA has also granted Fast Track designation. In February 2015, the FDA granted rindopepimut Breakthrough Therapy Designation for the treatment of adult patients with EGFRvIII-positive glioblastoma.</w:t>
      </w:r>
    </w:p>
    <w:p>
      <w:pPr>
        <w:spacing w:after="0" w:line="178" w:lineRule="exact"/>
        <w:rPr>
          <w:sz w:val="20"/>
          <w:szCs w:val="20"/>
          <w:color w:val="auto"/>
        </w:rPr>
      </w:pPr>
    </w:p>
    <w:p>
      <w:pPr>
        <w:ind w:right="200" w:firstLine="322"/>
        <w:spacing w:after="0" w:line="332" w:lineRule="auto"/>
        <w:rPr>
          <w:sz w:val="20"/>
          <w:szCs w:val="20"/>
          <w:color w:val="auto"/>
        </w:rPr>
      </w:pPr>
      <w:r>
        <w:rPr>
          <w:rFonts w:ascii="Arial" w:cs="Arial" w:eastAsia="Arial" w:hAnsi="Arial"/>
          <w:sz w:val="14"/>
          <w:szCs w:val="14"/>
          <w:color w:val="auto"/>
        </w:rPr>
        <w:t>The Phase 2a study of rindopepimut referred to as ACTIVATE was led by collaborating investigators at the Brain Center at Duke Comprehensive Cancer Center in Durham, North Carolina and at M.D. Anderson Cancer Center in Houston, Texas and enrolled 18 evaluable GBM patients. An extension of the Phase 2a study referred to as ACT II evaluated 22 additional GBM patients treated in combination with the current standard of care, maintenance temozolomide, or TMZ, at the same two institutions.</w:t>
      </w:r>
    </w:p>
    <w:p>
      <w:pPr>
        <w:spacing w:after="0" w:line="132" w:lineRule="exact"/>
        <w:rPr>
          <w:sz w:val="20"/>
          <w:szCs w:val="20"/>
          <w:color w:val="auto"/>
        </w:rPr>
      </w:pPr>
    </w:p>
    <w:p>
      <w:pPr>
        <w:jc w:val="both"/>
        <w:ind w:right="300" w:firstLine="322"/>
        <w:spacing w:after="0" w:line="290" w:lineRule="auto"/>
        <w:rPr>
          <w:sz w:val="20"/>
          <w:szCs w:val="20"/>
          <w:color w:val="auto"/>
        </w:rPr>
      </w:pPr>
      <w:r>
        <w:rPr>
          <w:rFonts w:ascii="Arial" w:cs="Arial" w:eastAsia="Arial" w:hAnsi="Arial"/>
          <w:sz w:val="16"/>
          <w:szCs w:val="16"/>
          <w:color w:val="auto"/>
        </w:rPr>
        <w:t>The Phase 2b study of rindopepimut referred to as ACT III combined rindopepimut with standard of care, TMZ, in patients with newly diagnosed GBM. The ACT III study provided for a multi-center, non-randomized dataset for rindopepimut in 65 patients at over 30 sites throughout the United States.</w:t>
      </w:r>
    </w:p>
    <w:p>
      <w:pPr>
        <w:spacing w:after="0" w:line="156" w:lineRule="exact"/>
        <w:rPr>
          <w:sz w:val="20"/>
          <w:szCs w:val="20"/>
          <w:color w:val="auto"/>
        </w:rPr>
      </w:pPr>
    </w:p>
    <w:p>
      <w:pPr>
        <w:jc w:val="both"/>
        <w:ind w:right="320" w:firstLine="325"/>
        <w:spacing w:after="0" w:line="275" w:lineRule="auto"/>
        <w:rPr>
          <w:sz w:val="20"/>
          <w:szCs w:val="20"/>
          <w:color w:val="auto"/>
        </w:rPr>
      </w:pPr>
      <w:r>
        <w:rPr>
          <w:rFonts w:ascii="Arial" w:cs="Arial" w:eastAsia="Arial" w:hAnsi="Arial"/>
          <w:sz w:val="16"/>
          <w:szCs w:val="16"/>
          <w:color w:val="auto"/>
        </w:rPr>
        <w:t>In November 2013, we announced the four- and five-year survival data from the 105 patients enrolled in the three Phase 2 rindopepimut clinical studies (ACTIVATE, ACT II and ACT III) in EGFRvIII-positive GBM. Across these three Phase 2 studies of rindopepimut, survival data remains consistent and suggests a continuing survival benefit in comparison to independent control datasets (see chart below) at the median and at all other time points evaluated.</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Phase 2 Frontline Long-term Overall Survival Assessments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Median, Years</w:t>
            </w: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2-year</w:t>
            </w: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3-year</w:t>
            </w: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4-year</w:t>
            </w: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5-year</w:t>
            </w:r>
          </w:p>
        </w:tc>
      </w:tr>
      <w:tr>
        <w:trPr>
          <w:trHeight w:val="150"/>
        </w:trPr>
        <w:tc>
          <w:tcPr>
            <w:tcW w:w="24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(95% CI)</w:t>
            </w:r>
          </w:p>
        </w:tc>
        <w:tc>
          <w:tcPr>
            <w:tcW w:w="160" w:type="dxa"/>
            <w:vAlign w:val="bottom"/>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rate</w:t>
            </w:r>
          </w:p>
        </w:tc>
        <w:tc>
          <w:tcPr>
            <w:tcW w:w="140" w:type="dxa"/>
            <w:vAlign w:val="bottom"/>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40" w:type="dxa"/>
            <w:vAlign w:val="bottom"/>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60" w:type="dxa"/>
            <w:vAlign w:val="bottom"/>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60" w:type="dxa"/>
            <w:vAlign w:val="bottom"/>
          </w:tcPr>
          <w:p>
            <w:pPr>
              <w:spacing w:after="0"/>
              <w:rPr>
                <w:sz w:val="13"/>
                <w:szCs w:val="13"/>
                <w:color w:val="auto"/>
              </w:rPr>
            </w:pPr>
          </w:p>
        </w:tc>
      </w:tr>
      <w:tr>
        <w:trPr>
          <w:trHeight w:val="193"/>
        </w:trPr>
        <w:tc>
          <w:tcPr>
            <w:tcW w:w="5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Phase 2 rindopepimut studies (n=105)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 (1.8, 2.4)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07"/>
        </w:trPr>
        <w:tc>
          <w:tcPr>
            <w:tcW w:w="5540" w:type="dxa"/>
            <w:vAlign w:val="bottom"/>
            <w:gridSpan w:val="2"/>
          </w:tcPr>
          <w:p>
            <w:pPr>
              <w:spacing w:after="0"/>
              <w:rPr>
                <w:sz w:val="20"/>
                <w:szCs w:val="20"/>
                <w:color w:val="auto"/>
              </w:rPr>
            </w:pPr>
            <w:r>
              <w:rPr>
                <w:rFonts w:ascii="Arial" w:cs="Arial" w:eastAsia="Arial" w:hAnsi="Arial"/>
                <w:sz w:val="16"/>
                <w:szCs w:val="16"/>
                <w:color w:val="auto"/>
              </w:rPr>
              <w:t>Matched historical control (n=17)(1)</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1.3 (0.9, 1.7)</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r>
      <w:tr>
        <w:trPr>
          <w:trHeight w:val="93"/>
        </w:trPr>
        <w:tc>
          <w:tcPr>
            <w:tcW w:w="240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4" w:lineRule="exact"/>
        <w:rPr>
          <w:sz w:val="20"/>
          <w:szCs w:val="20"/>
          <w:color w:val="auto"/>
        </w:rPr>
      </w:pPr>
    </w:p>
    <w:p>
      <w:pPr>
        <w:ind w:left="1640" w:right="80" w:hanging="497"/>
        <w:spacing w:after="0" w:line="290" w:lineRule="auto"/>
        <w:tabs>
          <w:tab w:leader="none" w:pos="16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Patients treated at M.D. Anderson contemporaneously to ACTIVATE, matched for major eligibility requirements, including EGFRvIII-positive GBM, gross total resection and no disease progression through chemoradiation treatment.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pooled overall long-term survival results continue to be consistent with the ACT III Phase 2 study (18% for 4-years and 14% for 5-years).</w:t>
      </w:r>
    </w:p>
    <w:p>
      <w:pPr>
        <w:spacing w:after="0" w:line="216" w:lineRule="exact"/>
        <w:rPr>
          <w:sz w:val="20"/>
          <w:szCs w:val="20"/>
          <w:color w:val="auto"/>
        </w:rPr>
      </w:pPr>
    </w:p>
    <w:p>
      <w:pPr>
        <w:ind w:right="40" w:firstLine="325"/>
        <w:spacing w:after="0" w:line="287" w:lineRule="auto"/>
        <w:rPr>
          <w:sz w:val="20"/>
          <w:szCs w:val="20"/>
          <w:color w:val="auto"/>
        </w:rPr>
      </w:pPr>
      <w:r>
        <w:rPr>
          <w:rFonts w:ascii="Arial" w:cs="Arial" w:eastAsia="Arial" w:hAnsi="Arial"/>
          <w:sz w:val="15"/>
          <w:szCs w:val="15"/>
          <w:color w:val="auto"/>
        </w:rPr>
        <w:t>In December 2011, we initiated ACT IV, a pivotal, randomized, double-blind, controlled Phase 3 study of rindopepimut in patients with surgically resected, EGFRvIII-positive GBM. Patients were randomized after the completion of surgery and standard chemoradiation treatment. The treatment regimen included a rindopepimut priming phase post-radiation followed by an adjuvant TMZ phase and a rindopepimut maintenance therapy phase. Patients are treated until disease progression or intolerance to therapy. The primary objective of the study is to determine whether rindopepimut plus adjuvant GM-CSF improves the overall survival of patients with newly diagnosed EGFRvIII-positive GBM with minimal residual disease post resection and traditional chemo-radiation when compared to treatment with TMZ and a control injection of KLH. KLH is a component of rindopepimut and was selected due to its ability to generate a similar injection site reaction to that observed with rindopepimut.</w:t>
      </w:r>
    </w:p>
    <w:p>
      <w:pPr>
        <w:spacing w:after="0" w:line="163" w:lineRule="exact"/>
        <w:rPr>
          <w:sz w:val="20"/>
          <w:szCs w:val="20"/>
          <w:color w:val="auto"/>
        </w:rPr>
      </w:pPr>
    </w:p>
    <w:p>
      <w:pPr>
        <w:ind w:right="20" w:firstLine="325"/>
        <w:spacing w:after="0" w:line="286" w:lineRule="auto"/>
        <w:rPr>
          <w:sz w:val="20"/>
          <w:szCs w:val="20"/>
          <w:color w:val="auto"/>
        </w:rPr>
      </w:pPr>
      <w:r>
        <w:rPr>
          <w:rFonts w:ascii="Arial" w:cs="Arial" w:eastAsia="Arial" w:hAnsi="Arial"/>
          <w:sz w:val="15"/>
          <w:szCs w:val="15"/>
          <w:color w:val="auto"/>
        </w:rPr>
        <w:t>In December 2014, ACT IV completed enrollment. In total, over 4,800 GBM patients were screened for EGFRvIII status from more than 200 clinical trial sites across 22 countries and, consistent with prior studies, 30% were positive for the EGFRvIII mutation. The study enrolled 745 patients to reach the required 374 patients with minimal residual disease (assessed by central review) needed for analysis of the primary overall survival endpoint. All patients, including patients with disease that exceed this threshold, will be included in a secondary analysis of overall survival as well as analyses of progression-free survival, safety and tolerability, and quality of life. The timing of the overall survival primary endpoint data is event-driven. Interim analyses will be conducted by an independent Data Safety and Monitoring Board at 50% and 75% of events (deaths). The first interim analysis is expected in mid-2015. The second interim analysis is currently expected in late 2015 or early 2016 and the final data is expected by the end of 2016; although our expectations regarding the timing for the second interim analysis and final data read out may change based on event rates.</w:t>
      </w:r>
    </w:p>
    <w:p>
      <w:pPr>
        <w:spacing w:after="0" w:line="162" w:lineRule="exact"/>
        <w:rPr>
          <w:sz w:val="20"/>
          <w:szCs w:val="20"/>
          <w:color w:val="auto"/>
        </w:rPr>
      </w:pPr>
    </w:p>
    <w:p>
      <w:pPr>
        <w:ind w:firstLine="325"/>
        <w:spacing w:after="0" w:line="285" w:lineRule="auto"/>
        <w:rPr>
          <w:sz w:val="20"/>
          <w:szCs w:val="20"/>
          <w:color w:val="auto"/>
        </w:rPr>
      </w:pPr>
      <w:r>
        <w:rPr>
          <w:rFonts w:ascii="Arial" w:cs="Arial" w:eastAsia="Arial" w:hAnsi="Arial"/>
          <w:sz w:val="15"/>
          <w:szCs w:val="15"/>
          <w:color w:val="auto"/>
        </w:rPr>
        <w:t>In December 2011, we also initiated ReACT, a Phase 2 study of rindopepimut in combination with Avastin® in patients with recurrent EGFRvIII-positive GBM. This study completed enrollment in 2014 and includes 3 groups. Group 1 consists of 72 patients who had not previously received Avastin and were randomized to receive either rindopepimut and Avastin or a control injection of KLH and Avastin in a blinded fashion. Group 2 includes 25 patients who are refractory to Avastin having received Avastin in either the frontline or recurrent setting with subsequent progression and who received rindopepimut plus Avastin in a single treatment arm. In August 2013, we announced the addition of an expansion cohort of up to 75 patients, called Group 2C, to better characterize the potential activity of rindopepimut in this refractory patient population. This decision was based on early evidence of anti-tumor activity, including stable disease, tumor shrinkage and investigator-reported response. In total, Group 2C enrolled 28 patients. The primary endpoint is six month progression-free survival rate (PFS-6) for groups 1 and 2 and objective response rate (ORR) for group 2C. Other study endpoints include PFS-6, ORR, PFS, overall survival, or OS and safety and tolerability.</w:t>
      </w:r>
    </w:p>
    <w:p>
      <w:pPr>
        <w:spacing w:after="0" w:line="162" w:lineRule="exact"/>
        <w:rPr>
          <w:sz w:val="20"/>
          <w:szCs w:val="20"/>
          <w:color w:val="auto"/>
        </w:rPr>
      </w:pPr>
    </w:p>
    <w:p>
      <w:pPr>
        <w:jc w:val="both"/>
        <w:ind w:right="20" w:firstLine="325"/>
        <w:spacing w:after="0" w:line="270" w:lineRule="auto"/>
        <w:rPr>
          <w:sz w:val="20"/>
          <w:szCs w:val="20"/>
          <w:color w:val="auto"/>
        </w:rPr>
      </w:pPr>
      <w:r>
        <w:rPr>
          <w:rFonts w:ascii="Arial" w:cs="Arial" w:eastAsia="Arial" w:hAnsi="Arial"/>
          <w:sz w:val="16"/>
          <w:szCs w:val="16"/>
          <w:color w:val="auto"/>
        </w:rPr>
        <w:t>In November 2014, we reported the following interim data from the ReACT study. Rindopepimut plus Avastin was very well tolerated (dosing up to 26+ months) and the results demonstrated clear signs of clinical activity in advanced patient populations, including evidence of anti-tumor activity (tumor shrinkage, objective response and stable disease). Strong immune response correlated with improved outcome. In Avastin-naïve patients treated with both rindopepimut and Avastin, a statistically significant survival benefit was seen compared to the control patients.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Group 1 Interim Data</w:t>
      </w:r>
    </w:p>
    <w:p>
      <w:pPr>
        <w:spacing w:after="0" w:line="229" w:lineRule="exact"/>
        <w:rPr>
          <w:sz w:val="20"/>
          <w:szCs w:val="20"/>
          <w:color w:val="auto"/>
        </w:rPr>
      </w:pPr>
    </w:p>
    <w:p>
      <w:pPr>
        <w:ind w:left="5680" w:right="1800" w:hanging="5180"/>
        <w:spacing w:after="0" w:line="556" w:lineRule="auto"/>
        <w:tabs>
          <w:tab w:leader="none" w:pos="1007"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PFS-6: </w:t>
      </w:r>
      <w:r>
        <w:rPr>
          <w:rFonts w:ascii="Arial" w:cs="Arial" w:eastAsia="Arial" w:hAnsi="Arial"/>
          <w:sz w:val="16"/>
          <w:szCs w:val="16"/>
          <w:color w:val="auto"/>
        </w:rPr>
        <w:t>PFS-6 by investigator read was 27% for patients treated with rindopepimut compared to 11% for control patients (p=0.048)</w:t>
      </w:r>
      <w:r>
        <w:rPr>
          <w:rFonts w:ascii="Arial" w:cs="Arial" w:eastAsia="Arial" w:hAnsi="Arial"/>
          <w:sz w:val="16"/>
          <w:szCs w:val="16"/>
          <w:b w:val="1"/>
          <w:bCs w:val="1"/>
          <w:color w:val="auto"/>
        </w:rPr>
        <w:t xml:space="preserve"> </w:t>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726122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5" w:lineRule="exact"/>
        <w:rPr>
          <w:sz w:val="20"/>
          <w:szCs w:val="20"/>
          <w:color w:val="auto"/>
        </w:rPr>
      </w:pPr>
    </w:p>
    <w:p>
      <w:pPr>
        <w:ind w:left="1000" w:right="400" w:hanging="500"/>
        <w:spacing w:after="0" w:line="331" w:lineRule="auto"/>
        <w:tabs>
          <w:tab w:leader="none" w:pos="100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Survival: </w:t>
      </w:r>
      <w:r>
        <w:rPr>
          <w:rFonts w:ascii="Arial" w:cs="Arial" w:eastAsia="Arial" w:hAnsi="Arial"/>
          <w:sz w:val="15"/>
          <w:szCs w:val="15"/>
          <w:color w:val="auto"/>
        </w:rPr>
        <w:t>The OS demonstrated a statistically significant benefit (p=0.0208) with a hazard ratio of 0.47 (0.25, 0.91) in favor of the rindopepimut treated</w:t>
      </w:r>
      <w:r>
        <w:rPr>
          <w:rFonts w:ascii="Arial" w:cs="Arial" w:eastAsia="Arial" w:hAnsi="Arial"/>
          <w:sz w:val="15"/>
          <w:szCs w:val="15"/>
          <w:b w:val="1"/>
          <w:bCs w:val="1"/>
          <w:color w:val="auto"/>
        </w:rPr>
        <w:t xml:space="preserve"> </w:t>
      </w:r>
      <w:r>
        <w:rPr>
          <w:rFonts w:ascii="Arial" w:cs="Arial" w:eastAsia="Arial" w:hAnsi="Arial"/>
          <w:sz w:val="15"/>
          <w:szCs w:val="15"/>
          <w:color w:val="auto"/>
        </w:rPr>
        <w:t>patients. Median OS was 12.0 months for patients treated with rindopepimut compared to 8.8 months for control patients.</w:t>
      </w:r>
    </w:p>
    <w:p>
      <w:pPr>
        <w:spacing w:after="0" w:line="149" w:lineRule="exact"/>
        <w:rPr>
          <w:rFonts w:ascii="Arial" w:cs="Arial" w:eastAsia="Arial" w:hAnsi="Arial"/>
          <w:sz w:val="15"/>
          <w:szCs w:val="15"/>
          <w:color w:val="auto"/>
        </w:rPr>
      </w:pPr>
    </w:p>
    <w:p>
      <w:pPr>
        <w:ind w:left="1000" w:right="240" w:hanging="500"/>
        <w:spacing w:after="0" w:line="372" w:lineRule="auto"/>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Response Rate: </w:t>
      </w:r>
      <w:r>
        <w:rPr>
          <w:rFonts w:ascii="Arial" w:cs="Arial" w:eastAsia="Arial" w:hAnsi="Arial"/>
          <w:sz w:val="14"/>
          <w:szCs w:val="14"/>
          <w:color w:val="auto"/>
        </w:rPr>
        <w:t>7 out of 29 patients (24%) evaluable for response on the rindopepimut arm experienced a confirmed objective response versus 5 out of 30</w:t>
      </w:r>
      <w:r>
        <w:rPr>
          <w:rFonts w:ascii="Arial" w:cs="Arial" w:eastAsia="Arial" w:hAnsi="Arial"/>
          <w:sz w:val="14"/>
          <w:szCs w:val="14"/>
          <w:b w:val="1"/>
          <w:bCs w:val="1"/>
          <w:color w:val="auto"/>
        </w:rPr>
        <w:t xml:space="preserve"> </w:t>
      </w:r>
      <w:r>
        <w:rPr>
          <w:rFonts w:ascii="Arial" w:cs="Arial" w:eastAsia="Arial" w:hAnsi="Arial"/>
          <w:sz w:val="14"/>
          <w:szCs w:val="14"/>
          <w:color w:val="auto"/>
        </w:rPr>
        <w:t>patients (17%) evaluable for response on the control arm. Assessments of response were conducted by study investigators according to RANO criteria.</w:t>
      </w:r>
    </w:p>
    <w:p>
      <w:pPr>
        <w:spacing w:after="0" w:line="113" w:lineRule="exact"/>
        <w:rPr>
          <w:rFonts w:ascii="Arial" w:cs="Arial" w:eastAsia="Arial" w:hAnsi="Arial"/>
          <w:sz w:val="14"/>
          <w:szCs w:val="14"/>
          <w:color w:val="auto"/>
        </w:rPr>
      </w:pPr>
    </w:p>
    <w:p>
      <w:pPr>
        <w:ind w:left="1000" w:hanging="500"/>
        <w:spacing w:after="0"/>
        <w:tabs>
          <w:tab w:leader="none" w:pos="100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Other: </w:t>
      </w:r>
      <w:r>
        <w:rPr>
          <w:rFonts w:ascii="Arial" w:cs="Arial" w:eastAsia="Arial" w:hAnsi="Arial"/>
          <w:sz w:val="15"/>
          <w:szCs w:val="15"/>
          <w:color w:val="auto"/>
        </w:rPr>
        <w:t>All subgroup analyses, including performance status, steroid use and recent resection, show a hazard ratio in favor of rindopepimut treatment.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Group 2/2C Interim Data</w:t>
      </w:r>
    </w:p>
    <w:p>
      <w:pPr>
        <w:spacing w:after="0" w:line="229" w:lineRule="exact"/>
        <w:rPr>
          <w:sz w:val="20"/>
          <w:szCs w:val="20"/>
          <w:color w:val="auto"/>
        </w:rPr>
      </w:pPr>
    </w:p>
    <w:p>
      <w:pPr>
        <w:ind w:left="1000" w:right="200" w:hanging="500"/>
        <w:spacing w:after="0" w:line="295"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Survival: </w:t>
      </w:r>
      <w:r>
        <w:rPr>
          <w:rFonts w:ascii="Arial" w:cs="Arial" w:eastAsia="Arial" w:hAnsi="Arial"/>
          <w:sz w:val="16"/>
          <w:szCs w:val="16"/>
          <w:color w:val="auto"/>
        </w:rPr>
        <w:t>Median OS was 5.1 months (95% CI 3.2, 6.5) for these heavily pretreated, refractory EGFRvIII-positive patients. 46% of patients in Group 2/2C</w:t>
      </w:r>
      <w:r>
        <w:rPr>
          <w:rFonts w:ascii="Arial" w:cs="Arial" w:eastAsia="Arial" w:hAnsi="Arial"/>
          <w:sz w:val="16"/>
          <w:szCs w:val="16"/>
          <w:b w:val="1"/>
          <w:bCs w:val="1"/>
          <w:color w:val="auto"/>
        </w:rPr>
        <w:t xml:space="preserve"> </w:t>
      </w:r>
      <w:r>
        <w:rPr>
          <w:rFonts w:ascii="Arial" w:cs="Arial" w:eastAsia="Arial" w:hAnsi="Arial"/>
          <w:sz w:val="16"/>
          <w:szCs w:val="16"/>
          <w:color w:val="auto"/>
        </w:rPr>
        <w:t>were alive at 6 months.</w:t>
      </w:r>
    </w:p>
    <w:p>
      <w:pPr>
        <w:spacing w:after="0" w:line="172" w:lineRule="exact"/>
        <w:rPr>
          <w:rFonts w:ascii="Arial" w:cs="Arial" w:eastAsia="Arial" w:hAnsi="Arial"/>
          <w:sz w:val="16"/>
          <w:szCs w:val="16"/>
          <w:color w:val="auto"/>
        </w:rPr>
      </w:pPr>
    </w:p>
    <w:p>
      <w:pPr>
        <w:ind w:left="1000" w:hanging="500"/>
        <w:spacing w:after="0" w:line="269"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Response Rate: </w:t>
      </w:r>
      <w:r>
        <w:rPr>
          <w:rFonts w:ascii="Arial" w:cs="Arial" w:eastAsia="Arial" w:hAnsi="Arial"/>
          <w:sz w:val="16"/>
          <w:szCs w:val="16"/>
          <w:color w:val="auto"/>
        </w:rPr>
        <w:t>Based on investigator assessment, two patients experienced complete response, of which one was unconfirmed, and two patients experienced</w:t>
      </w:r>
      <w:r>
        <w:rPr>
          <w:rFonts w:ascii="Arial" w:cs="Arial" w:eastAsia="Arial" w:hAnsi="Arial"/>
          <w:sz w:val="16"/>
          <w:szCs w:val="16"/>
          <w:b w:val="1"/>
          <w:bCs w:val="1"/>
          <w:color w:val="auto"/>
        </w:rPr>
        <w:t xml:space="preserve"> </w:t>
      </w:r>
      <w:r>
        <w:rPr>
          <w:rFonts w:ascii="Arial" w:cs="Arial" w:eastAsia="Arial" w:hAnsi="Arial"/>
          <w:sz w:val="16"/>
          <w:szCs w:val="16"/>
          <w:color w:val="auto"/>
        </w:rPr>
        <w:t>partial response, of which one was unconfirmed, in Group 2. Two of these four patients did not meet the protocol defined definition of refractory in Group 2, the only two such patients enrolled. No additional objective responses were observed in Group 2C and the study did not meet the criteria (defined as two responses in the first 23 patients enrolled in Group 2C) for continued enrollment. Ten patients with measurable disease experienced objective tumor shrinkage across Group 2/2C.</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Final data is anticipated by mid-year 2015 and we intend to present this data at a peer-reviewed medical meeting in this same time frame.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Glembatumumab Vedotin</w:t>
      </w:r>
    </w:p>
    <w:p>
      <w:pPr>
        <w:spacing w:after="0" w:line="216" w:lineRule="exact"/>
        <w:rPr>
          <w:sz w:val="20"/>
          <w:szCs w:val="20"/>
          <w:color w:val="auto"/>
        </w:rPr>
      </w:pPr>
    </w:p>
    <w:p>
      <w:pPr>
        <w:ind w:right="120" w:firstLine="325"/>
        <w:spacing w:after="0" w:line="265" w:lineRule="auto"/>
        <w:rPr>
          <w:sz w:val="20"/>
          <w:szCs w:val="20"/>
          <w:color w:val="auto"/>
        </w:rPr>
      </w:pPr>
      <w:r>
        <w:rPr>
          <w:rFonts w:ascii="Arial" w:cs="Arial" w:eastAsia="Arial" w:hAnsi="Arial"/>
          <w:sz w:val="16"/>
          <w:szCs w:val="16"/>
          <w:color w:val="auto"/>
        </w:rPr>
        <w:t>Glembatumumab vedotin is an antibody-drug conjugate, or ADC, that consists of a fully-human monoclonal antibody, CR011, linked to a potent cell-killing drug, monomethyl-auristatin E, or MMAE. The CR011 antibody specifically targets glycoprotein NMB, referred to as gpNMB, that is over-expressed in a variety of cancers including breast cancer and melanoma. The ADC technology, comprised of MMAE and a stable linker system for attaching it to CR011, was licensed from Seattle Genetics, Inc. and is the same as that used in the marketed product Adcetris®.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w:t>
      </w:r>
    </w:p>
    <w:p>
      <w:pPr>
        <w:spacing w:after="0" w:line="174" w:lineRule="exact"/>
        <w:rPr>
          <w:sz w:val="20"/>
          <w:szCs w:val="20"/>
          <w:color w:val="auto"/>
        </w:rPr>
      </w:pPr>
    </w:p>
    <w:p>
      <w:pPr>
        <w:ind w:right="40" w:firstLine="322"/>
        <w:spacing w:after="0" w:line="266"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The Phase 1/2 study of glembatumumab vedotin administered intravenously once every three weeks evaluated patients with locally</w:t>
      </w:r>
      <w:r>
        <w:rPr>
          <w:rFonts w:ascii="Arial" w:cs="Arial" w:eastAsia="Arial" w:hAnsi="Arial"/>
          <w:sz w:val="16"/>
          <w:szCs w:val="16"/>
          <w:b w:val="1"/>
          <w:bCs w:val="1"/>
          <w:color w:val="auto"/>
        </w:rPr>
        <w:t xml:space="preserve"> </w:t>
      </w:r>
      <w:r>
        <w:rPr>
          <w:rFonts w:ascii="Arial" w:cs="Arial" w:eastAsia="Arial" w:hAnsi="Arial"/>
          <w:sz w:val="16"/>
          <w:szCs w:val="16"/>
          <w:color w:val="auto"/>
        </w:rPr>
        <w:t>advanced or metastatic breast cancer who had received prior therapy (median of seven prior regimens). The study began with a bridging phase to confirm the maximum tolerated dose, or MTD, and then expanded into a Phase 2 open-label, multi-center study. The study confirmed the safety of glembatumumab vedotin at the pre-defined maximum dose level (1.88 mg/kg) in 6 patients. An additional 28 patients were enrolled in an expanded Phase 2 cohort (for a total of 34 treated patients at 1.88 mg/kg, the Phase 2 dose) to evaluate the PFS rate at 12 weeks.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77" w:lineRule="exact"/>
        <w:rPr>
          <w:sz w:val="20"/>
          <w:szCs w:val="20"/>
          <w:color w:val="auto"/>
        </w:rPr>
      </w:pPr>
    </w:p>
    <w:p>
      <w:pPr>
        <w:ind w:firstLine="325"/>
        <w:spacing w:after="0" w:line="290"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72" w:lineRule="exact"/>
        <w:rPr>
          <w:sz w:val="20"/>
          <w:szCs w:val="20"/>
          <w:color w:val="auto"/>
        </w:rPr>
      </w:pPr>
    </w:p>
    <w:p>
      <w:pPr>
        <w:ind w:right="120" w:firstLine="325"/>
        <w:spacing w:after="0" w:line="286" w:lineRule="auto"/>
        <w:rPr>
          <w:sz w:val="20"/>
          <w:szCs w:val="20"/>
          <w:color w:val="auto"/>
        </w:rPr>
      </w:pPr>
      <w:r>
        <w:rPr>
          <w:rFonts w:ascii="Arial" w:cs="Arial" w:eastAsia="Arial" w:hAnsi="Arial"/>
          <w:sz w:val="15"/>
          <w:szCs w:val="15"/>
          <w:color w:val="auto"/>
        </w:rPr>
        <w:t>In December 2012, we announced final results from the EMERGE study, a randomized, multi-center Phase 2b study of glembatumumab vedotin in 122 patients with heavily pre-treated, advanced, gpNMB positive breast cancer.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OS. The final results, as shown below, suggested that glembatumumab vedotin induces significant response rates compared to currently available therapies in patient subsets with advanced, refractory breast cancers with gpNMB over-expression (expression in greater than or equal to 25% of tumor cells) and in patients with triple negative breast cancer. The OS and PFS of patients treated with glembatumumab vedotin was also observed to be greatest in patients with triple negative breast cancer who also over-express gpNMB and all patients with gpNMB over-expression.</w:t>
      </w: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EMERGE: Overall Response Rate and Disease Control Data</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Triple Negative</w:t>
            </w:r>
          </w:p>
        </w:tc>
      </w:tr>
      <w:tr>
        <w:trPr>
          <w:trHeight w:val="138"/>
        </w:trPr>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gridSpan w:val="4"/>
          </w:tcPr>
          <w:p>
            <w:pPr>
              <w:jc w:val="center"/>
              <w:ind w:right="140"/>
              <w:spacing w:after="0" w:line="138" w:lineRule="exact"/>
              <w:rPr>
                <w:sz w:val="20"/>
                <w:szCs w:val="20"/>
                <w:color w:val="auto"/>
              </w:rPr>
            </w:pPr>
            <w:r>
              <w:rPr>
                <w:rFonts w:ascii="Arial" w:cs="Arial" w:eastAsia="Arial" w:hAnsi="Arial"/>
                <w:sz w:val="13"/>
                <w:szCs w:val="13"/>
                <w:b w:val="1"/>
                <w:bCs w:val="1"/>
                <w:color w:val="auto"/>
                <w:w w:val="91"/>
              </w:rPr>
              <w:t>and gpNMB</w:t>
            </w:r>
          </w:p>
        </w:tc>
      </w:tr>
      <w:tr>
        <w:trPr>
          <w:trHeight w:val="150"/>
        </w:trPr>
        <w:tc>
          <w:tcPr>
            <w:tcW w:w="24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14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gpNMB Over-Expression</w:t>
            </w:r>
          </w:p>
        </w:tc>
        <w:tc>
          <w:tcPr>
            <w:tcW w:w="21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Over-Expression</w:t>
            </w:r>
          </w:p>
        </w:tc>
      </w:tr>
      <w:tr>
        <w:trPr>
          <w:trHeight w:val="117"/>
        </w:trPr>
        <w:tc>
          <w:tcPr>
            <w:tcW w:w="24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140"/>
              <w:spacing w:after="0" w:line="118" w:lineRule="exact"/>
              <w:rPr>
                <w:sz w:val="20"/>
                <w:szCs w:val="20"/>
                <w:color w:val="auto"/>
              </w:rPr>
            </w:pPr>
            <w:r>
              <w:rPr>
                <w:rFonts w:ascii="Arial" w:cs="Arial" w:eastAsia="Arial" w:hAnsi="Arial"/>
                <w:sz w:val="13"/>
                <w:szCs w:val="13"/>
                <w:b w:val="1"/>
                <w:bCs w:val="1"/>
                <w:color w:val="auto"/>
                <w:w w:val="86"/>
              </w:rPr>
              <w:t>glembatumumab</w:t>
            </w:r>
          </w:p>
        </w:tc>
        <w:tc>
          <w:tcPr>
            <w:tcW w:w="8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9"/>
              </w:rPr>
              <w:t>Investigator</w:t>
            </w:r>
          </w:p>
        </w:tc>
        <w:tc>
          <w:tcPr>
            <w:tcW w:w="14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140"/>
              <w:spacing w:after="0" w:line="118" w:lineRule="exact"/>
              <w:rPr>
                <w:sz w:val="20"/>
                <w:szCs w:val="20"/>
                <w:color w:val="auto"/>
              </w:rPr>
            </w:pPr>
            <w:r>
              <w:rPr>
                <w:rFonts w:ascii="Arial" w:cs="Arial" w:eastAsia="Arial" w:hAnsi="Arial"/>
                <w:sz w:val="13"/>
                <w:szCs w:val="13"/>
                <w:b w:val="1"/>
                <w:bCs w:val="1"/>
                <w:color w:val="auto"/>
                <w:w w:val="88"/>
              </w:rPr>
              <w:t>glembatumumab</w:t>
            </w:r>
          </w:p>
        </w:tc>
        <w:tc>
          <w:tcPr>
            <w:tcW w:w="7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6"/>
              </w:rPr>
              <w:t>Investigator</w:t>
            </w:r>
          </w:p>
        </w:tc>
        <w:tc>
          <w:tcPr>
            <w:tcW w:w="160" w:type="dxa"/>
            <w:vAlign w:val="bottom"/>
          </w:tcPr>
          <w:p>
            <w:pPr>
              <w:spacing w:after="0"/>
              <w:rPr>
                <w:sz w:val="10"/>
                <w:szCs w:val="10"/>
                <w:color w:val="auto"/>
              </w:rPr>
            </w:pPr>
          </w:p>
        </w:tc>
      </w:tr>
      <w:tr>
        <w:trPr>
          <w:trHeight w:val="150"/>
        </w:trPr>
        <w:tc>
          <w:tcPr>
            <w:tcW w:w="24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vedotin</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Choice</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vedotin</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Choice</w:t>
            </w:r>
          </w:p>
        </w:tc>
      </w:tr>
      <w:tr>
        <w:trPr>
          <w:trHeight w:val="130"/>
        </w:trPr>
        <w:tc>
          <w:tcPr>
            <w:tcW w:w="24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87"/>
              </w:rPr>
              <w:t>(n=25)</w:t>
            </w:r>
          </w:p>
        </w:tc>
        <w:tc>
          <w:tcPr>
            <w:tcW w:w="14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95"/>
              </w:rPr>
              <w:t>(n=8)</w:t>
            </w:r>
          </w:p>
        </w:tc>
        <w:tc>
          <w:tcPr>
            <w:tcW w:w="14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87"/>
              </w:rPr>
              <w:t>(n=12)</w:t>
            </w:r>
          </w:p>
        </w:tc>
        <w:tc>
          <w:tcPr>
            <w:tcW w:w="16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88"/>
              </w:rPr>
              <w:t>(n=4)</w:t>
            </w:r>
          </w:p>
        </w:tc>
        <w:tc>
          <w:tcPr>
            <w:tcW w:w="160" w:type="dxa"/>
            <w:vAlign w:val="bottom"/>
          </w:tcPr>
          <w:p>
            <w:pPr>
              <w:spacing w:after="0"/>
              <w:rPr>
                <w:sz w:val="11"/>
                <w:szCs w:val="11"/>
                <w:color w:val="auto"/>
              </w:rPr>
            </w:pPr>
          </w:p>
        </w:tc>
      </w:tr>
      <w:tr>
        <w:trPr>
          <w:trHeight w:val="193"/>
        </w:trPr>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Response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r>
      <w:tr>
        <w:trPr>
          <w:trHeight w:val="207"/>
        </w:trPr>
        <w:tc>
          <w:tcPr>
            <w:tcW w:w="4840" w:type="dxa"/>
            <w:vAlign w:val="bottom"/>
            <w:gridSpan w:val="2"/>
          </w:tcPr>
          <w:p>
            <w:pPr>
              <w:spacing w:after="0"/>
              <w:rPr>
                <w:sz w:val="20"/>
                <w:szCs w:val="20"/>
                <w:color w:val="auto"/>
              </w:rPr>
            </w:pPr>
            <w:r>
              <w:rPr>
                <w:rFonts w:ascii="Arial" w:cs="Arial" w:eastAsia="Arial" w:hAnsi="Arial"/>
                <w:sz w:val="16"/>
                <w:szCs w:val="16"/>
                <w:color w:val="auto"/>
              </w:rPr>
              <w:t>Disease Control Rate</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r>
      <w:tr>
        <w:trPr>
          <w:trHeight w:val="93"/>
        </w:trPr>
        <w:tc>
          <w:tcPr>
            <w:tcW w:w="240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1" w:lineRule="exact"/>
        <w:rPr>
          <w:sz w:val="20"/>
          <w:szCs w:val="20"/>
          <w:color w:val="auto"/>
        </w:rPr>
      </w:pPr>
    </w:p>
    <w:p>
      <w:pPr>
        <w:ind w:left="1140" w:right="380"/>
        <w:spacing w:after="0" w:line="275" w:lineRule="auto"/>
        <w:rPr>
          <w:sz w:val="20"/>
          <w:szCs w:val="20"/>
          <w:color w:val="auto"/>
        </w:rPr>
      </w:pPr>
      <w:r>
        <w:rPr>
          <w:rFonts w:ascii="Arial" w:cs="Arial" w:eastAsia="Arial" w:hAnsi="Arial"/>
          <w:sz w:val="16"/>
          <w:szCs w:val="16"/>
          <w:i w:val="1"/>
          <w:iCs w:val="1"/>
          <w:color w:val="auto"/>
        </w:rPr>
        <w:t>Responses per RECIST 1.1; IC = Investigator's Choice; glembatumumab vedotin arm includes 15 patients who crossed over to receive glembatumumab vedotin treatment after progression on IC. Analysis of best response excludes patients who discontinued from study without evaluable post-baseline radiographic imaging (n=15 for glembatumumab vedotin arm; n=5 for IC arm).</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EMERGE: Progression Free Survival (PFS) and Overall Survival (OS) Data</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7"/>
              </w:rPr>
              <w:t>Triple Negative</w:t>
            </w:r>
          </w:p>
        </w:tc>
      </w:tr>
      <w:tr>
        <w:trPr>
          <w:trHeight w:val="138"/>
        </w:trPr>
        <w:tc>
          <w:tcPr>
            <w:tcW w:w="24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tcPr>
          <w:p>
            <w:pPr>
              <w:jc w:val="center"/>
              <w:ind w:left="671"/>
              <w:spacing w:after="0" w:line="138" w:lineRule="exact"/>
              <w:rPr>
                <w:sz w:val="20"/>
                <w:szCs w:val="20"/>
                <w:color w:val="auto"/>
              </w:rPr>
            </w:pPr>
            <w:r>
              <w:rPr>
                <w:rFonts w:ascii="Arial" w:cs="Arial" w:eastAsia="Arial" w:hAnsi="Arial"/>
                <w:sz w:val="13"/>
                <w:szCs w:val="13"/>
                <w:b w:val="1"/>
                <w:bCs w:val="1"/>
                <w:color w:val="auto"/>
                <w:w w:val="92"/>
              </w:rPr>
              <w:t>gpNMB</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gridSpan w:val="4"/>
          </w:tcPr>
          <w:p>
            <w:pPr>
              <w:jc w:val="center"/>
              <w:ind w:right="140"/>
              <w:spacing w:after="0" w:line="138" w:lineRule="exact"/>
              <w:rPr>
                <w:sz w:val="20"/>
                <w:szCs w:val="20"/>
                <w:color w:val="auto"/>
              </w:rPr>
            </w:pPr>
            <w:r>
              <w:rPr>
                <w:rFonts w:ascii="Arial" w:cs="Arial" w:eastAsia="Arial" w:hAnsi="Arial"/>
                <w:sz w:val="13"/>
                <w:szCs w:val="13"/>
                <w:b w:val="1"/>
                <w:bCs w:val="1"/>
                <w:color w:val="auto"/>
                <w:w w:val="91"/>
              </w:rPr>
              <w:t>and gpNMB</w:t>
            </w:r>
          </w:p>
        </w:tc>
      </w:tr>
      <w:tr>
        <w:trPr>
          <w:trHeight w:val="150"/>
        </w:trPr>
        <w:tc>
          <w:tcPr>
            <w:tcW w:w="2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6"/>
              </w:rPr>
              <w:t>Over-Expression</w:t>
            </w:r>
          </w:p>
        </w:tc>
        <w:tc>
          <w:tcPr>
            <w:tcW w:w="21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Over-Expression</w:t>
            </w:r>
          </w:p>
        </w:tc>
      </w:tr>
      <w:tr>
        <w:trPr>
          <w:trHeight w:val="117"/>
        </w:trPr>
        <w:tc>
          <w:tcPr>
            <w:tcW w:w="2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Borders>
              <w:top w:val="single" w:sz="8" w:color="auto"/>
            </w:tcBorders>
            <w:gridSpan w:val="3"/>
          </w:tcPr>
          <w:p>
            <w:pPr>
              <w:jc w:val="center"/>
              <w:ind w:right="220"/>
              <w:spacing w:after="0" w:line="118" w:lineRule="exact"/>
              <w:rPr>
                <w:sz w:val="20"/>
                <w:szCs w:val="20"/>
                <w:color w:val="auto"/>
              </w:rPr>
            </w:pPr>
            <w:r>
              <w:rPr>
                <w:rFonts w:ascii="Arial" w:cs="Arial" w:eastAsia="Arial" w:hAnsi="Arial"/>
                <w:sz w:val="13"/>
                <w:szCs w:val="13"/>
                <w:b w:val="1"/>
                <w:bCs w:val="1"/>
                <w:color w:val="auto"/>
                <w:w w:val="86"/>
              </w:rPr>
              <w:t>glembatumumab</w:t>
            </w:r>
          </w:p>
        </w:tc>
        <w:tc>
          <w:tcPr>
            <w:tcW w:w="7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9"/>
              </w:rPr>
              <w:t>Investigator</w:t>
            </w:r>
          </w:p>
        </w:tc>
        <w:tc>
          <w:tcPr>
            <w:tcW w:w="14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140"/>
              <w:spacing w:after="0" w:line="118" w:lineRule="exact"/>
              <w:rPr>
                <w:sz w:val="20"/>
                <w:szCs w:val="20"/>
                <w:color w:val="auto"/>
              </w:rPr>
            </w:pPr>
            <w:r>
              <w:rPr>
                <w:rFonts w:ascii="Arial" w:cs="Arial" w:eastAsia="Arial" w:hAnsi="Arial"/>
                <w:sz w:val="13"/>
                <w:szCs w:val="13"/>
                <w:b w:val="1"/>
                <w:bCs w:val="1"/>
                <w:color w:val="auto"/>
                <w:w w:val="88"/>
              </w:rPr>
              <w:t>glembatumumab</w:t>
            </w:r>
          </w:p>
        </w:tc>
        <w:tc>
          <w:tcPr>
            <w:tcW w:w="7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6"/>
              </w:rPr>
              <w:t>Investigator</w:t>
            </w:r>
          </w:p>
        </w:tc>
        <w:tc>
          <w:tcPr>
            <w:tcW w:w="160" w:type="dxa"/>
            <w:vAlign w:val="bottom"/>
          </w:tcPr>
          <w:p>
            <w:pPr>
              <w:spacing w:after="0"/>
              <w:rPr>
                <w:sz w:val="10"/>
                <w:szCs w:val="10"/>
                <w:color w:val="auto"/>
              </w:rPr>
            </w:pPr>
          </w:p>
        </w:tc>
      </w:tr>
      <w:tr>
        <w:trPr>
          <w:trHeight w:val="150"/>
        </w:trPr>
        <w:tc>
          <w:tcPr>
            <w:tcW w:w="2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vedotin</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Choice</w:t>
            </w:r>
          </w:p>
        </w:tc>
        <w:tc>
          <w:tcPr>
            <w:tcW w:w="14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vedotin</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Choice</w:t>
            </w:r>
          </w:p>
        </w:tc>
        <w:tc>
          <w:tcPr>
            <w:tcW w:w="160" w:type="dxa"/>
            <w:vAlign w:val="bottom"/>
          </w:tcPr>
          <w:p>
            <w:pPr>
              <w:spacing w:after="0"/>
              <w:rPr>
                <w:sz w:val="13"/>
                <w:szCs w:val="13"/>
                <w:color w:val="auto"/>
              </w:rPr>
            </w:pPr>
          </w:p>
        </w:tc>
      </w:tr>
      <w:tr>
        <w:trPr>
          <w:trHeight w:val="193"/>
        </w:trPr>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Median PFS (months)</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r>
      <w:tr>
        <w:trPr>
          <w:trHeight w:val="200"/>
        </w:trPr>
        <w:tc>
          <w:tcPr>
            <w:tcW w:w="24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w w:val="89"/>
              </w:rPr>
              <w:t>p=0.14</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60" w:type="dxa"/>
            <w:vAlign w:val="bottom"/>
            <w:gridSpan w:val="4"/>
            <w:shd w:val="clear" w:color="auto" w:fill="CCEEFF"/>
          </w:tcPr>
          <w:p>
            <w:pPr>
              <w:ind w:left="780"/>
              <w:spacing w:after="0"/>
              <w:rPr>
                <w:sz w:val="20"/>
                <w:szCs w:val="20"/>
                <w:color w:val="auto"/>
              </w:rPr>
            </w:pPr>
            <w:r>
              <w:rPr>
                <w:rFonts w:ascii="Arial" w:cs="Arial" w:eastAsia="Arial" w:hAnsi="Arial"/>
                <w:sz w:val="16"/>
                <w:szCs w:val="16"/>
                <w:color w:val="auto"/>
              </w:rPr>
              <w:t>p=0.008</w:t>
            </w:r>
          </w:p>
        </w:tc>
      </w:tr>
      <w:tr>
        <w:trPr>
          <w:trHeight w:val="391"/>
        </w:trPr>
        <w:tc>
          <w:tcPr>
            <w:tcW w:w="4680" w:type="dxa"/>
            <w:vAlign w:val="bottom"/>
            <w:gridSpan w:val="2"/>
          </w:tcPr>
          <w:p>
            <w:pPr>
              <w:spacing w:after="0"/>
              <w:rPr>
                <w:sz w:val="20"/>
                <w:szCs w:val="20"/>
                <w:color w:val="auto"/>
              </w:rPr>
            </w:pPr>
            <w:r>
              <w:rPr>
                <w:rFonts w:ascii="Arial" w:cs="Arial" w:eastAsia="Arial" w:hAnsi="Arial"/>
                <w:sz w:val="16"/>
                <w:szCs w:val="16"/>
                <w:color w:val="auto"/>
              </w:rPr>
              <w:t>Median OS (months)</w:t>
            </w:r>
          </w:p>
        </w:tc>
        <w:tc>
          <w:tcPr>
            <w:tcW w:w="1360" w:type="dxa"/>
            <w:vAlign w:val="bottom"/>
            <w:gridSpan w:val="3"/>
          </w:tcPr>
          <w:p>
            <w:pPr>
              <w:jc w:val="right"/>
              <w:ind w:right="14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5.7</w:t>
            </w:r>
          </w:p>
        </w:tc>
        <w:tc>
          <w:tcPr>
            <w:tcW w:w="1220" w:type="dxa"/>
            <w:vAlign w:val="bottom"/>
            <w:gridSpan w:val="2"/>
          </w:tcPr>
          <w:p>
            <w:pPr>
              <w:ind w:left="800"/>
              <w:spacing w:after="0"/>
              <w:rPr>
                <w:sz w:val="20"/>
                <w:szCs w:val="20"/>
                <w:color w:val="auto"/>
              </w:rPr>
            </w:pPr>
            <w:r>
              <w:rPr>
                <w:rFonts w:ascii="Arial" w:cs="Arial" w:eastAsia="Arial" w:hAnsi="Arial"/>
                <w:sz w:val="16"/>
                <w:szCs w:val="16"/>
                <w:color w:val="auto"/>
              </w:rPr>
              <w:t>10.0</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5.5</w:t>
            </w:r>
          </w:p>
        </w:tc>
      </w:tr>
      <w:tr>
        <w:trPr>
          <w:trHeight w:val="207"/>
        </w:trPr>
        <w:tc>
          <w:tcPr>
            <w:tcW w:w="2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ind w:left="820"/>
              <w:spacing w:after="0"/>
              <w:rPr>
                <w:sz w:val="20"/>
                <w:szCs w:val="20"/>
                <w:color w:val="auto"/>
              </w:rPr>
            </w:pPr>
            <w:r>
              <w:rPr>
                <w:rFonts w:ascii="Arial" w:cs="Arial" w:eastAsia="Arial" w:hAnsi="Arial"/>
                <w:sz w:val="16"/>
                <w:szCs w:val="16"/>
                <w:color w:val="auto"/>
                <w:w w:val="89"/>
              </w:rPr>
              <w:t>p=0.18</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4"/>
          </w:tcPr>
          <w:p>
            <w:pPr>
              <w:ind w:left="780"/>
              <w:spacing w:after="0"/>
              <w:rPr>
                <w:sz w:val="20"/>
                <w:szCs w:val="20"/>
                <w:color w:val="auto"/>
              </w:rPr>
            </w:pPr>
            <w:r>
              <w:rPr>
                <w:rFonts w:ascii="Arial" w:cs="Arial" w:eastAsia="Arial" w:hAnsi="Arial"/>
                <w:sz w:val="16"/>
                <w:szCs w:val="16"/>
                <w:color w:val="auto"/>
              </w:rPr>
              <w:t>p=0.003</w:t>
            </w:r>
          </w:p>
        </w:tc>
      </w:tr>
      <w:tr>
        <w:trPr>
          <w:trHeight w:val="102"/>
        </w:trPr>
        <w:tc>
          <w:tcPr>
            <w:tcW w:w="240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1" w:lineRule="exact"/>
        <w:rPr>
          <w:sz w:val="20"/>
          <w:szCs w:val="20"/>
          <w:color w:val="auto"/>
        </w:rPr>
      </w:pPr>
    </w:p>
    <w:p>
      <w:pPr>
        <w:ind w:left="1140"/>
        <w:spacing w:after="0" w:line="366" w:lineRule="auto"/>
        <w:rPr>
          <w:sz w:val="20"/>
          <w:szCs w:val="20"/>
          <w:color w:val="auto"/>
        </w:rPr>
      </w:pPr>
      <w:r>
        <w:rPr>
          <w:rFonts w:ascii="Arial" w:cs="Arial" w:eastAsia="Arial" w:hAnsi="Arial"/>
          <w:sz w:val="14"/>
          <w:szCs w:val="14"/>
          <w:i w:val="1"/>
          <w:iCs w:val="1"/>
          <w:color w:val="auto"/>
        </w:rPr>
        <w:t>When cross over patients are removed, median OS in patients with gpNMB over-expression is 10.0 months for glembatumumab vedotin vs 5.2 months for IC (p=0.05) and median OS in triple negative patients with gpNMB over- expression is 10.0 months for glembatumumab vedotin vs 5.2 months for IC (p=0.009).</w:t>
      </w:r>
    </w:p>
    <w:p>
      <w:pPr>
        <w:spacing w:after="0" w:line="109" w:lineRule="exact"/>
        <w:rPr>
          <w:sz w:val="20"/>
          <w:szCs w:val="20"/>
          <w:color w:val="auto"/>
        </w:rPr>
      </w:pPr>
    </w:p>
    <w:p>
      <w:pPr>
        <w:ind w:right="260" w:firstLine="325"/>
        <w:spacing w:after="0" w:line="290" w:lineRule="auto"/>
        <w:rPr>
          <w:sz w:val="20"/>
          <w:szCs w:val="20"/>
          <w:color w:val="auto"/>
        </w:rPr>
      </w:pPr>
      <w:r>
        <w:rPr>
          <w:rFonts w:ascii="Arial" w:cs="Arial" w:eastAsia="Arial" w:hAnsi="Arial"/>
          <w:sz w:val="16"/>
          <w:szCs w:val="16"/>
          <w:color w:val="auto"/>
        </w:rPr>
        <w:t>In December 2013, we initiated METRIC, a randomized, controlled Phase 2b study of glembatumumab vedotin in patients with triple negative breast cancer that over-express gpNMB.</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To-date, 95 sites are open to enrollment across the United States, Canada and Australia. The study was originally designed to obtain accelerated approval. Feedback from clinical investigators conducting the study indicated that the eligibility criteria for study entry were limiting their ability to enroll patients they felt were clinically appropriate on study. In addition, we had spoken to country-specific members of the European Medicines Agency, or EMA, and believed a significant opportunity existed to expand the study into the EU. Based on these factors, in the fourth quarter of 2014, we amended the METRIC study and expanded patient entry criteria to position it for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We implemented these changes in parallel to regulatory discussions to maintain momentum at open clinical trial sites. Since implementation, both the FDA and central European regulatory authorities have reviewed the protocol design and we believe the METRIC study could support marketing approval in both the US and Europe dependent upon data review. Based on current projections, we believe enrollment will be completed in 2016.</w:t>
      </w:r>
    </w:p>
    <w:p>
      <w:pPr>
        <w:spacing w:after="0" w:line="160" w:lineRule="exact"/>
        <w:rPr>
          <w:sz w:val="20"/>
          <w:szCs w:val="20"/>
          <w:color w:val="auto"/>
        </w:rPr>
      </w:pPr>
    </w:p>
    <w:p>
      <w:pPr>
        <w:ind w:right="40" w:firstLine="322"/>
        <w:spacing w:after="0" w:line="310" w:lineRule="auto"/>
        <w:rPr>
          <w:sz w:val="20"/>
          <w:szCs w:val="20"/>
          <w:color w:val="auto"/>
        </w:rPr>
      </w:pPr>
      <w:r>
        <w:rPr>
          <w:rFonts w:ascii="Arial" w:cs="Arial" w:eastAsia="Arial" w:hAnsi="Arial"/>
          <w:sz w:val="14"/>
          <w:szCs w:val="14"/>
          <w:b w:val="1"/>
          <w:bCs w:val="1"/>
          <w:color w:val="auto"/>
        </w:rPr>
        <w:t xml:space="preserve">Treatment of Metastatic Melanoma: </w:t>
      </w:r>
      <w:r>
        <w:rPr>
          <w:rFonts w:ascii="Arial" w:cs="Arial" w:eastAsia="Arial" w:hAnsi="Arial"/>
          <w:sz w:val="14"/>
          <w:szCs w:val="14"/>
          <w:color w:val="auto"/>
        </w:rPr>
        <w:t>The Phase 1/2 open-label, multi-center, dose escalation study evaluated the safety, tolerability and pharmacokinetics of</w:t>
      </w:r>
      <w:r>
        <w:rPr>
          <w:rFonts w:ascii="Arial" w:cs="Arial" w:eastAsia="Arial" w:hAnsi="Arial"/>
          <w:sz w:val="14"/>
          <w:szCs w:val="14"/>
          <w:b w:val="1"/>
          <w:bCs w:val="1"/>
          <w:color w:val="auto"/>
        </w:rPr>
        <w:t xml:space="preserve"> </w:t>
      </w:r>
      <w:r>
        <w:rPr>
          <w:rFonts w:ascii="Arial" w:cs="Arial" w:eastAsia="Arial" w:hAnsi="Arial"/>
          <w:sz w:val="14"/>
          <w:szCs w:val="14"/>
          <w:color w:val="auto"/>
        </w:rPr>
        <w:t>glembatumumab vedotin in 117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Glembatumumab vedotin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49" w:lineRule="exact"/>
        <w:rPr>
          <w:sz w:val="20"/>
          <w:szCs w:val="20"/>
          <w:color w:val="auto"/>
        </w:rPr>
      </w:pPr>
    </w:p>
    <w:p>
      <w:pPr>
        <w:ind w:right="40" w:firstLine="325"/>
        <w:spacing w:after="0" w:line="294" w:lineRule="auto"/>
        <w:rPr>
          <w:sz w:val="20"/>
          <w:szCs w:val="20"/>
          <w:color w:val="auto"/>
        </w:rPr>
      </w:pPr>
      <w:r>
        <w:rPr>
          <w:rFonts w:ascii="Arial" w:cs="Arial" w:eastAsia="Arial" w:hAnsi="Arial"/>
          <w:sz w:val="15"/>
          <w:szCs w:val="15"/>
          <w:color w:val="auto"/>
        </w:rPr>
        <w:t>In December 2014, we initiated a single arm, open-label Phase 2 study of glembatumumab vedotin in patients with unresectable Stage III or IV melanoma. The study is expected to include approximately 10 sites in the United States and will enroll approximately 60 patients. The primary objective is to evaluate the anticancer activity of glembatumumab vedotin in advanced melanoma as measured by the ORR. Secondary endpoints include analyses of PFS, duration of response, OS, retrospective investigation of whether the anticancer activity of glembatumumab vedotin is dependent upon the degree of gpNMB expression in tumor tissue and safety.</w:t>
      </w:r>
    </w:p>
    <w:p>
      <w:pPr>
        <w:spacing w:after="0" w:line="155" w:lineRule="exact"/>
        <w:rPr>
          <w:sz w:val="20"/>
          <w:szCs w:val="20"/>
          <w:color w:val="auto"/>
        </w:rPr>
      </w:pPr>
    </w:p>
    <w:p>
      <w:pPr>
        <w:ind w:right="240" w:firstLine="322"/>
        <w:spacing w:after="0" w:line="275" w:lineRule="auto"/>
        <w:rPr>
          <w:sz w:val="20"/>
          <w:szCs w:val="20"/>
          <w:color w:val="auto"/>
        </w:rPr>
      </w:pPr>
      <w:r>
        <w:rPr>
          <w:rFonts w:ascii="Arial" w:cs="Arial" w:eastAsia="Arial" w:hAnsi="Arial"/>
          <w:sz w:val="16"/>
          <w:szCs w:val="16"/>
          <w:color w:val="auto"/>
        </w:rPr>
        <w:t>We have completed the assay optimization and validation for a Phase 2 study in squamous cell lung cancer and expect the study will commence in 2015. We have also entered into a Cooperative Research and Development Agreement, or CRADA, with the National Cancer Institute, or NCI, under which NCI will sponsor two studies of glembatumumab vedotin—one in uveal melanoma and one in pediatric osteosarcoma.</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Varlilumab</w:t>
      </w:r>
    </w:p>
    <w:p>
      <w:pPr>
        <w:spacing w:after="0" w:line="216" w:lineRule="exact"/>
        <w:rPr>
          <w:sz w:val="20"/>
          <w:szCs w:val="20"/>
          <w:color w:val="auto"/>
        </w:rPr>
      </w:pPr>
    </w:p>
    <w:p>
      <w:pPr>
        <w:ind w:firstLine="322"/>
        <w:spacing w:after="0" w:line="275" w:lineRule="auto"/>
        <w:rPr>
          <w:sz w:val="20"/>
          <w:szCs w:val="20"/>
          <w:color w:val="auto"/>
        </w:rPr>
      </w:pPr>
      <w:r>
        <w:rPr>
          <w:rFonts w:ascii="Arial" w:cs="Arial" w:eastAsia="Arial" w:hAnsi="Arial"/>
          <w:sz w:val="16"/>
          <w:szCs w:val="16"/>
          <w:color w:val="auto"/>
        </w:rPr>
        <w:t>Varlilumab is a human monoclonal antibody that targets CD27, a potentially important target for immunotherapy of various cancers. We have entered into license agreements with the University of Southampton, UK for intellectual property related to uses of anti-CD27 antibodies and with Medarex (now a subsidiary of the Bristol-Myers Squibb Company, or BMS) for access to the UltiMab technology to develop and commercialize human antibodies to CD27.</w:t>
      </w:r>
    </w:p>
    <w:p>
      <w:pPr>
        <w:spacing w:after="0" w:line="168" w:lineRule="exact"/>
        <w:rPr>
          <w:sz w:val="20"/>
          <w:szCs w:val="20"/>
          <w:color w:val="auto"/>
        </w:rPr>
      </w:pPr>
    </w:p>
    <w:p>
      <w:pPr>
        <w:ind w:right="120" w:firstLine="325"/>
        <w:spacing w:after="0" w:line="290" w:lineRule="auto"/>
        <w:rPr>
          <w:sz w:val="20"/>
          <w:szCs w:val="20"/>
          <w:color w:val="auto"/>
        </w:rPr>
      </w:pPr>
      <w:r>
        <w:rPr>
          <w:rFonts w:ascii="Arial" w:cs="Arial" w:eastAsia="Arial" w:hAnsi="Arial"/>
          <w:sz w:val="16"/>
          <w:szCs w:val="16"/>
          <w:color w:val="auto"/>
        </w:rPr>
        <w:t>CD27 acts downstream from CD40 and may provide a novel way to regulate the immune responses. CD27 is a co-stimulatory molecule on T cells and is over-expressed in certain lymphomas and leukemias. Varlilumab is an agonist antibody designed to have two potential therapeutic</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100"/>
        <w:spacing w:after="0" w:line="326" w:lineRule="auto"/>
        <w:rPr>
          <w:sz w:val="20"/>
          <w:szCs w:val="20"/>
          <w:color w:val="auto"/>
        </w:rPr>
      </w:pPr>
      <w:r>
        <w:rPr>
          <w:rFonts w:ascii="Arial" w:cs="Arial" w:eastAsia="Arial" w:hAnsi="Arial"/>
          <w:sz w:val="15"/>
          <w:szCs w:val="15"/>
          <w:color w:val="auto"/>
        </w:rPr>
        <w:t xml:space="preserve">mechanisms. Varlilumab has been shown to activate immune cells that can target and eliminate cancerous cells in tumor-bearing mice and to directly kill or inhibit the growth of CD27 expressing lymphomas and leukemias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Both mechanisms have been seen even at low doses in appropriate preclinical models.</w:t>
      </w:r>
    </w:p>
    <w:p>
      <w:pPr>
        <w:spacing w:after="0" w:line="132" w:lineRule="exact"/>
        <w:rPr>
          <w:sz w:val="20"/>
          <w:szCs w:val="20"/>
          <w:color w:val="auto"/>
        </w:rPr>
      </w:pPr>
    </w:p>
    <w:p>
      <w:pPr>
        <w:ind w:right="60" w:firstLine="322"/>
        <w:spacing w:after="0" w:line="287" w:lineRule="auto"/>
        <w:rPr>
          <w:sz w:val="20"/>
          <w:szCs w:val="20"/>
          <w:color w:val="auto"/>
        </w:rPr>
      </w:pPr>
      <w:r>
        <w:rPr>
          <w:rFonts w:ascii="Arial" w:cs="Arial" w:eastAsia="Arial" w:hAnsi="Arial"/>
          <w:sz w:val="15"/>
          <w:szCs w:val="15"/>
          <w:color w:val="auto"/>
        </w:rPr>
        <w:t>We are conducting an open label Phase 1 study of varlilumab in patients with selected malignant solid tumors or hematologic cancers at multiple clinical sites in the United States. Initial dose escalation cohorts were conducted to determine an optimal dose for future study and, to date, no maximum tolerated dose has been reached. The lymphoid malignancies dose escalation arm has completed enrollment (n=24) and a new cohort has been added to include evaluation of T cell malignancies. An expansion cohort has also been added at 0.3mg/kg dosed once every three weeks in patients with Hodgkin Lymphoma (n=15). The solid tumor arm, which included patients with various solid tumors, completed dose escalation in 2013. Two expansion cohorts were subsequently added at 3 mg/kg dosed weekly in metastatic melanoma (n=16) and renal cell carcinoma (n=15) to better characterize clinical activity and further define the safety profile in preparation for combination studies.</w:t>
      </w:r>
    </w:p>
    <w:p>
      <w:pPr>
        <w:spacing w:after="0" w:line="163" w:lineRule="exact"/>
        <w:rPr>
          <w:sz w:val="20"/>
          <w:szCs w:val="20"/>
          <w:color w:val="auto"/>
        </w:rPr>
      </w:pPr>
    </w:p>
    <w:p>
      <w:pPr>
        <w:ind w:right="20" w:firstLine="322"/>
        <w:spacing w:after="0" w:line="264" w:lineRule="auto"/>
        <w:rPr>
          <w:sz w:val="20"/>
          <w:szCs w:val="20"/>
          <w:color w:val="auto"/>
        </w:rPr>
      </w:pPr>
      <w:r>
        <w:rPr>
          <w:rFonts w:ascii="Arial" w:cs="Arial" w:eastAsia="Arial" w:hAnsi="Arial"/>
          <w:sz w:val="16"/>
          <w:szCs w:val="16"/>
          <w:color w:val="auto"/>
        </w:rPr>
        <w:t>We presented updated data from this Phase 1 study in November 2014. Varlilumab was very well tolerated and induced immunologic activity in patients that is consistent with both its mechanism of action and preclinical models. A total of 86 patients have been dosed in the study. 55 patients have been dosed in dose escalation cohorts (various solid and hematologic B-cell tumors) and 31 patients have been dosed in the expansion cohorts (melanoma and RCC) at 3 mg/kg. In both the solid tumor and hematologic dose-escalations, the pre-specified maximum dose level (10 mg/kg) was reached without identification of a maximum tolerated dose. The majority of adverse events (AE) related to treatment have been mild to moderate (Grade 1/2) in severity, with only three serious AEs related to treatment reported. No significant immune-mediated adverse events (colitis, hepatitis, etc.) typically associated with check-point blockade have been observed. Two patients experienced objective responses including a complete response in Hodgkin Lymphoma and a partial response in renal cell carcinoma. Thirteen patients experienced stable disease with a range of 3-30.7+ months to-date. Based on the results observed in hematologic malignancies, an expansion cohort has been added to enroll up to 15 patients with Hodgkin Lymphoma and an abbreviated dose escalation in T cell hematologic malignancies is ongoing.</w:t>
      </w:r>
    </w:p>
    <w:p>
      <w:pPr>
        <w:spacing w:after="0" w:line="179" w:lineRule="exact"/>
        <w:rPr>
          <w:sz w:val="20"/>
          <w:szCs w:val="20"/>
          <w:color w:val="auto"/>
        </w:rPr>
      </w:pPr>
    </w:p>
    <w:p>
      <w:pPr>
        <w:ind w:firstLine="325"/>
        <w:spacing w:after="0" w:line="265" w:lineRule="auto"/>
        <w:rPr>
          <w:sz w:val="20"/>
          <w:szCs w:val="20"/>
          <w:color w:val="auto"/>
        </w:rPr>
      </w:pPr>
      <w:r>
        <w:rPr>
          <w:rFonts w:ascii="Arial" w:cs="Arial" w:eastAsia="Arial" w:hAnsi="Arial"/>
          <w:sz w:val="16"/>
          <w:szCs w:val="16"/>
          <w:color w:val="auto"/>
        </w:rPr>
        <w:t>In May 2014, we entered into a clinical trial collaboration with Bristol-Myers Squibb Company, or BMS, to evaluate the safety, tolerability and preliminary efficacy of varlilumab and Opdivo®, BMS's PD-1 immune checkpoint inhibitor, in a Phase 1/2 study. Under the terms of this clinical trial collaboration, BMS made a one-time payment to us of $5.0 million and the companies amended the terms of our existing license agreement with Medarex (a subsidiary of BMS) related to our CD27 program whereby certain future milestone payments were waived and future royalty rates were reduced that may have been due from us to Medarex. In return, BMS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78" w:lineRule="exact"/>
        <w:rPr>
          <w:sz w:val="20"/>
          <w:szCs w:val="20"/>
          <w:color w:val="auto"/>
        </w:rPr>
      </w:pPr>
    </w:p>
    <w:p>
      <w:pPr>
        <w:ind w:right="140" w:firstLine="322"/>
        <w:spacing w:after="0" w:line="268" w:lineRule="auto"/>
        <w:rPr>
          <w:sz w:val="20"/>
          <w:szCs w:val="20"/>
          <w:color w:val="auto"/>
        </w:rPr>
      </w:pPr>
      <w:r>
        <w:rPr>
          <w:rFonts w:ascii="Arial" w:cs="Arial" w:eastAsia="Arial" w:hAnsi="Arial"/>
          <w:sz w:val="16"/>
          <w:szCs w:val="16"/>
          <w:color w:val="auto"/>
        </w:rPr>
        <w:t>The Phase 1/2 study was initiated in January of 2015 and is being conducted in adult patients with advanced non-small cell lung cancer, metastatic melanoma, colorectal cancer, ovarian cancer, and head and neck squamous cell carcinoma. The Phase 1 dose-escalation portion of the study will assess the safety and tolerability of varlilumab at varying doses when administered with Opdivo. Following dose escalation, a Phase 2 portion of the study will include five disease specific cohorts. The primary objective of the Phase 2 study is overall response rate. Secondary objectives include pharmacokinetics assessments, determining the immunogenicity of varlilumab when given in combination with Opdivo and further assessing the anti-tumor activity of combination treatment.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80" w:firstLine="325"/>
        <w:spacing w:after="0" w:line="287" w:lineRule="auto"/>
        <w:rPr>
          <w:sz w:val="20"/>
          <w:szCs w:val="20"/>
          <w:color w:val="auto"/>
        </w:rPr>
      </w:pPr>
      <w:r>
        <w:rPr>
          <w:rFonts w:ascii="Arial" w:cs="Arial" w:eastAsia="Arial" w:hAnsi="Arial"/>
          <w:sz w:val="15"/>
          <w:szCs w:val="15"/>
          <w:color w:val="auto"/>
        </w:rPr>
        <w:t>In May 2014, we also entered into a clinical trial collaboration with Oncothyreon Inc. to evaluate the safety, tolerability and preliminary efficacy of varlilumab and ONT-10, Oncothyreon's therapeutic vaccine targeting the tumor-associated antigen MUC1, in a Phase 1b study. Under the terms of the clinical trial collaboration, the Phase 1b trial will be conducted and funded by Oncothyreon. Both companies will jointly own the data from the trial and will make any plans for potential future development of the combination therapy together. The Phase 1b study was initiated in November 2014 and is being conducted in up to 42 patients with advanced breast or ovarian cancer. The primary objective of the trial is to determine the safety and tolerability of the combined therapy. Additional objectives include evaluations of the impact of combination treatment on MUC1-specific humoral and cellular immune responses, T-cell activation markers and levels of regulatory T-cells, and anti-tumor effects.</w:t>
      </w:r>
    </w:p>
    <w:p>
      <w:pPr>
        <w:spacing w:after="0" w:line="163" w:lineRule="exact"/>
        <w:rPr>
          <w:sz w:val="20"/>
          <w:szCs w:val="20"/>
          <w:color w:val="auto"/>
        </w:rPr>
      </w:pPr>
    </w:p>
    <w:p>
      <w:pPr>
        <w:ind w:firstLine="325"/>
        <w:spacing w:after="0" w:line="268" w:lineRule="auto"/>
        <w:rPr>
          <w:sz w:val="20"/>
          <w:szCs w:val="20"/>
          <w:color w:val="auto"/>
        </w:rPr>
      </w:pPr>
      <w:r>
        <w:rPr>
          <w:rFonts w:ascii="Arial" w:cs="Arial" w:eastAsia="Arial" w:hAnsi="Arial"/>
          <w:sz w:val="16"/>
          <w:szCs w:val="16"/>
          <w:color w:val="auto"/>
        </w:rPr>
        <w:t>Multiple efforts are underway to finalize designs and plans for additional Phase 2 combination studies of varlilumab, including but not limited to: a Phase 1/2 study of varlilumab and ipilumumab in patients with metastatic melanoma (plus CDX-1401 in NY-ESO positive patients); a Phase 1/2 of varlilumab plus sunitinib in renal cell carcinoma; and a Phase 1/2 study of varlilumab plus a mek pathway agent (followed sequentially by a checkpoint inhibitor) for patients with B-raf mutated metastatic melanoma. In addition to our sponsored studies and clinical trial collaborations, we anticipate that varlilumab's potential activity will also be explored in investigator sponsored studies at various academic institutions.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CDX-1401</w:t>
      </w:r>
    </w:p>
    <w:p>
      <w:pPr>
        <w:spacing w:after="0" w:line="216" w:lineRule="exact"/>
        <w:rPr>
          <w:sz w:val="20"/>
          <w:szCs w:val="20"/>
          <w:color w:val="auto"/>
        </w:rPr>
      </w:pPr>
    </w:p>
    <w:p>
      <w:pPr>
        <w:ind w:firstLine="325"/>
        <w:spacing w:after="0" w:line="266" w:lineRule="auto"/>
        <w:rPr>
          <w:sz w:val="20"/>
          <w:szCs w:val="20"/>
          <w:color w:val="auto"/>
        </w:rPr>
      </w:pPr>
      <w:r>
        <w:rPr>
          <w:rFonts w:ascii="Arial" w:cs="Arial" w:eastAsia="Arial" w:hAnsi="Arial"/>
          <w:sz w:val="16"/>
          <w:szCs w:val="16"/>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 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77" w:lineRule="exact"/>
        <w:rPr>
          <w:sz w:val="20"/>
          <w:szCs w:val="20"/>
          <w:color w:val="auto"/>
        </w:rPr>
      </w:pPr>
    </w:p>
    <w:p>
      <w:pPr>
        <w:ind w:firstLine="322"/>
        <w:spacing w:after="0" w:line="283" w:lineRule="auto"/>
        <w:rPr>
          <w:sz w:val="20"/>
          <w:szCs w:val="20"/>
          <w:color w:val="auto"/>
        </w:rPr>
      </w:pPr>
      <w:r>
        <w:rPr>
          <w:rFonts w:ascii="Arial" w:cs="Arial" w:eastAsia="Arial" w:hAnsi="Arial"/>
          <w:sz w:val="15"/>
          <w:szCs w:val="15"/>
          <w:color w:val="auto"/>
        </w:rPr>
        <w:t>We have completed a Phase 1 study of CDX-1401 which assessed the safety, immunogenicity and clinical activity of escalating doses of CDX-1401 with TLR agonists (resiquimod and/or Poly ICLC) in 45 patients with advanced malignancies refractory to all available therapies. 60% of patients had confirmed NY-ESO expression in archived tumor sample. Thirteen patients maintained stable disease for up to 13.4 months with a median of 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ipilimumab or an investigational checkpoint inhibitor and six of these patients had objective tumor regression. Six patients with melanoma received ipilimumab within three months of treatment with CDX-1401 and four (67%) had objective tumor responses, including one complete response, which compares favorably to the overall response rate of 11% previously reported in metastatic melanoma patients treated with single-agent ipilimumab. In addition, two patients with non-small cell lung cancer received an investigational checkpoint blockade within two months of completing treatment with CDX-1401 and both achieved partial responses.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60" w:firstLine="322"/>
        <w:spacing w:after="0" w:line="270" w:lineRule="auto"/>
        <w:rPr>
          <w:sz w:val="20"/>
          <w:szCs w:val="20"/>
          <w:color w:val="auto"/>
        </w:rPr>
      </w:pPr>
      <w:r>
        <w:rPr>
          <w:rFonts w:ascii="Arial" w:cs="Arial" w:eastAsia="Arial" w:hAnsi="Arial"/>
          <w:sz w:val="16"/>
          <w:szCs w:val="16"/>
          <w:color w:val="auto"/>
        </w:rPr>
        <w:t>The Phase 1 study identified a well-tolerated and immunogenic regimen to take forward into future studies. A Phase 2 study of CDX-1401 in combination with CDX-301 in metastatic melanoma is being conducted by the Cancer Immunotherapy Trials Network under a CRADA with the Cancer Therapy Evaluation Program of the NCI and is ongoing. In addition to our sponsored studies, we anticipate that CDX-1401's potential activity will also be explored in investigator sponsored studies at various academic institutions.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CDX-301</w:t>
      </w:r>
    </w:p>
    <w:p>
      <w:pPr>
        <w:spacing w:after="0" w:line="216" w:lineRule="exact"/>
        <w:rPr>
          <w:sz w:val="20"/>
          <w:szCs w:val="20"/>
          <w:color w:val="auto"/>
        </w:rPr>
      </w:pPr>
    </w:p>
    <w:p>
      <w:pPr>
        <w:ind w:right="40" w:firstLine="325"/>
        <w:spacing w:after="0" w:line="268" w:lineRule="auto"/>
        <w:rPr>
          <w:sz w:val="20"/>
          <w:szCs w:val="20"/>
          <w:color w:val="auto"/>
        </w:rPr>
      </w:pPr>
      <w:r>
        <w:rPr>
          <w:rFonts w:ascii="Arial" w:cs="Arial" w:eastAsia="Arial" w:hAnsi="Arial"/>
          <w:sz w:val="16"/>
          <w:szCs w:val="16"/>
          <w:color w:val="auto"/>
        </w:rPr>
        <w:t>CDX-301 is a FMS-like tyrosine kinase 3 ligand, or Flt3L, stem cell mobilizer and dendritic cell growth factor. We licensed CDX-301 from Amgen Inc.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3" w:lineRule="exact"/>
        <w:rPr>
          <w:sz w:val="20"/>
          <w:szCs w:val="20"/>
          <w:color w:val="auto"/>
        </w:rPr>
      </w:pPr>
    </w:p>
    <w:p>
      <w:pPr>
        <w:ind w:firstLine="325"/>
        <w:spacing w:after="0" w:line="283" w:lineRule="auto"/>
        <w:rPr>
          <w:sz w:val="20"/>
          <w:szCs w:val="20"/>
          <w:color w:val="auto"/>
        </w:rPr>
      </w:pPr>
      <w:r>
        <w:rPr>
          <w:rFonts w:ascii="Arial" w:cs="Arial" w:eastAsia="Arial" w:hAnsi="Arial"/>
          <w:sz w:val="15"/>
          <w:szCs w:val="15"/>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In December 2013, we announced data from a preclinical combination study of CDX-301and Mozobil® (Plerixafor injection, formerly AMD3100) demonstrating that the combination of these agents significantly increases hematopoietic stem cell mobilization in mice. The data demonstrate a novel potent cell mobilization regimen combining CDX-301 and Mozobil®, which may have significant potential for use in autologous and allogeneic hematopoietic stem cell transplantation. Based on the safety profile and the clinical and preclinical data to date, we initiated a pilot clinical study of CDX-301 for the mobilization and transplantation of allogeneic hematopoietic stem cells in patients with hematological malignancies undergoing hematopoietic stem cell transplantation. The study will explore the utility of CDX-301 alone and in combination with Mozobil®. In addition to our sponsored studies and clinical trial collaborations, we anticipate that CDX-301's potential activity will also be explored in investigator sponsored studies at various academic institutions.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Preclinical Programs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CDX-014</w:t>
      </w:r>
    </w:p>
    <w:p>
      <w:pPr>
        <w:spacing w:after="0" w:line="216" w:lineRule="exact"/>
        <w:rPr>
          <w:sz w:val="20"/>
          <w:szCs w:val="20"/>
          <w:color w:val="auto"/>
        </w:rPr>
      </w:pPr>
    </w:p>
    <w:p>
      <w:pPr>
        <w:ind w:right="20" w:firstLine="325"/>
        <w:spacing w:after="0" w:line="287" w:lineRule="auto"/>
        <w:rPr>
          <w:sz w:val="20"/>
          <w:szCs w:val="20"/>
          <w:color w:val="auto"/>
        </w:rPr>
      </w:pPr>
      <w:r>
        <w:rPr>
          <w:rFonts w:ascii="Arial" w:cs="Arial" w:eastAsia="Arial" w:hAnsi="Arial"/>
          <w:sz w:val="15"/>
          <w:szCs w:val="15"/>
          <w:color w:val="auto"/>
        </w:rPr>
        <w:t>CDX-014 is a fully-human monoclonal ADC that targets T-cell immunoglobulin and mucin domain 1, or TIM-1, a molecule that is upregulated in several cancers, including renal cell and ovarian carcinomas. TIM-1 is associated with kidney injury and the shedding of its ectodomain is a predictive biomarker for tumor progression. TIM-1 has very restricted expression in healthy tissues, making it a promising target for antibody mediated therapy. The TIM-1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expect to complete manufacturing and IND-enabling studies by the end of 2015 to support the initiation of Phase 1 clinical studies in renal cell carcinoma and potentially other TIM-1 expressing tumors in 2016.</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Development Strategy</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Immunotherapy Platform:</w:t>
      </w:r>
    </w:p>
    <w:p>
      <w:pPr>
        <w:spacing w:after="0" w:line="216" w:lineRule="exact"/>
        <w:rPr>
          <w:sz w:val="20"/>
          <w:szCs w:val="20"/>
          <w:color w:val="auto"/>
        </w:rPr>
      </w:pPr>
    </w:p>
    <w:p>
      <w:pPr>
        <w:ind w:right="200" w:firstLine="322"/>
        <w:spacing w:after="0" w:line="320" w:lineRule="auto"/>
        <w:rPr>
          <w:sz w:val="20"/>
          <w:szCs w:val="20"/>
          <w:color w:val="auto"/>
        </w:rPr>
      </w:pPr>
      <w:r>
        <w:rPr>
          <w:rFonts w:ascii="Arial" w:cs="Arial" w:eastAsia="Arial" w:hAnsi="Arial"/>
          <w:sz w:val="14"/>
          <w:szCs w:val="14"/>
          <w:color w:val="auto"/>
        </w:rPr>
        <w:t>We believe there is untapped potential in immunotherapy that can be captured through the right combination and/or sequence of therapeutic agents. Immunotherapy approaches have encountered difficulties when following standard drug development. The mechanisms of action are complex, activity is generally not dependent on highest tolerated dose and patient response is highly variable. Our understanding of the immune system, cancer's effect on immune mediated mechanisms, and the impact of conventional therapies on the immune system provides a new rationale for combining therapies that may lead to significant clinical benefit for patients with cancer.</w:t>
      </w:r>
    </w:p>
    <w:p>
      <w:pPr>
        <w:spacing w:after="0" w:line="142" w:lineRule="exact"/>
        <w:rPr>
          <w:sz w:val="20"/>
          <w:szCs w:val="20"/>
          <w:color w:val="auto"/>
        </w:rPr>
      </w:pPr>
    </w:p>
    <w:p>
      <w:pPr>
        <w:ind w:firstLine="325"/>
        <w:spacing w:after="0" w:line="266" w:lineRule="auto"/>
        <w:rPr>
          <w:sz w:val="20"/>
          <w:szCs w:val="20"/>
          <w:color w:val="auto"/>
        </w:rPr>
      </w:pPr>
      <w:r>
        <w:rPr>
          <w:rFonts w:ascii="Arial" w:cs="Arial" w:eastAsia="Arial" w:hAnsi="Arial"/>
          <w:sz w:val="16"/>
          <w:szCs w:val="16"/>
          <w:color w:val="auto"/>
        </w:rPr>
        <w:t>Our intent is to leverage this knowledge and the availability of good, tested products that may not have optimal clinical activity as a monotherapy, but which we believe may be very effective in combination approaches. Our goal is to design and develop targeted products that maximize the efficacy of immunotherapy regimens through combinations of therapeutic agents in significant and growing markets. We establish governmental and corporate alliances to fund development when appropriate and intend to commercialize our products either through our own direct selling efforts or, for products which we cannot develop ourselves through to commercialization, through corporate partners. This approach allows us to maximize the overall value of our technology and product portfolios while best ensuring the expeditious development of each individual product.</w:t>
      </w:r>
    </w:p>
    <w:p>
      <w:pPr>
        <w:spacing w:after="0" w:line="177" w:lineRule="exact"/>
        <w:rPr>
          <w:sz w:val="20"/>
          <w:szCs w:val="20"/>
          <w:color w:val="auto"/>
        </w:rPr>
      </w:pPr>
    </w:p>
    <w:p>
      <w:pPr>
        <w:ind w:right="220" w:firstLine="325"/>
        <w:spacing w:after="0" w:line="270" w:lineRule="auto"/>
        <w:rPr>
          <w:sz w:val="20"/>
          <w:szCs w:val="20"/>
          <w:color w:val="auto"/>
        </w:rPr>
      </w:pPr>
      <w:r>
        <w:rPr>
          <w:rFonts w:ascii="Arial" w:cs="Arial" w:eastAsia="Arial" w:hAnsi="Arial"/>
          <w:sz w:val="16"/>
          <w:szCs w:val="16"/>
          <w:color w:val="auto"/>
        </w:rPr>
        <w:t>Factors that may significantly harm our commercial success, and ultimately the market price of our common stock, include but are not limited to, announcements of technological innovations or new commercial products by our competitors, disclosure of unsuccessful results of clinical testing or regulatory proceedings and governmental approvals, adverse developments in patent or other proprietary rights, public concern about the safety of products developed by us and general economic and market conditions. See "Item 1A. Risk Factors."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Partnerships</w:t>
      </w:r>
    </w:p>
    <w:p>
      <w:pPr>
        <w:spacing w:after="0" w:line="220" w:lineRule="exact"/>
        <w:rPr>
          <w:sz w:val="20"/>
          <w:szCs w:val="20"/>
          <w:color w:val="auto"/>
        </w:rPr>
      </w:pPr>
    </w:p>
    <w:p>
      <w:pPr>
        <w:ind w:right="240" w:firstLine="322"/>
        <w:spacing w:after="0" w:line="268" w:lineRule="auto"/>
        <w:rPr>
          <w:sz w:val="20"/>
          <w:szCs w:val="20"/>
          <w:color w:val="auto"/>
        </w:rPr>
      </w:pPr>
      <w:r>
        <w:rPr>
          <w:rFonts w:ascii="Arial" w:cs="Arial" w:eastAsia="Arial" w:hAnsi="Arial"/>
          <w:sz w:val="16"/>
          <w:szCs w:val="16"/>
          <w:color w:val="auto"/>
        </w:rPr>
        <w:t>We plan to commercialize our lead drug candidate rindopepimut ourselves in North America and Europe. We may enter into co-development and commercialization partnerships for any of our programs where appropriate, including rindopepimut for commercialization outside of North America and Europe, glembatumumab vedotin and varlilumab.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spacing w:after="0" w:line="173" w:lineRule="exact"/>
        <w:rPr>
          <w:sz w:val="20"/>
          <w:szCs w:val="20"/>
          <w:color w:val="auto"/>
        </w:rPr>
      </w:pPr>
    </w:p>
    <w:p>
      <w:pPr>
        <w:ind w:right="100" w:firstLine="325"/>
        <w:spacing w:after="0" w:line="265" w:lineRule="auto"/>
        <w:rPr>
          <w:sz w:val="20"/>
          <w:szCs w:val="20"/>
          <w:color w:val="auto"/>
        </w:rPr>
      </w:pPr>
      <w:r>
        <w:rPr>
          <w:rFonts w:ascii="Arial" w:cs="Arial" w:eastAsia="Arial" w:hAnsi="Arial"/>
          <w:sz w:val="16"/>
          <w:szCs w:val="16"/>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 that we face. A delay or setback to a partner will, at a minimum, delay the commercialization of any affected products, and may ultimately prevent it. Moreover, any partner could breach its agreement with us or otherwise not use best efforts to promote our products. A partner may choose to pursue alternative technologies or products that compete with our technologies or products. In either case, if a partner failed to successfully develop one of our products, we would need to find another partner. Our ability to do so would depend upon our legal right to do so at the time and whether the product remained commercially viable.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TopoTarget A/S (TopoTarget)</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agreement with TopoTarget provided for us to receive up to $6.0 million in either (i) potential commercial milestone payments related to future net sales of Belinostat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or (ii) 10% of any sublicense income received by TopoTarget. We have no financial and operational responsibility for the clinical development of Belinostat under our</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TopoTarget. In February 2010, TopoTarget entered into a co-development and commercialization agreement for Belinostat with Spectrum</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Pharmaceuticals, Inc. During the years ended December 31, 2010 and 2014, we received $3.0 million and $3.0 million from TopoTarget, respectively. These payments are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last payments we were owed from TopoTarget.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Collaboration and License Agreements</w:t>
      </w:r>
    </w:p>
    <w:p>
      <w:pPr>
        <w:spacing w:after="0" w:line="220" w:lineRule="exact"/>
        <w:rPr>
          <w:sz w:val="20"/>
          <w:szCs w:val="20"/>
          <w:color w:val="auto"/>
        </w:rPr>
      </w:pPr>
    </w:p>
    <w:p>
      <w:pPr>
        <w:ind w:right="160" w:firstLine="322"/>
        <w:spacing w:after="0" w:line="332" w:lineRule="auto"/>
        <w:rPr>
          <w:sz w:val="20"/>
          <w:szCs w:val="20"/>
          <w:color w:val="auto"/>
        </w:rPr>
      </w:pPr>
      <w:r>
        <w:rPr>
          <w:rFonts w:ascii="Arial" w:cs="Arial" w:eastAsia="Arial" w:hAnsi="Arial"/>
          <w:sz w:val="14"/>
          <w:szCs w:val="14"/>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Medarex, Inc., a subsidiary of Bristol-Myers Squibb (Medarex)</w:t>
      </w:r>
    </w:p>
    <w:p>
      <w:pPr>
        <w:spacing w:after="0" w:line="216" w:lineRule="exact"/>
        <w:rPr>
          <w:sz w:val="20"/>
          <w:szCs w:val="20"/>
          <w:color w:val="auto"/>
        </w:rPr>
      </w:pPr>
    </w:p>
    <w:p>
      <w:pPr>
        <w:ind w:right="120" w:firstLine="322"/>
        <w:spacing w:after="0" w:line="320" w:lineRule="auto"/>
        <w:rPr>
          <w:sz w:val="20"/>
          <w:szCs w:val="20"/>
          <w:color w:val="auto"/>
        </w:rPr>
      </w:pPr>
      <w:r>
        <w:rPr>
          <w:rFonts w:ascii="Arial" w:cs="Arial" w:eastAsia="Arial" w:hAnsi="Arial"/>
          <w:sz w:val="14"/>
          <w:szCs w:val="14"/>
          <w:color w:val="auto"/>
        </w:rPr>
        <w:t>We and Medarex have entered into an assignment and license agreement, as amended, that provides for the assignment of certain patent and other intellectual property rights and a license to certain Medarex technology related to the Company's APC Targeting Technology™ and an anti-mannose receptor product. Under the terms of the agreement, we may be required to pay royalties in the low-single digits on any net product sale of a Licensed Royalty- Bearing Product or Anti-Mannose Product to Medarex until the later of (i) the expiration of the last to expire applicable patent and (ii) the tenth anniversary of the first commercial sale of such licensed product.</w:t>
      </w:r>
    </w:p>
    <w:p>
      <w:pPr>
        <w:spacing w:after="0" w:line="142" w:lineRule="exact"/>
        <w:rPr>
          <w:sz w:val="20"/>
          <w:szCs w:val="20"/>
          <w:color w:val="auto"/>
        </w:rPr>
      </w:pPr>
    </w:p>
    <w:p>
      <w:pPr>
        <w:ind w:right="100" w:firstLine="322"/>
        <w:spacing w:after="0" w:line="307" w:lineRule="auto"/>
        <w:rPr>
          <w:sz w:val="20"/>
          <w:szCs w:val="20"/>
          <w:color w:val="auto"/>
        </w:rPr>
      </w:pPr>
      <w:r>
        <w:rPr>
          <w:rFonts w:ascii="Arial" w:cs="Arial" w:eastAsia="Arial" w:hAnsi="Arial"/>
          <w:sz w:val="14"/>
          <w:szCs w:val="14"/>
          <w:color w:val="auto"/>
        </w:rPr>
        <w:t>We and Medarex have also entered into a research and commercialization agreement, as amended, that provides us with certain rights to obtain exclusive commercial licenses to proprietary monoclonal antibodies raised against certain antigens utilizing the Medarex UltiMAb technology platform for generating antibodies until December 2015. Under the terms of the agreement, we may be required to pay Medarex milestones of up to $7.0 million upon obtaining first approval for commercial sale in a first indication of a product containing a licensed antibody and royalty payments in the low-to-mid single digits on any net product sales with respect to the development of any products containing such licensed antibodies until the later of (i) the expiration of the last to expire applicable patent and (ii) the tenth anniversary of the first commercial sale of such licensed product. In September 2010, we exercised an option under our agreement, whereby we licensed from Medarex access to the UltiMab technology to develop and commercialize human antibodies to CD27, including varlilumab. In connection with the clinical trial collaboration we entered into with BMS in May 2014, we and BMS agreed to waive certain future milestone payments and to reduce future royalty rates that we may have owed Medarex in connection with any CD27 program were reduced.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Rockefeller University (Rockefeller)</w:t>
      </w:r>
    </w:p>
    <w:p>
      <w:pPr>
        <w:spacing w:after="0" w:line="216" w:lineRule="exact"/>
        <w:rPr>
          <w:sz w:val="20"/>
          <w:szCs w:val="20"/>
          <w:color w:val="auto"/>
        </w:rPr>
      </w:pPr>
    </w:p>
    <w:p>
      <w:pPr>
        <w:ind w:right="140" w:firstLine="325"/>
        <w:spacing w:after="0" w:line="268" w:lineRule="auto"/>
        <w:rPr>
          <w:sz w:val="20"/>
          <w:szCs w:val="20"/>
          <w:color w:val="auto"/>
        </w:rPr>
      </w:pPr>
      <w:r>
        <w:rPr>
          <w:rFonts w:ascii="Arial" w:cs="Arial" w:eastAsia="Arial" w:hAnsi="Arial"/>
          <w:sz w:val="16"/>
          <w:szCs w:val="16"/>
          <w:color w:val="auto"/>
        </w:rPr>
        <w:t>In November 2005, we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We may be required to pay Rockefeller milestones of up to $3.8 million upon obtaining first approval for commercial sale in a first indication of a product targeting the licensed receptor and royalty payments in the low-to-mid single digits on any net product sales with respect to development and commercialization of the human DEC-205 receptor.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Duke University Brain Tumor Cancer Center (Duke)</w:t>
      </w:r>
    </w:p>
    <w:p>
      <w:pPr>
        <w:spacing w:after="0" w:line="216" w:lineRule="exact"/>
        <w:rPr>
          <w:sz w:val="20"/>
          <w:szCs w:val="20"/>
          <w:color w:val="auto"/>
        </w:rPr>
      </w:pPr>
    </w:p>
    <w:p>
      <w:pPr>
        <w:ind w:right="160" w:firstLine="325"/>
        <w:spacing w:after="0" w:line="270" w:lineRule="auto"/>
        <w:rPr>
          <w:sz w:val="20"/>
          <w:szCs w:val="20"/>
          <w:color w:val="auto"/>
        </w:rPr>
      </w:pPr>
      <w:r>
        <w:rPr>
          <w:rFonts w:ascii="Arial" w:cs="Arial" w:eastAsia="Arial" w:hAnsi="Arial"/>
          <w:sz w:val="16"/>
          <w:szCs w:val="16"/>
          <w:color w:val="auto"/>
        </w:rPr>
        <w:t>In September 2006, we and Duke entered into a license agreement that gave us access and reference to the clinical data generated by Duke and its collaborators in order for us to generate our own filing with the FDA relating to rindopepimut. We may be required to pay Duke milestones of up to $0.7 million upon obtaining first approval for commercial sale in a first indication and royalty payments in the low-single digits on any net product sales with respect to development and commercialization of rindopepimut.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Ludwig Institute for Cancer Research (Ludwig)</w:t>
      </w:r>
    </w:p>
    <w:p>
      <w:pPr>
        <w:spacing w:after="0" w:line="216" w:lineRule="exact"/>
        <w:rPr>
          <w:sz w:val="20"/>
          <w:szCs w:val="20"/>
          <w:color w:val="auto"/>
        </w:rPr>
      </w:pPr>
    </w:p>
    <w:p>
      <w:pPr>
        <w:ind w:firstLine="325"/>
        <w:spacing w:after="0" w:line="302" w:lineRule="auto"/>
        <w:rPr>
          <w:sz w:val="20"/>
          <w:szCs w:val="20"/>
          <w:color w:val="auto"/>
        </w:rPr>
      </w:pPr>
      <w:r>
        <w:rPr>
          <w:rFonts w:ascii="Arial" w:cs="Arial" w:eastAsia="Arial" w:hAnsi="Arial"/>
          <w:sz w:val="15"/>
          <w:szCs w:val="15"/>
          <w:color w:val="auto"/>
        </w:rPr>
        <w:t>In October 2006, we and Ludwig entered into an agreement for the nonexclusive rights to certain cancer tumor targets for use in combination with our APC Targeting Technology. We may be required to pay Ludwig milestones of up to $1.0 million upon obtaining first approval for commercial sale in a first indication and royalty payments in the low-single digits on any net product sales with respect to development and commercialization of the technology licensed from Ludwig.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Alteris Therapeutics, Inc. (Alteris)</w:t>
      </w:r>
    </w:p>
    <w:p>
      <w:pPr>
        <w:spacing w:after="0" w:line="216" w:lineRule="exact"/>
        <w:rPr>
          <w:sz w:val="20"/>
          <w:szCs w:val="20"/>
          <w:color w:val="auto"/>
        </w:rPr>
      </w:pPr>
    </w:p>
    <w:p>
      <w:pPr>
        <w:ind w:right="380" w:firstLine="325"/>
        <w:spacing w:after="0" w:line="290" w:lineRule="auto"/>
        <w:rPr>
          <w:sz w:val="20"/>
          <w:szCs w:val="20"/>
          <w:color w:val="auto"/>
        </w:rPr>
      </w:pPr>
      <w:r>
        <w:rPr>
          <w:rFonts w:ascii="Arial" w:cs="Arial" w:eastAsia="Arial" w:hAnsi="Arial"/>
          <w:sz w:val="16"/>
          <w:szCs w:val="16"/>
          <w:color w:val="auto"/>
        </w:rPr>
        <w:t>In October 2005, we completed the acquisition of the assets of Alteris, including the EGFRvIII molecule. We may be required to pay Alteris up to $5.0 million upon obtaining the first approval for commercial sale of a product containing EGFRvIII, including rindopepimut.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University of Southampton, UK (Southampton)</w:t>
      </w:r>
    </w:p>
    <w:p>
      <w:pPr>
        <w:spacing w:after="0" w:line="216" w:lineRule="exact"/>
        <w:rPr>
          <w:sz w:val="20"/>
          <w:szCs w:val="20"/>
          <w:color w:val="auto"/>
        </w:rPr>
      </w:pPr>
    </w:p>
    <w:p>
      <w:pPr>
        <w:ind w:right="40" w:firstLine="325"/>
        <w:spacing w:after="0" w:line="302" w:lineRule="auto"/>
        <w:rPr>
          <w:sz w:val="20"/>
          <w:szCs w:val="20"/>
          <w:color w:val="auto"/>
        </w:rPr>
      </w:pPr>
      <w:r>
        <w:rPr>
          <w:rFonts w:ascii="Arial" w:cs="Arial" w:eastAsia="Arial" w:hAnsi="Arial"/>
          <w:sz w:val="15"/>
          <w:szCs w:val="15"/>
          <w:color w:val="auto"/>
        </w:rPr>
        <w:t>In November 2008, we entered into a license agreement with Southampton to develop human antibodies towards CD27, a potentially important target for immunotherapy of various cancers. We may be required to pay Southampton milestones of up to approximately $1.4 million upon obtaining first approval for commercial sale in a first indication and royalty payments in the low-single digits on any net product sales with respect to development and commercialization of varlilumab.</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Amgen Inc. (Amgen)</w:t>
      </w:r>
    </w:p>
    <w:p>
      <w:pPr>
        <w:spacing w:after="0" w:line="216" w:lineRule="exact"/>
        <w:rPr>
          <w:sz w:val="20"/>
          <w:szCs w:val="20"/>
          <w:color w:val="auto"/>
        </w:rPr>
      </w:pPr>
    </w:p>
    <w:p>
      <w:pPr>
        <w:ind w:right="140" w:firstLine="325"/>
        <w:spacing w:after="0" w:line="270" w:lineRule="auto"/>
        <w:rPr>
          <w:sz w:val="20"/>
          <w:szCs w:val="20"/>
          <w:color w:val="auto"/>
        </w:rPr>
      </w:pPr>
      <w:r>
        <w:rPr>
          <w:rFonts w:ascii="Arial" w:cs="Arial" w:eastAsia="Arial" w:hAnsi="Arial"/>
          <w:sz w:val="16"/>
          <w:szCs w:val="16"/>
          <w:color w:val="auto"/>
        </w:rPr>
        <w:t>In March 2009, we entered into a license agreement with Amgen to acquire the exclusive rights to CDX-301 and CD40 ligand, or CD40L. CDX-301 and CD40L are immune modulating molecules that increase the numbers and activity of immune cells that control immune responses. We may be required to pay Amgen milestones of up to $1.0 million upon obtaining first approval for commercial sale in a first indication and royalty payments in the low-single digits on any net product sales with respect to development and commercialization of the technology licensed from Amgen, including CDX-301.</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Amgen Fremont (formerly Abgenix)</w:t>
      </w:r>
    </w:p>
    <w:p>
      <w:pPr>
        <w:spacing w:after="0" w:line="216" w:lineRule="exact"/>
        <w:rPr>
          <w:sz w:val="20"/>
          <w:szCs w:val="20"/>
          <w:color w:val="auto"/>
        </w:rPr>
      </w:pPr>
    </w:p>
    <w:p>
      <w:pPr>
        <w:ind w:right="140" w:firstLine="325"/>
        <w:spacing w:after="0" w:line="294" w:lineRule="auto"/>
        <w:rPr>
          <w:sz w:val="20"/>
          <w:szCs w:val="20"/>
          <w:color w:val="auto"/>
        </w:rPr>
      </w:pPr>
      <w:r>
        <w:rPr>
          <w:rFonts w:ascii="Arial" w:cs="Arial" w:eastAsia="Arial" w:hAnsi="Arial"/>
          <w:sz w:val="15"/>
          <w:szCs w:val="15"/>
          <w:color w:val="auto"/>
        </w:rPr>
        <w:t>In connection with our acquisition of CuraGen Corporation in 2009, we assumed the license agreement between CuraGen and Amgen Fremont (successor in- interest to Abgenix) to develop fully-human monoclonal antibody therapeutics. In May 2009, an amendment to the license agreement was entered into related to CuraGen's exclusive rights to develop and commercialize glembatumumab vedotin, CDX-014 and antibodies to 10 other licensed antigens. Under the amendment, CuraGen and Amgen Fremont agreed to modify the terms of their existing cross-license of antigens whereby our amended license is fully paid-up and royalty-free.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Seattle Genetics, Inc. (Seattle Genetics)</w:t>
      </w:r>
    </w:p>
    <w:p>
      <w:pPr>
        <w:spacing w:after="0" w:line="216" w:lineRule="exact"/>
        <w:rPr>
          <w:sz w:val="20"/>
          <w:szCs w:val="20"/>
          <w:color w:val="auto"/>
        </w:rPr>
      </w:pPr>
    </w:p>
    <w:p>
      <w:pPr>
        <w:ind w:right="280" w:firstLine="325"/>
        <w:spacing w:after="0" w:line="275" w:lineRule="auto"/>
        <w:rPr>
          <w:sz w:val="20"/>
          <w:szCs w:val="20"/>
          <w:color w:val="auto"/>
        </w:rPr>
      </w:pPr>
      <w:r>
        <w:rPr>
          <w:rFonts w:ascii="Arial" w:cs="Arial" w:eastAsia="Arial" w:hAnsi="Arial"/>
          <w:sz w:val="16"/>
          <w:szCs w:val="16"/>
          <w:color w:val="auto"/>
        </w:rPr>
        <w:t>In connection with our acquisition of CuraGen, we assumed the license agreement between CuraGen and Seattle Genetics whereby CuraGen acquired the rights to proprietary ADC technology, with the right to sublicense, for use with its proprietary antibodies for the potential treatment of cancer. Under the terms of the agreement, we have the responsibility of using commercially reasonable efforts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80"/>
        <w:spacing w:after="0" w:line="301" w:lineRule="auto"/>
        <w:rPr>
          <w:sz w:val="20"/>
          <w:szCs w:val="20"/>
          <w:color w:val="auto"/>
        </w:rPr>
      </w:pPr>
      <w:r>
        <w:rPr>
          <w:rFonts w:ascii="Arial" w:cs="Arial" w:eastAsia="Arial" w:hAnsi="Arial"/>
          <w:sz w:val="14"/>
          <w:szCs w:val="14"/>
          <w:color w:val="auto"/>
        </w:rPr>
        <w:t>to develop, commercialize and market such treatment. In furtherance of these responsibilities, technical assistance from Seattle Genetics is available to us as necessary. We may be required to pay Seattle Genetics milestones of up to $5.0 million and $9.0 million for glembatumumab vedotin and CDX-014, respectively, upon obtaining first approval for commercial sale in a first indication and royalty payments in the mid-single digits on any net product sales with respect to development and commercialization of</w:t>
      </w:r>
    </w:p>
    <w:p>
      <w:pPr>
        <w:spacing w:after="0" w:line="1" w:lineRule="exact"/>
        <w:rPr>
          <w:sz w:val="20"/>
          <w:szCs w:val="20"/>
          <w:color w:val="auto"/>
        </w:rPr>
      </w:pPr>
    </w:p>
    <w:p>
      <w:pPr>
        <w:ind w:right="160"/>
        <w:spacing w:after="0" w:line="225" w:lineRule="auto"/>
        <w:rPr>
          <w:sz w:val="20"/>
          <w:szCs w:val="20"/>
          <w:color w:val="auto"/>
        </w:rPr>
      </w:pPr>
      <w:r>
        <w:rPr>
          <w:rFonts w:ascii="Arial" w:cs="Arial" w:eastAsia="Arial" w:hAnsi="Arial"/>
          <w:sz w:val="16"/>
          <w:szCs w:val="16"/>
          <w:color w:val="auto"/>
        </w:rPr>
        <w:t>these product candidates. The term of the agreement varies country to country and may be until the later of the expiration of the last relevant patent or the 10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anniversary of the first commercial sale. The agreement allows us to terminate with prior written notice, with both parties being able to terminate the agreement for an uncured material breach or insolvency of the other party.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20" w:lineRule="exact"/>
        <w:rPr>
          <w:sz w:val="20"/>
          <w:szCs w:val="20"/>
          <w:color w:val="auto"/>
        </w:rPr>
      </w:pPr>
    </w:p>
    <w:p>
      <w:pPr>
        <w:ind w:firstLine="322"/>
        <w:spacing w:after="0" w:line="286" w:lineRule="auto"/>
        <w:rPr>
          <w:sz w:val="20"/>
          <w:szCs w:val="20"/>
          <w:color w:val="auto"/>
        </w:rPr>
      </w:pPr>
      <w:r>
        <w:rPr>
          <w:rFonts w:ascii="Arial" w:cs="Arial" w:eastAsia="Arial" w:hAnsi="Arial"/>
          <w:sz w:val="15"/>
          <w:szCs w:val="15"/>
          <w:color w:val="auto"/>
        </w:rPr>
        <w:t>The biotechnology and pharmaceutical industries are intensely competitive and subject to rapid and significant technological change. Many of the products that we are attempting to develop and commercialize will be competing with existing therapies. In addition, a number of companies are pursuing the development of pharmaceuticals that target the same diseases and conditions that we are targeting. We face competition from pharmaceutical and biotechnology companies both in the United States and abroad. Our competitors may utilize discovery technologies and techniques or partner with collaborators in order to develop products more rapidly or successfully than us or our collaborators are able to do. Many of our competitors, particularly large pharmaceutical companies, have substantially greater financial, technical and human resources than we do. 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w:t>
      </w:r>
    </w:p>
    <w:p>
      <w:pPr>
        <w:spacing w:after="0" w:line="162" w:lineRule="exact"/>
        <w:rPr>
          <w:sz w:val="20"/>
          <w:szCs w:val="20"/>
          <w:color w:val="auto"/>
        </w:rPr>
      </w:pPr>
    </w:p>
    <w:p>
      <w:pPr>
        <w:ind w:firstLine="322"/>
        <w:spacing w:after="0" w:line="283" w:lineRule="auto"/>
        <w:rPr>
          <w:sz w:val="20"/>
          <w:szCs w:val="20"/>
          <w:color w:val="auto"/>
        </w:rPr>
      </w:pPr>
      <w:r>
        <w:rPr>
          <w:rFonts w:ascii="Arial" w:cs="Arial" w:eastAsia="Arial" w:hAnsi="Arial"/>
          <w:sz w:val="15"/>
          <w:szCs w:val="15"/>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 competitors of which we are aware that have initiated a Phase 3 study or have obtained marketing approval for a potentially competitive drug to rindopepimut for treatment of glioblastoma and/or glembatumumab vedotin for treatment of breast cancer include AbbVie, Arbor Pharmaceutics, Inc., AstraZeneca PLC, Bayer, Bristol-Myers Squibb, Celgene Corporation, Eisai Inc., Eli Lilly and Company, Medigene AG, Northwest Biotherapeutics, Inc., Novartis, Pfizer Inc., and Roche. Many other companies are developing or commercializing products in areas that we have targeted for product development. Some of these products use therapeutic approaches that may compete directly with our drug candidates. Most of our competitors possess substantially greater financial, technical and human resources than we possess. In addition, many of our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launch commercial sales of our drug candidates, we also will compete with respect to manufacturing efficiency and sales and marketing capabilities, areas in which we currently have limited experience.</w:t>
      </w:r>
    </w:p>
    <w:p>
      <w:pPr>
        <w:spacing w:after="0" w:line="163" w:lineRule="exact"/>
        <w:rPr>
          <w:sz w:val="20"/>
          <w:szCs w:val="20"/>
          <w:color w:val="auto"/>
        </w:rPr>
      </w:pPr>
    </w:p>
    <w:p>
      <w:pPr>
        <w:ind w:firstLine="322"/>
        <w:spacing w:after="0" w:line="268" w:lineRule="auto"/>
        <w:rPr>
          <w:sz w:val="20"/>
          <w:szCs w:val="20"/>
          <w:color w:val="auto"/>
        </w:rPr>
      </w:pPr>
      <w:r>
        <w:rPr>
          <w:rFonts w:ascii="Arial" w:cs="Arial" w:eastAsia="Arial" w:hAnsi="Arial"/>
          <w:sz w:val="16"/>
          <w:szCs w:val="16"/>
          <w:color w:val="auto"/>
        </w:rPr>
        <w:t>We also face competition from pharmaceutical and biotechnology companies, academic institutions, government agencies and private research organizations in recruiting and retaining highly qualified scientific personnel and consultants and in the development and acquisition of technologies.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biopharmaceutical companies to target the diseases on which we have focused both in the U.S. and outside of the U.S.</w:t>
      </w:r>
    </w:p>
    <w:p>
      <w:pPr>
        <w:spacing w:after="0" w:line="216" w:lineRule="exact"/>
        <w:rPr>
          <w:sz w:val="20"/>
          <w:szCs w:val="20"/>
          <w:color w:val="auto"/>
        </w:rPr>
      </w:pPr>
    </w:p>
    <w:p>
      <w:pPr>
        <w:ind w:firstLine="325"/>
        <w:spacing w:after="0" w:line="265" w:lineRule="auto"/>
        <w:rPr>
          <w:sz w:val="20"/>
          <w:szCs w:val="20"/>
          <w:color w:val="auto"/>
        </w:rPr>
      </w:pPr>
      <w:r>
        <w:rPr>
          <w:rFonts w:ascii="Arial" w:cs="Arial" w:eastAsia="Arial" w:hAnsi="Arial"/>
          <w:sz w:val="16"/>
          <w:szCs w:val="16"/>
          <w:color w:val="auto"/>
        </w:rPr>
        <w:t>Our competitive position will also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products, obtain the necessary regulatory approvals and successfully manufacture and market our products. In order to secure capital resources, we anticipate having to sell additional capital stock, which would dilute existing stockholders. We may also attempt to obtain funds through research grants and agreements with commercial collaborators. However, these types of fundings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20" w:lineRule="exact"/>
        <w:rPr>
          <w:sz w:val="20"/>
          <w:szCs w:val="20"/>
          <w:color w:val="auto"/>
        </w:rPr>
      </w:pPr>
    </w:p>
    <w:p>
      <w:pPr>
        <w:ind w:right="60" w:firstLine="322"/>
        <w:spacing w:after="0" w:line="265" w:lineRule="auto"/>
        <w:rPr>
          <w:sz w:val="20"/>
          <w:szCs w:val="20"/>
          <w:color w:val="auto"/>
        </w:rPr>
      </w:pPr>
      <w:r>
        <w:rPr>
          <w:rFonts w:ascii="Arial" w:cs="Arial" w:eastAsia="Arial" w:hAnsi="Arial"/>
          <w:sz w:val="16"/>
          <w:szCs w:val="16"/>
          <w:color w:val="auto"/>
        </w:rPr>
        <w:t>We have limited experience in commercial manufacturing. We rely on contract manufacturing organizations, or CMOs, to manufacture drug substance and drug product for our late-stage clinical studies of rindopepimut and glembatumumab vedotin as well as for future commercial supplies. We also rely on CMOs for filling and packaging, storage and shipping of drug product. In order for us to establish our own commercial manufacturing facility, we would require substantial additional funds and would need to hire and retain significant additional personnel and comply with the extensive current Good Manufacturing Practices, or cGMP, regulations applicable to such a facility. The commercial manufacturing facility would also need to be licensed for the production of our drug candidates by the FDA. For our most advanced programs, we are working with CMOs under established manufacturing arrangements that comply with the FDA's requirements and other regulatory standards, although there is no assurance that the manufacturing will be successful.</w:t>
      </w:r>
    </w:p>
    <w:p>
      <w:pPr>
        <w:spacing w:after="0" w:line="178" w:lineRule="exact"/>
        <w:rPr>
          <w:sz w:val="20"/>
          <w:szCs w:val="20"/>
          <w:color w:val="auto"/>
        </w:rPr>
      </w:pPr>
    </w:p>
    <w:p>
      <w:pPr>
        <w:ind w:firstLine="322"/>
        <w:spacing w:after="0" w:line="290" w:lineRule="auto"/>
        <w:rPr>
          <w:sz w:val="20"/>
          <w:szCs w:val="20"/>
          <w:color w:val="auto"/>
        </w:rPr>
      </w:pPr>
      <w:r>
        <w:rPr>
          <w:rFonts w:ascii="Arial" w:cs="Arial" w:eastAsia="Arial" w:hAnsi="Arial"/>
          <w:sz w:val="15"/>
          <w:szCs w:val="15"/>
          <w:color w:val="auto"/>
        </w:rPr>
        <w:t>We currently use rindopepimut drug product that was manufactured by Pfizer and Jubilant Hollister Stier, in the ACT IV and ReACT clinical studies. We have established a relationship with SAFC, a division of the Sigma Aldrich Corporation, and Patheon to manufacture and fill rindopepimut for late stage development and commercial supply. We rely on Biosyn and Ambiopharm for supplying suitable quantities of cGMP starting materials for the manufacture of rindopepimut. We also rely on Sanofi to supply suitable quantities of commercial quality GM-CSF which is co-administered with rindopepimut. Any manufacturing failures or delays by our rindopepimut contract manufacturers or suppliers of critical materials could cause delays in the ACT IV and ReACT studies and/or the commercial launch of rindopepimut.</w:t>
      </w:r>
    </w:p>
    <w:p>
      <w:pPr>
        <w:spacing w:after="0" w:line="158" w:lineRule="exact"/>
        <w:rPr>
          <w:sz w:val="20"/>
          <w:szCs w:val="20"/>
          <w:color w:val="auto"/>
        </w:rPr>
      </w:pPr>
    </w:p>
    <w:p>
      <w:pPr>
        <w:ind w:firstLine="322"/>
        <w:spacing w:after="0" w:line="294" w:lineRule="auto"/>
        <w:rPr>
          <w:sz w:val="20"/>
          <w:szCs w:val="20"/>
          <w:color w:val="auto"/>
        </w:rPr>
      </w:pPr>
      <w:r>
        <w:rPr>
          <w:rFonts w:ascii="Arial" w:cs="Arial" w:eastAsia="Arial" w:hAnsi="Arial"/>
          <w:sz w:val="15"/>
          <w:szCs w:val="15"/>
          <w:color w:val="auto"/>
        </w:rPr>
        <w:t>To date, we have utilized contract manufacturing organizations for the manufacture of clinical trial supplies of glembatumumab vedotin. We have established a relationship with Lonza, AG to manufacture the CR-011 antibody and Piramal Healthcare UK Ltd. to conjugate the CR-011 antibody and stable linker with the MMAE toxin. We rely on SAFC for sourcing of suitable quantities of vcMMAE. Any manufacturing failures or delays by our glembatumumab vedotin contract manufacturers or suppliers of materials could cause delays in our glembatumumab vedotin clinical studies including the METRIC study and/or the commercial launch of glembatumumab vedotin.</w:t>
      </w:r>
    </w:p>
    <w:p>
      <w:pPr>
        <w:spacing w:after="0" w:line="155" w:lineRule="exact"/>
        <w:rPr>
          <w:sz w:val="20"/>
          <w:szCs w:val="20"/>
          <w:color w:val="auto"/>
        </w:rPr>
      </w:pPr>
    </w:p>
    <w:p>
      <w:pPr>
        <w:ind w:firstLine="322"/>
        <w:spacing w:after="0" w:line="270" w:lineRule="auto"/>
        <w:rPr>
          <w:sz w:val="20"/>
          <w:szCs w:val="20"/>
          <w:color w:val="auto"/>
        </w:rPr>
      </w:pPr>
      <w:r>
        <w:rPr>
          <w:rFonts w:ascii="Arial" w:cs="Arial" w:eastAsia="Arial" w:hAnsi="Arial"/>
          <w:sz w:val="16"/>
          <w:szCs w:val="16"/>
          <w:color w:val="auto"/>
        </w:rPr>
        <w:t>We have established our own cGMP manufacturing facility in Fall River, Massachusetts, to produce clinical materials for our current and planned Phase 1 and Phase 2 clinical trials. Our Fall River manufacturing facility has up to 1000L bioreactor capacity and is able to manufacture in compliance with FDA regulations, allowing us to distribute potential products to clinical sites in the US for early clinical trials. We manufacture clinical materials of varlilumab, CDX-1401, CDX-301 and CDX-014 in our Fall River facility for our current and planned Phase 1 and Phase 2 clinical trials.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products are filled and packaged at CMOs. Any manufacturing failures or compliance issues at contract manufacturers could cause delays in our Phase 1 and Phase 2 clinical studies.</w:t>
      </w:r>
    </w:p>
    <w:p>
      <w:pPr>
        <w:spacing w:after="0" w:line="156" w:lineRule="exact"/>
        <w:rPr>
          <w:sz w:val="20"/>
          <w:szCs w:val="20"/>
          <w:color w:val="auto"/>
        </w:rPr>
      </w:pPr>
    </w:p>
    <w:p>
      <w:pPr>
        <w:ind w:firstLine="322"/>
        <w:spacing w:after="0" w:line="275" w:lineRule="auto"/>
        <w:rPr>
          <w:sz w:val="20"/>
          <w:szCs w:val="20"/>
          <w:color w:val="auto"/>
        </w:rPr>
      </w:pPr>
      <w:r>
        <w:rPr>
          <w:rFonts w:ascii="Arial" w:cs="Arial" w:eastAsia="Arial" w:hAnsi="Arial"/>
          <w:sz w:val="16"/>
          <w:szCs w:val="16"/>
          <w:color w:val="auto"/>
        </w:rPr>
        <w:t>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w:t>
      </w:r>
    </w:p>
    <w:p>
      <w:pPr>
        <w:spacing w:after="0" w:line="168" w:lineRule="exact"/>
        <w:rPr>
          <w:sz w:val="20"/>
          <w:szCs w:val="20"/>
          <w:color w:val="auto"/>
        </w:rPr>
      </w:pPr>
    </w:p>
    <w:p>
      <w:pPr>
        <w:ind w:firstLine="322"/>
        <w:spacing w:after="0" w:line="315" w:lineRule="auto"/>
        <w:rPr>
          <w:sz w:val="20"/>
          <w:szCs w:val="20"/>
          <w:color w:val="auto"/>
        </w:rPr>
      </w:pPr>
      <w:r>
        <w:rPr>
          <w:rFonts w:ascii="Arial" w:cs="Arial" w:eastAsia="Arial" w:hAnsi="Arial"/>
          <w:sz w:val="14"/>
          <w:szCs w:val="14"/>
          <w:color w:val="auto"/>
        </w:rPr>
        <w:t>While we believe that there is currently sufficient capacity worldwide for the production of our potential products through contract manufacturers, establishing long-term relationships with contract manufacturers and securing multiple sources for the necessary quantities of clinical and commercial materials required can be a challenge. Qualifying the initial source of clinical and ultimately commercial material is a time consuming and expensive process due to the highly regulated nature of the pharmaceutical/biotech industry. These costs may be mitigated by the economies of scale realized in commercial manufacture and product sale. The key difficulty in qualifying more than one source for each product is the duplicated time and expense in doing so without the potential to mitigate these costs if the secondary source is never utilized.</w:t>
      </w:r>
    </w:p>
    <w:p>
      <w:pPr>
        <w:spacing w:after="0" w:line="144" w:lineRule="exact"/>
        <w:rPr>
          <w:sz w:val="20"/>
          <w:szCs w:val="20"/>
          <w:color w:val="auto"/>
        </w:rPr>
      </w:pPr>
    </w:p>
    <w:p>
      <w:pPr>
        <w:ind w:right="100" w:firstLine="325"/>
        <w:spacing w:after="0" w:line="320" w:lineRule="auto"/>
        <w:rPr>
          <w:sz w:val="20"/>
          <w:szCs w:val="20"/>
          <w:color w:val="auto"/>
        </w:rPr>
      </w:pPr>
      <w:r>
        <w:rPr>
          <w:rFonts w:ascii="Arial" w:cs="Arial" w:eastAsia="Arial" w:hAnsi="Arial"/>
          <w:sz w:val="14"/>
          <w:szCs w:val="14"/>
          <w:color w:val="auto"/>
        </w:rPr>
        <w:t>Use of third 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 party manufacturers fail to meet our manufacturing needs in an acceptable manner, we would face delays and additional costs while we develop internal manufacturing capabilities or find alternate third party manufacturers. It may not be possible to have multiple third party manufacturers ready to supply us with needed material at all or without incurring significant costs.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Organization</w:t>
      </w:r>
    </w:p>
    <w:p>
      <w:pPr>
        <w:spacing w:after="0" w:line="220" w:lineRule="exact"/>
        <w:rPr>
          <w:sz w:val="20"/>
          <w:szCs w:val="20"/>
          <w:color w:val="auto"/>
        </w:rPr>
      </w:pPr>
    </w:p>
    <w:p>
      <w:pPr>
        <w:ind w:right="80" w:firstLine="325"/>
        <w:spacing w:after="0" w:line="268" w:lineRule="auto"/>
        <w:rPr>
          <w:sz w:val="20"/>
          <w:szCs w:val="20"/>
          <w:color w:val="auto"/>
        </w:rPr>
      </w:pPr>
      <w:r>
        <w:rPr>
          <w:rFonts w:ascii="Arial" w:cs="Arial" w:eastAsia="Arial" w:hAnsi="Arial"/>
          <w:sz w:val="16"/>
          <w:szCs w:val="16"/>
          <w:color w:val="auto"/>
        </w:rPr>
        <w:t>Our strategy is to build a fully integrated, commercial stage biopharmaceutical company that would give us the opportunity to retain marketing rights to our product candidates and commercialize such products ourselves where we deem appropriate or pursue strategic partnerships to develop, sell, market and distribute our product candidates where we deem appropriate. We currently plan to commercialize rindopepimut in the United States and Europe ourselves, if regulatory approval is obtained, and to seek strategic partnerships to commercialize rindopepimut in other geographies. We may enter into strategic partnerships to develop, sell, market and distribute our other product candidates, including glembatumumab vedotin and varlilumab.</w:t>
      </w:r>
    </w:p>
    <w:p>
      <w:pPr>
        <w:spacing w:after="0" w:line="173" w:lineRule="exact"/>
        <w:rPr>
          <w:sz w:val="20"/>
          <w:szCs w:val="20"/>
          <w:color w:val="auto"/>
        </w:rPr>
      </w:pPr>
    </w:p>
    <w:p>
      <w:pPr>
        <w:ind w:firstLine="325"/>
        <w:spacing w:after="0" w:line="270" w:lineRule="auto"/>
        <w:rPr>
          <w:sz w:val="20"/>
          <w:szCs w:val="20"/>
          <w:color w:val="auto"/>
        </w:rPr>
      </w:pPr>
      <w:r>
        <w:rPr>
          <w:rFonts w:ascii="Arial" w:cs="Arial" w:eastAsia="Arial" w:hAnsi="Arial"/>
          <w:sz w:val="16"/>
          <w:szCs w:val="16"/>
          <w:color w:val="auto"/>
        </w:rPr>
        <w:t>Over the past two years, we have begun to assemble key components of a commercial organization with a focus on preparation for the potential launch of rindopepimut, if regulatory approval is obtained. We are assembling a focused commercial team with broad experience in marketing, sales, distribution and product reimbursement. We have also developed the capability to provide current and future market insights to our research and development organization regarding glembatumumab vedotin, varlilumab and our earlier-stage product candidates.</w:t>
      </w:r>
    </w:p>
    <w:p>
      <w:pPr>
        <w:spacing w:after="0" w:line="172" w:lineRule="exact"/>
        <w:rPr>
          <w:sz w:val="20"/>
          <w:szCs w:val="20"/>
          <w:color w:val="auto"/>
        </w:rPr>
      </w:pPr>
    </w:p>
    <w:p>
      <w:pPr>
        <w:ind w:right="20" w:firstLine="322"/>
        <w:spacing w:after="0" w:line="287" w:lineRule="auto"/>
        <w:rPr>
          <w:sz w:val="20"/>
          <w:szCs w:val="20"/>
          <w:color w:val="auto"/>
        </w:rPr>
      </w:pPr>
      <w:r>
        <w:rPr>
          <w:rFonts w:ascii="Arial" w:cs="Arial" w:eastAsia="Arial" w:hAnsi="Arial"/>
          <w:sz w:val="15"/>
          <w:szCs w:val="15"/>
          <w:color w:val="auto"/>
        </w:rPr>
        <w:t>We have been expanding our understanding of the glioblastoma market, developing our commercial strategy for the potential launch of rindopepimut, and planning the infrastructure necessary to support future commercial activities. Our understanding of the glioblastoma market in the United States and Europe incorporates information regarding the current standard of care as well as patient, health care provider and payer attitudes toward current and potential future therapies. Based on this information and the data obtained from our Phase 2 clinical trials of rindopepimut, we have begun developing our go-to-market strategy for rindopepimut, which we intend to update and refine as we obtain additional information regarding the potential commercial profile for rindopepimut. In particular, we plan to incorporate the information we obtain regarding the efficacy and safety of rindopepimut from our registration program into our marketing strategy.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120" w:firstLine="316"/>
        <w:spacing w:after="0" w:line="268" w:lineRule="auto"/>
        <w:rPr>
          <w:sz w:val="20"/>
          <w:szCs w:val="20"/>
          <w:color w:val="auto"/>
        </w:rPr>
      </w:pPr>
      <w:r>
        <w:rPr>
          <w:rFonts w:ascii="Arial" w:cs="Arial" w:eastAsia="Arial" w:hAnsi="Arial"/>
          <w:sz w:val="16"/>
          <w:szCs w:val="16"/>
          <w:color w:val="auto"/>
        </w:rPr>
        <w:t>As we continue to prepare for a potential rindopepimut launch in the United States and Europe, we plan to expand our commercial organization over the next twelve to twenty-four months. This expansion will include implementation of internal systems and infrastructure in order to support commercial sales, incorporation of appropriate compliance policies and procedures, establishment of patient-focused programs and hiring and training a marketing and sales force to promote rindopepimut, if regulatory approval is obtained, to health care providers. There can be no assurance that we will be able to accomplish any of these activities or hire and train an effective marketing and sales force.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Patents, Licenses and Proprietary Rights</w:t>
      </w:r>
    </w:p>
    <w:p>
      <w:pPr>
        <w:spacing w:after="0" w:line="220" w:lineRule="exact"/>
        <w:rPr>
          <w:sz w:val="20"/>
          <w:szCs w:val="20"/>
          <w:color w:val="auto"/>
        </w:rPr>
      </w:pPr>
    </w:p>
    <w:p>
      <w:pPr>
        <w:ind w:right="60" w:firstLine="325"/>
        <w:spacing w:after="0" w:line="270" w:lineRule="auto"/>
        <w:rPr>
          <w:sz w:val="20"/>
          <w:szCs w:val="20"/>
          <w:color w:val="auto"/>
        </w:rPr>
      </w:pPr>
      <w:r>
        <w:rPr>
          <w:rFonts w:ascii="Arial" w:cs="Arial" w:eastAsia="Arial" w:hAnsi="Arial"/>
          <w:sz w:val="16"/>
          <w:szCs w:val="16"/>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Patents</w:t>
      </w:r>
    </w:p>
    <w:p>
      <w:pPr>
        <w:spacing w:after="0" w:line="216" w:lineRule="exact"/>
        <w:rPr>
          <w:sz w:val="20"/>
          <w:szCs w:val="20"/>
          <w:color w:val="auto"/>
        </w:rPr>
      </w:pPr>
    </w:p>
    <w:p>
      <w:pPr>
        <w:ind w:firstLine="322"/>
        <w:spacing w:after="0" w:line="266" w:lineRule="auto"/>
        <w:rPr>
          <w:sz w:val="20"/>
          <w:szCs w:val="20"/>
          <w:color w:val="auto"/>
        </w:rPr>
      </w:pPr>
      <w:r>
        <w:rPr>
          <w:rFonts w:ascii="Arial" w:cs="Arial" w:eastAsia="Arial" w:hAnsi="Arial"/>
          <w:sz w:val="16"/>
          <w:szCs w:val="16"/>
          <w:color w:val="auto"/>
        </w:rPr>
        <w:t>The successful development and marketing of products by us will depend in part on our ability to create and maintain intellectual property, including patent rights. We are the owner or exclusive licensee to proprietary patent positions in the areas of immunotherapy technologies, vaccine technologies, antibody technologies and complement inhibitor technology.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pacing w:after="0" w:line="177" w:lineRule="exact"/>
        <w:rPr>
          <w:sz w:val="20"/>
          <w:szCs w:val="20"/>
          <w:color w:val="auto"/>
        </w:rPr>
      </w:pPr>
    </w:p>
    <w:p>
      <w:pPr>
        <w:jc w:val="center"/>
        <w:ind w:right="60"/>
        <w:spacing w:after="0" w:line="332" w:lineRule="auto"/>
        <w:rPr>
          <w:sz w:val="20"/>
          <w:szCs w:val="20"/>
          <w:color w:val="auto"/>
        </w:rPr>
      </w:pPr>
      <w:r>
        <w:rPr>
          <w:rFonts w:ascii="Arial" w:cs="Arial" w:eastAsia="Arial" w:hAnsi="Arial"/>
          <w:sz w:val="14"/>
          <w:szCs w:val="14"/>
          <w:color w:val="auto"/>
        </w:rPr>
        <w:t>We own or license rights under more than 300 granted patents and national and regional patent applications in the U.S. and in major international territories covering inventions relating to our business. The key patents and patent applications owned by us or licensed to us that we consider important to our business include the following (the indicated and estimated patent expiry dates do not include any possible patent term extensions or supplementary protection certificates, if these may be secured in due course):</w:t>
      </w:r>
    </w:p>
    <w:p>
      <w:pPr>
        <w:spacing w:after="0" w:line="145" w:lineRule="exact"/>
        <w:rPr>
          <w:sz w:val="20"/>
          <w:szCs w:val="20"/>
          <w:color w:val="auto"/>
        </w:rPr>
      </w:pPr>
    </w:p>
    <w:p>
      <w:pPr>
        <w:ind w:left="1000" w:right="160" w:hanging="500"/>
        <w:spacing w:after="0" w:line="290" w:lineRule="auto"/>
        <w:tabs>
          <w:tab w:leader="none" w:pos="100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have licensed rights from Duke University under an issued European patent, a patent application in the U.S. and patents and patent applications in other major international territories relating to uses of rindopepimut. If and where issued and maintained to full term in a form which covers commercial use of rindopepimut, the filings could potentially provide patent protection for the relevant use in the relevant territories to 2026. We also have patent applications in the U.S. and major international territories relating to methods of manufacture and formulation of rindopepimut, which, if issued in a form which covers manufacture and/or formulation of rindopepimut and maintained to full term in due course, would have estimated patent expiry dates in 2030.</w:t>
      </w:r>
    </w:p>
    <w:p>
      <w:pPr>
        <w:spacing w:after="0" w:line="183" w:lineRule="exact"/>
        <w:rPr>
          <w:rFonts w:ascii="Arial" w:cs="Arial" w:eastAsia="Arial" w:hAnsi="Arial"/>
          <w:sz w:val="15"/>
          <w:szCs w:val="15"/>
          <w:color w:val="auto"/>
        </w:rPr>
      </w:pPr>
    </w:p>
    <w:p>
      <w:pPr>
        <w:ind w:left="1000" w:right="80" w:hanging="500"/>
        <w:spacing w:after="0" w:line="290" w:lineRule="auto"/>
        <w:tabs>
          <w:tab w:leader="none" w:pos="10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patent portfolio for glembatumumab vedotin includes issued patents in the U.S., Europe and Australia and pending patent applications in Japan and Canada. If and where issued and maintained to full term in due course, these would have estimated patent expiry dates in 2025. In addition, patent rights relating to the toxin and conjugation technology used in glembatumumab vedotin have been licensed from Seattle Genetics. The patent rights from Seattle Genetics include issued patents and pending applications in Australia, Canada, Europe, the U.S. and Japan which include composition of matter claims relating to the toxin and conjugation technology. If maintained to full term in due course, the main Seattle Genetics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patent rights would have estimated patent expiry dates ranging from 2023 in Europe to 2026 in the U.S.</w:t>
      </w:r>
    </w:p>
    <w:p>
      <w:pPr>
        <w:spacing w:after="0" w:line="229" w:lineRule="exact"/>
        <w:rPr>
          <w:sz w:val="20"/>
          <w:szCs w:val="20"/>
          <w:color w:val="auto"/>
        </w:rPr>
      </w:pPr>
    </w:p>
    <w:p>
      <w:pPr>
        <w:ind w:left="1000" w:right="40" w:hanging="500"/>
        <w:spacing w:after="0" w:line="285" w:lineRule="auto"/>
        <w:tabs>
          <w:tab w:leader="none" w:pos="10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have licensed rights from the University of Southampton under issued U.S. and European patents and under pending patent applications in Japan and Canada relating to the technology used in varlilumab. If and where issued and maintained to full term in due course, these would have estimated patent expiry dates in 2027. We have filed further patent applications in the U.S. and major international territories which, if issued and maintained to full term in due course, would have estimated patent expiry dates in 2031. In July 2013, the United States Patent and Trademark Office issued a patent to the University of Southampton, that we have exclusive license to under our license agreement, which broadly supports varlilumab. The patent includes 18 claims covering various methods of treating cancer using agonistic anti-human CD27 antibodies and relates, among other things, directly to our CD27 antibody program and therapeutic uses of varlilumab. In September 2014, two European patent oppositions were filed against the University of Southampton European patent. We intend to defend the European patent vigorously in cooperation with the University of Southampton.</w:t>
      </w:r>
    </w:p>
    <w:p>
      <w:pPr>
        <w:spacing w:after="0" w:line="186" w:lineRule="exact"/>
        <w:rPr>
          <w:rFonts w:ascii="Arial" w:cs="Arial" w:eastAsia="Arial" w:hAnsi="Arial"/>
          <w:sz w:val="15"/>
          <w:szCs w:val="15"/>
          <w:color w:val="auto"/>
        </w:rPr>
      </w:pPr>
    </w:p>
    <w:p>
      <w:pPr>
        <w:ind w:left="1000" w:right="100" w:hanging="500"/>
        <w:spacing w:after="0" w:line="270"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have issued U.S. patents relating to the technology used in CDX-1401 which have estimated patent expiry dates in at least 2028 (not including increases of term due to Patent Term Adjustment). We have a corresponding issued European patent and further patents and pending patent applications in other international territories relating to the technology used in CDX-1401 which, if and where issued and maintained to full term in due course, would have estimated patent expiry dates in 2028.</w:t>
      </w:r>
    </w:p>
    <w:p>
      <w:pPr>
        <w:spacing w:after="0" w:line="184" w:lineRule="exact"/>
        <w:rPr>
          <w:rFonts w:ascii="Arial" w:cs="Arial" w:eastAsia="Arial" w:hAnsi="Arial"/>
          <w:sz w:val="16"/>
          <w:szCs w:val="16"/>
          <w:color w:val="auto"/>
        </w:rPr>
      </w:pPr>
    </w:p>
    <w:p>
      <w:pPr>
        <w:ind w:left="1000" w:hanging="500"/>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Patents for the technology used in CDX-301 have current expiration dates that range from 2016 in the major European territories to 2020 in the US.</w:t>
      </w:r>
    </w:p>
    <w:p>
      <w:pPr>
        <w:spacing w:after="0" w:line="228" w:lineRule="exact"/>
        <w:rPr>
          <w:rFonts w:ascii="Arial" w:cs="Arial" w:eastAsia="Arial" w:hAnsi="Arial"/>
          <w:sz w:val="16"/>
          <w:szCs w:val="16"/>
          <w:color w:val="auto"/>
        </w:rPr>
      </w:pPr>
    </w:p>
    <w:p>
      <w:pPr>
        <w:ind w:left="1000" w:hanging="500"/>
        <w:spacing w:after="0" w:line="287" w:lineRule="auto"/>
        <w:tabs>
          <w:tab w:leader="none" w:pos="10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patent portfolio for CDX-014 includes rights under an issued U.S. patent and further pending patent applications in the U.S., Europe, Australia, Canada and Japan. If issued and maintained to full term in due course, these filings would have estimated patent expiry dates in at least 2024 (not including increases of term due to Patent Term Adjustment in the U.S.). In addition, patent rights relating to toxin and conjugation technology have been licensed from Seattle Genetics. The patent rights from Seattle Genetics include issued patents and pending patent applications in Australia, Canada, Europe, the U.S. and Japan which include composition of matter claims relating to the toxin and conjugation technology. If maintained to full term in due course, the main Seattle Genetics patent rights would have estimated patent expiry dates ranging from 2023 in Europe to 2026 in the U.S.</w:t>
      </w:r>
    </w:p>
    <w:p>
      <w:pPr>
        <w:spacing w:after="0" w:line="163" w:lineRule="exact"/>
        <w:rPr>
          <w:sz w:val="20"/>
          <w:szCs w:val="20"/>
          <w:color w:val="auto"/>
        </w:rPr>
      </w:pPr>
    </w:p>
    <w:p>
      <w:pPr>
        <w:ind w:right="180" w:firstLine="322"/>
        <w:spacing w:after="0" w:line="266" w:lineRule="auto"/>
        <w:rPr>
          <w:sz w:val="20"/>
          <w:szCs w:val="20"/>
          <w:color w:val="auto"/>
        </w:rPr>
      </w:pPr>
      <w:r>
        <w:rPr>
          <w:rFonts w:ascii="Arial" w:cs="Arial" w:eastAsia="Arial" w:hAnsi="Arial"/>
          <w:sz w:val="16"/>
          <w:szCs w:val="16"/>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77" w:lineRule="exact"/>
        <w:rPr>
          <w:sz w:val="20"/>
          <w:szCs w:val="20"/>
          <w:color w:val="auto"/>
        </w:rPr>
      </w:pPr>
    </w:p>
    <w:p>
      <w:pPr>
        <w:ind w:right="80" w:firstLine="316"/>
        <w:spacing w:after="0" w:line="270" w:lineRule="auto"/>
        <w:rPr>
          <w:sz w:val="20"/>
          <w:szCs w:val="20"/>
          <w:color w:val="auto"/>
        </w:rPr>
      </w:pPr>
      <w:r>
        <w:rPr>
          <w:rFonts w:ascii="Arial" w:cs="Arial" w:eastAsia="Arial" w:hAnsi="Arial"/>
          <w:sz w:val="16"/>
          <w:szCs w:val="16"/>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68" w:lineRule="exact"/>
        <w:rPr>
          <w:sz w:val="20"/>
          <w:szCs w:val="20"/>
          <w:color w:val="auto"/>
        </w:rPr>
      </w:pPr>
    </w:p>
    <w:p>
      <w:pPr>
        <w:ind w:right="180" w:firstLine="322"/>
        <w:spacing w:after="0" w:line="270" w:lineRule="auto"/>
        <w:rPr>
          <w:sz w:val="20"/>
          <w:szCs w:val="20"/>
          <w:color w:val="auto"/>
        </w:rPr>
      </w:pPr>
      <w:r>
        <w:rPr>
          <w:rFonts w:ascii="Arial" w:cs="Arial" w:eastAsia="Arial" w:hAnsi="Arial"/>
          <w:sz w:val="16"/>
          <w:szCs w:val="16"/>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Third parties may have or may obtain valid and enforceable patents or proprietary rights that could block us from developing products using our technology, including:</w:t>
      </w:r>
    </w:p>
    <w:p>
      <w:pPr>
        <w:spacing w:after="0" w:line="240" w:lineRule="exact"/>
        <w:rPr>
          <w:sz w:val="20"/>
          <w:szCs w:val="20"/>
          <w:color w:val="auto"/>
        </w:rPr>
      </w:pPr>
    </w:p>
    <w:p>
      <w:pPr>
        <w:ind w:left="1000" w:hanging="500"/>
        <w:spacing w:after="0" w:line="290"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certain patents and applications in the United States and Europe owned by Sanofi-Aventis, which relate to antibody-antigen conjugates and methods of their use for eliciting an immune response against the antigen;</w:t>
      </w:r>
    </w:p>
    <w:p>
      <w:pPr>
        <w:spacing w:after="0" w:line="180" w:lineRule="exact"/>
        <w:rPr>
          <w:rFonts w:ascii="Arial" w:cs="Arial" w:eastAsia="Arial" w:hAnsi="Arial"/>
          <w:sz w:val="16"/>
          <w:szCs w:val="16"/>
          <w:color w:val="auto"/>
        </w:rPr>
      </w:pPr>
    </w:p>
    <w:p>
      <w:pPr>
        <w:ind w:left="1000" w:right="300" w:hanging="500"/>
        <w:spacing w:after="0" w:line="290"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certain patents and applications in the United States and foreign countries covering particular antigens and antigenic fragments targeted by our current drug candidates, including CDX-1401;</w:t>
      </w:r>
    </w:p>
    <w:p>
      <w:pPr>
        <w:spacing w:after="0" w:line="168" w:lineRule="exact"/>
        <w:rPr>
          <w:rFonts w:ascii="Arial" w:cs="Arial" w:eastAsia="Arial" w:hAnsi="Arial"/>
          <w:sz w:val="16"/>
          <w:szCs w:val="16"/>
          <w:color w:val="auto"/>
        </w:rPr>
      </w:pPr>
    </w:p>
    <w:p>
      <w:pPr>
        <w:ind w:left="1000" w:right="680" w:hanging="500"/>
        <w:spacing w:after="0" w:line="290"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certain patents and pending applications related to particular receptors and other molecules on dendritic cells and macrophages that may be useful for generating monoclonal antibodies and can be employed in our APC Targeting Technology;</w:t>
      </w:r>
    </w:p>
    <w:p>
      <w:pPr>
        <w:spacing w:after="0" w:line="168" w:lineRule="exact"/>
        <w:rPr>
          <w:rFonts w:ascii="Arial" w:cs="Arial" w:eastAsia="Arial" w:hAnsi="Arial"/>
          <w:sz w:val="16"/>
          <w:szCs w:val="16"/>
          <w:color w:val="auto"/>
        </w:rPr>
      </w:pPr>
    </w:p>
    <w:p>
      <w:pPr>
        <w:ind w:left="1000" w:right="380" w:hanging="500"/>
        <w:spacing w:after="0" w:line="290"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two United States patents and related foreign patents and applications covering methods of diagnosing gliomas by detecting the presence of the EGFRvIII (tumor specific splice variant) protein;</w:t>
      </w:r>
    </w:p>
    <w:p>
      <w:pPr>
        <w:spacing w:after="0" w:line="180" w:lineRule="exact"/>
        <w:rPr>
          <w:rFonts w:ascii="Arial" w:cs="Arial" w:eastAsia="Arial" w:hAnsi="Arial"/>
          <w:sz w:val="16"/>
          <w:szCs w:val="16"/>
          <w:color w:val="auto"/>
        </w:rPr>
      </w:pPr>
    </w:p>
    <w:p>
      <w:pPr>
        <w:ind w:left="1000" w:hanging="500"/>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United States patent relating to certain uses of GM-CSF;</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United States patent owned by Genentech, Inc., relating to the production of recombinant antibodies in host cells;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United States patent owned by GlaxoSmithKline plc related to methods of culturing cells under certain conditions; and</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certain patents held by third parties relating to antibody expression in particular types of host cells.</w:t>
      </w:r>
    </w:p>
    <w:p>
      <w:pPr>
        <w:spacing w:after="0" w:line="216" w:lineRule="exact"/>
        <w:rPr>
          <w:sz w:val="20"/>
          <w:szCs w:val="20"/>
          <w:color w:val="auto"/>
        </w:rPr>
      </w:pPr>
    </w:p>
    <w:p>
      <w:pPr>
        <w:ind w:right="60" w:firstLine="325"/>
        <w:spacing w:after="0" w:line="286" w:lineRule="auto"/>
        <w:rPr>
          <w:sz w:val="20"/>
          <w:szCs w:val="20"/>
          <w:color w:val="auto"/>
        </w:rPr>
      </w:pPr>
      <w:r>
        <w:rPr>
          <w:rFonts w:ascii="Arial" w:cs="Arial" w:eastAsia="Arial" w:hAnsi="Arial"/>
          <w:sz w:val="15"/>
          <w:szCs w:val="15"/>
          <w:color w:val="auto"/>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 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Licenses</w:t>
      </w:r>
    </w:p>
    <w:p>
      <w:pPr>
        <w:spacing w:after="0" w:line="216" w:lineRule="exact"/>
        <w:rPr>
          <w:sz w:val="20"/>
          <w:szCs w:val="20"/>
          <w:color w:val="auto"/>
        </w:rPr>
      </w:pPr>
    </w:p>
    <w:p>
      <w:pPr>
        <w:ind w:right="440" w:firstLine="322"/>
        <w:spacing w:after="0" w:line="290" w:lineRule="auto"/>
        <w:rPr>
          <w:sz w:val="20"/>
          <w:szCs w:val="20"/>
          <w:color w:val="auto"/>
        </w:rPr>
      </w:pPr>
      <w:r>
        <w:rPr>
          <w:rFonts w:ascii="Arial" w:cs="Arial" w:eastAsia="Arial" w:hAnsi="Arial"/>
          <w:sz w:val="16"/>
          <w:szCs w:val="16"/>
          <w:color w:val="auto"/>
        </w:rPr>
        <w:t>We have entered into several significant license agreements relating to technologies that are being developed by us. In general, these institutions have granted us an exclusive worldwide license (with right to sublicense) to make, use and sell products embodying the licensed technology, subject to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reservation by the licensor of a non-exclusive right to use the technologies for non-commercial research purposes. Generally, the term of each license is through the expiration of the last of the patents issued with respect to the technologies covered by the license.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Proprietary Rights</w:t>
      </w:r>
    </w:p>
    <w:p>
      <w:pPr>
        <w:spacing w:after="0" w:line="216" w:lineRule="exact"/>
        <w:rPr>
          <w:sz w:val="20"/>
          <w:szCs w:val="20"/>
          <w:color w:val="auto"/>
        </w:rPr>
      </w:pPr>
    </w:p>
    <w:p>
      <w:pPr>
        <w:ind w:firstLine="322"/>
        <w:spacing w:after="0" w:line="286" w:lineRule="auto"/>
        <w:rPr>
          <w:sz w:val="20"/>
          <w:szCs w:val="20"/>
          <w:color w:val="auto"/>
        </w:rPr>
      </w:pPr>
      <w:r>
        <w:rPr>
          <w:rFonts w:ascii="Arial" w:cs="Arial" w:eastAsia="Arial" w:hAnsi="Arial"/>
          <w:sz w:val="15"/>
          <w:szCs w:val="15"/>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20" w:lineRule="exact"/>
        <w:rPr>
          <w:sz w:val="20"/>
          <w:szCs w:val="20"/>
          <w:color w:val="auto"/>
        </w:rPr>
      </w:pPr>
    </w:p>
    <w:p>
      <w:pPr>
        <w:ind w:firstLine="325"/>
        <w:spacing w:after="0" w:line="266" w:lineRule="auto"/>
        <w:rPr>
          <w:sz w:val="20"/>
          <w:szCs w:val="20"/>
          <w:color w:val="auto"/>
        </w:rPr>
      </w:pPr>
      <w:r>
        <w:rPr>
          <w:rFonts w:ascii="Arial" w:cs="Arial" w:eastAsia="Arial" w:hAnsi="Arial"/>
          <w:sz w:val="16"/>
          <w:szCs w:val="16"/>
          <w:color w:val="auto"/>
        </w:rPr>
        <w:t>Our activities and products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our products. We must obtain regulatory approval from FDA and comparable authorities in other countries, as applicable, for our drug candidates before we can commercialize such drugs in the U.S. and foreign jurisdictions. Product development within this regulatory framework takes a number of years and involves the expenditure of substantial resources. Many products that initially appear promising ultimately do not reach the market because they are found to be unsafe or ineffective when tested. Our inability to commercialize a product would impair our ability to earn future revenues.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FDA Approval Process</w:t>
      </w:r>
    </w:p>
    <w:p>
      <w:pPr>
        <w:spacing w:after="0" w:line="216" w:lineRule="exact"/>
        <w:rPr>
          <w:sz w:val="20"/>
          <w:szCs w:val="20"/>
          <w:color w:val="auto"/>
        </w:rPr>
      </w:pPr>
    </w:p>
    <w:p>
      <w:pPr>
        <w:jc w:val="both"/>
        <w:ind w:right="140" w:firstLine="325"/>
        <w:spacing w:after="0" w:line="275" w:lineRule="auto"/>
        <w:rPr>
          <w:sz w:val="20"/>
          <w:szCs w:val="20"/>
          <w:color w:val="auto"/>
        </w:rPr>
      </w:pPr>
      <w:r>
        <w:rPr>
          <w:rFonts w:ascii="Arial" w:cs="Arial" w:eastAsia="Arial" w:hAnsi="Arial"/>
          <w:sz w:val="16"/>
          <w:szCs w:val="16"/>
          <w:color w:val="auto"/>
        </w:rPr>
        <w:t>In the United States, immunotherapeutics for human use are subject to FDA approval as "biologics" under the Public Health Service Act or as "drugs" under the Federal Food, Drug and Cosmetic Act. The steps required before a new product can be commercialized include: preclinical studies in animals, clinical trials in humans to determine safety and efficacy and FDA approval of the product for commercial sale.</w:t>
      </w:r>
    </w:p>
    <w:p>
      <w:pPr>
        <w:spacing w:after="0" w:line="168" w:lineRule="exact"/>
        <w:rPr>
          <w:sz w:val="20"/>
          <w:szCs w:val="20"/>
          <w:color w:val="auto"/>
        </w:rPr>
      </w:pPr>
    </w:p>
    <w:p>
      <w:pPr>
        <w:ind w:right="280" w:firstLine="325"/>
        <w:spacing w:after="0" w:line="270" w:lineRule="auto"/>
        <w:rPr>
          <w:sz w:val="20"/>
          <w:szCs w:val="20"/>
          <w:color w:val="auto"/>
        </w:rPr>
      </w:pPr>
      <w:r>
        <w:rPr>
          <w:rFonts w:ascii="Arial" w:cs="Arial" w:eastAsia="Arial" w:hAnsi="Arial"/>
          <w:sz w:val="16"/>
          <w:szCs w:val="16"/>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60" w:firstLine="322"/>
        <w:spacing w:after="0" w:line="265" w:lineRule="auto"/>
        <w:rPr>
          <w:sz w:val="20"/>
          <w:szCs w:val="20"/>
          <w:color w:val="auto"/>
        </w:rPr>
      </w:pPr>
      <w:r>
        <w:rPr>
          <w:rFonts w:ascii="Arial" w:cs="Arial" w:eastAsia="Arial" w:hAnsi="Arial"/>
          <w:sz w:val="16"/>
          <w:szCs w:val="16"/>
          <w:color w:val="auto"/>
        </w:rPr>
        <w:t>The FDA provides that human clinical trials may begin thirty (30) days after receipt and review of an IND application, unless the FDA requests additional information or changes to the study protocol within that period. An IND must be sponsored and filed for each of our proposed products. Authorization to conduct a clinical trial in no way assures that the FDA will ultimately approve the product. Clinical trials are generally conducted in three sequential phases. In a Phase 1 trial, the product is given to a small number of healthy volunteers to test for safety (adverse effects).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 The FDA has ongoing oversight over all these trials and can order a temporary or permanent discontinuation if warranted. Such an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spacing w:after="0" w:line="175" w:lineRule="exact"/>
        <w:rPr>
          <w:sz w:val="20"/>
          <w:szCs w:val="20"/>
          <w:color w:val="auto"/>
        </w:rPr>
      </w:pPr>
    </w:p>
    <w:p>
      <w:pPr>
        <w:ind w:right="20" w:firstLine="316"/>
        <w:spacing w:after="0" w:line="294" w:lineRule="auto"/>
        <w:rPr>
          <w:sz w:val="20"/>
          <w:szCs w:val="20"/>
          <w:color w:val="auto"/>
        </w:rPr>
      </w:pPr>
      <w:r>
        <w:rPr>
          <w:rFonts w:ascii="Arial" w:cs="Arial" w:eastAsia="Arial" w:hAnsi="Arial"/>
          <w:sz w:val="15"/>
          <w:szCs w:val="15"/>
          <w:color w:val="auto"/>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w:t>
      </w:r>
    </w:p>
    <w:p>
      <w:pPr>
        <w:spacing w:after="0" w:line="155" w:lineRule="exact"/>
        <w:rPr>
          <w:sz w:val="20"/>
          <w:szCs w:val="20"/>
          <w:color w:val="auto"/>
        </w:rPr>
      </w:pPr>
    </w:p>
    <w:p>
      <w:pPr>
        <w:ind w:firstLine="322"/>
        <w:spacing w:after="0" w:line="294" w:lineRule="auto"/>
        <w:rPr>
          <w:sz w:val="20"/>
          <w:szCs w:val="20"/>
          <w:color w:val="auto"/>
        </w:rPr>
      </w:pPr>
      <w:r>
        <w:rPr>
          <w:rFonts w:ascii="Arial" w:cs="Arial" w:eastAsia="Arial" w:hAnsi="Arial"/>
          <w:sz w:val="15"/>
          <w:szCs w:val="15"/>
          <w:color w:val="auto"/>
        </w:rPr>
        <w:t>The results of the clinical trials, nonclinical testing, and all supporting manufacturing data are submitted to the FDA for approval. A Biologics License Application (BLA) is submitted for a biologic product; a New Drug Application (NDA) for a drug product. The interval between IND filing and BLA/NDA filing is usually at least several years due to the length of the clinical trials, and the BLA/NDA review process can take over a year. During this time the FDA may request further testing or additional trials or may turn down the application. Even with approval, the FDA frequently requires post-marketing safety studies (known as Phase 4 trials) to be performed.</w:t>
      </w:r>
    </w:p>
    <w:p>
      <w:pPr>
        <w:spacing w:after="0" w:line="155" w:lineRule="exact"/>
        <w:rPr>
          <w:sz w:val="20"/>
          <w:szCs w:val="20"/>
          <w:color w:val="auto"/>
        </w:rPr>
      </w:pPr>
    </w:p>
    <w:p>
      <w:pPr>
        <w:ind w:right="40" w:firstLine="322"/>
        <w:spacing w:after="0" w:line="270" w:lineRule="auto"/>
        <w:rPr>
          <w:sz w:val="20"/>
          <w:szCs w:val="20"/>
          <w:color w:val="auto"/>
        </w:rPr>
      </w:pPr>
      <w:r>
        <w:rPr>
          <w:rFonts w:ascii="Arial" w:cs="Arial" w:eastAsia="Arial" w:hAnsi="Arial"/>
          <w:sz w:val="16"/>
          <w:szCs w:val="16"/>
          <w:color w:val="auto"/>
        </w:rPr>
        <w:t>The FDA requires that the manufacturing facility that produces a licensed product meet specified standards, undergo an inspection and obtain an establishment license prior to commercial marketing. Subsequent discovery of previously unknown problems with a product or its manufacturing process may result in restrictions on the product or the manufacturer, including withdrawal of the product from the market. Failure to comply with the applicable regulatory requirements can result in fines, suspensions of regulatory approvals, product recalls, operating restrictions and criminal prosecution.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Expedited development and review programs</w:t>
      </w:r>
    </w:p>
    <w:p>
      <w:pPr>
        <w:spacing w:after="0" w:line="216" w:lineRule="exact"/>
        <w:rPr>
          <w:sz w:val="20"/>
          <w:szCs w:val="20"/>
          <w:color w:val="auto"/>
        </w:rPr>
      </w:pPr>
    </w:p>
    <w:p>
      <w:pPr>
        <w:ind w:right="60" w:firstLine="322"/>
        <w:spacing w:after="0" w:line="286" w:lineRule="auto"/>
        <w:rPr>
          <w:sz w:val="20"/>
          <w:szCs w:val="20"/>
          <w:color w:val="auto"/>
        </w:rPr>
      </w:pPr>
      <w:r>
        <w:rPr>
          <w:rFonts w:ascii="Arial" w:cs="Arial" w:eastAsia="Arial" w:hAnsi="Arial"/>
          <w:sz w:val="15"/>
          <w:szCs w:val="15"/>
          <w:color w:val="auto"/>
        </w:rPr>
        <w:t>The FDA has a Fast Track program that is intended to expedite or facilitate the process for reviewing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firstLine="316"/>
        <w:spacing w:after="0" w:line="281" w:lineRule="auto"/>
        <w:rPr>
          <w:sz w:val="20"/>
          <w:szCs w:val="20"/>
          <w:color w:val="auto"/>
        </w:rPr>
      </w:pPr>
      <w:r>
        <w:rPr>
          <w:rFonts w:ascii="Arial" w:cs="Arial" w:eastAsia="Arial" w:hAnsi="Arial"/>
          <w:sz w:val="15"/>
          <w:szCs w:val="15"/>
          <w:color w:val="auto"/>
        </w:rPr>
        <w:t>Any product submitted to the FDA for marketing, including under a Fast Track program, may be eligible for other types of FDA programs intended to expedite development and review, such as priority review and accelerated approval. 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 Fast Track designation, Breakthrough Therapy designation, priority review and accelerated approval do not change the standards for approval but may expedite the development or approval process.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Orphan Drug</w:t>
      </w:r>
    </w:p>
    <w:p>
      <w:pPr>
        <w:spacing w:after="0" w:line="216" w:lineRule="exact"/>
        <w:rPr>
          <w:sz w:val="20"/>
          <w:szCs w:val="20"/>
          <w:color w:val="auto"/>
        </w:rPr>
      </w:pPr>
    </w:p>
    <w:p>
      <w:pPr>
        <w:ind w:right="20" w:firstLine="325"/>
        <w:spacing w:after="0" w:line="266" w:lineRule="auto"/>
        <w:rPr>
          <w:sz w:val="20"/>
          <w:szCs w:val="20"/>
          <w:color w:val="auto"/>
        </w:rPr>
      </w:pPr>
      <w:r>
        <w:rPr>
          <w:rFonts w:ascii="Arial" w:cs="Arial" w:eastAsia="Arial" w:hAnsi="Arial"/>
          <w:sz w:val="16"/>
          <w:szCs w:val="16"/>
          <w:color w:val="auto"/>
        </w:rPr>
        <w:t>Under the Orphan Drug Act, the FDA may grant orphan drug designation to products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product for this type of disease or condition will be recovered from sales in the United States for that product. If a product that has orphan drug designation subsequently receives the first FDA approval for the disease for which it has such designation, the product is entitled to orphan product exclusivity, which means that the FDA may not approve any other applications to market the same product for the same indication, except in very limited circumstances, for seven years.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 Approval</w:t>
      </w:r>
    </w:p>
    <w:p>
      <w:pPr>
        <w:spacing w:after="0" w:line="216" w:lineRule="exact"/>
        <w:rPr>
          <w:sz w:val="20"/>
          <w:szCs w:val="20"/>
          <w:color w:val="auto"/>
        </w:rPr>
      </w:pPr>
    </w:p>
    <w:p>
      <w:pPr>
        <w:ind w:right="20" w:firstLine="325"/>
        <w:spacing w:after="0" w:line="294" w:lineRule="auto"/>
        <w:rPr>
          <w:sz w:val="20"/>
          <w:szCs w:val="20"/>
          <w:color w:val="auto"/>
        </w:rPr>
      </w:pPr>
      <w:r>
        <w:rPr>
          <w:rFonts w:ascii="Arial" w:cs="Arial" w:eastAsia="Arial" w:hAnsi="Arial"/>
          <w:sz w:val="15"/>
          <w:szCs w:val="15"/>
          <w:color w:val="auto"/>
        </w:rPr>
        <w:t>Once an approval is granted, the FDA may withdraw the approval if compliance with regulatory standards is not maintained or if problems occur after the product reaches the market. After approval, some types of changes to the approved product, such as adding new indications, manufacturing changes and additional labeling claims, are subject to further FDA review and approval.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Regulation</w:t>
      </w:r>
    </w:p>
    <w:p>
      <w:pPr>
        <w:spacing w:after="0" w:line="216" w:lineRule="exact"/>
        <w:rPr>
          <w:sz w:val="20"/>
          <w:szCs w:val="20"/>
          <w:color w:val="auto"/>
        </w:rPr>
      </w:pPr>
    </w:p>
    <w:p>
      <w:pPr>
        <w:ind w:right="420" w:firstLine="325"/>
        <w:spacing w:after="0" w:line="290" w:lineRule="auto"/>
        <w:rPr>
          <w:sz w:val="20"/>
          <w:szCs w:val="20"/>
          <w:color w:val="auto"/>
        </w:rPr>
      </w:pPr>
      <w:r>
        <w:rPr>
          <w:rFonts w:ascii="Arial" w:cs="Arial" w:eastAsia="Arial" w:hAnsi="Arial"/>
          <w:sz w:val="16"/>
          <w:szCs w:val="16"/>
          <w:color w:val="auto"/>
        </w:rPr>
        <w:t>In addition to regulations in the United States, we will be subject to a variety of foreign regulations governing clinical trials, manufacture, and commercial sales and distribution of our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products.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Approval by the FDA does not ensure approval by the regulatory bodies of other countries.</w:t>
      </w:r>
    </w:p>
    <w:p>
      <w:pPr>
        <w:spacing w:after="0" w:line="168" w:lineRule="exact"/>
        <w:rPr>
          <w:sz w:val="20"/>
          <w:szCs w:val="20"/>
          <w:color w:val="auto"/>
        </w:rPr>
      </w:pPr>
    </w:p>
    <w:p>
      <w:pPr>
        <w:ind w:firstLine="325"/>
        <w:spacing w:after="0" w:line="287" w:lineRule="auto"/>
        <w:rPr>
          <w:sz w:val="20"/>
          <w:szCs w:val="20"/>
          <w:color w:val="auto"/>
        </w:rPr>
      </w:pPr>
      <w:r>
        <w:rPr>
          <w:rFonts w:ascii="Arial" w:cs="Arial" w:eastAsia="Arial" w:hAnsi="Arial"/>
          <w:sz w:val="15"/>
          <w:szCs w:val="15"/>
          <w:color w:val="auto"/>
        </w:rPr>
        <w:t>Under the European Union regulatory system, we will submit most of our marketing authorization applications under the centralized procedure. The centralized procedure is compulsory for medicines produced by biotechnology, or are for the treatment of cancer, or officially designated as 'orphan medicines'. The centralized procedure provides for the grant of a single marketing authorization that is valid for all European Union member states. As in the United States, we may apply for designation of our products as orphan drug for the treatment of a specific indication in the European Union before the application for marketing authorization is made.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collaborators are also subject to all of the above-described regulations in connection with the commercialization of products utilizing our technology.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Regulatory Processes</w:t>
      </w:r>
    </w:p>
    <w:p>
      <w:pPr>
        <w:spacing w:after="0" w:line="216" w:lineRule="exact"/>
        <w:rPr>
          <w:sz w:val="20"/>
          <w:szCs w:val="20"/>
          <w:color w:val="auto"/>
        </w:rPr>
      </w:pPr>
    </w:p>
    <w:p>
      <w:pPr>
        <w:jc w:val="both"/>
        <w:ind w:right="160" w:firstLine="322"/>
        <w:spacing w:after="0" w:line="302" w:lineRule="auto"/>
        <w:rPr>
          <w:sz w:val="20"/>
          <w:szCs w:val="20"/>
          <w:color w:val="auto"/>
        </w:rPr>
      </w:pPr>
      <w:r>
        <w:rPr>
          <w:rFonts w:ascii="Arial" w:cs="Arial" w:eastAsia="Arial" w:hAnsi="Arial"/>
          <w:sz w:val="15"/>
          <w:szCs w:val="15"/>
          <w:color w:val="auto"/>
        </w:rPr>
        <w:t>We are subject to a variety of financial disclosure and securities trading regulations as a public company in the U.S., including laws relating to the oversight activities of the SEC and the regulations of the NASDAQ Global Market, on which our shares are traded. We are also subject to regulation under other federal laws and regulation under state and local laws, including laws relating to occupational safety, laboratory practices, environmental regulations, and hazardous substance control.</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20" w:lineRule="exact"/>
        <w:rPr>
          <w:sz w:val="20"/>
          <w:szCs w:val="20"/>
          <w:color w:val="auto"/>
        </w:rPr>
      </w:pPr>
    </w:p>
    <w:p>
      <w:pPr>
        <w:ind w:right="80" w:firstLine="316"/>
        <w:spacing w:after="0" w:line="275" w:lineRule="auto"/>
        <w:rPr>
          <w:sz w:val="20"/>
          <w:szCs w:val="20"/>
          <w:color w:val="auto"/>
        </w:rPr>
      </w:pPr>
      <w:r>
        <w:rPr>
          <w:rFonts w:ascii="Arial" w:cs="Arial" w:eastAsia="Arial" w:hAnsi="Arial"/>
          <w:sz w:val="16"/>
          <w:szCs w:val="16"/>
          <w:color w:val="auto"/>
        </w:rPr>
        <w:t>As of December 31, 2014, we employed 161 employees (156 full-time, 2 part-time and 3 interns), 25 of whom have Ph.D. and/or M.D. degrees. Of these employees, 128 were engaged in or directly support research and development activities. We believe that our employee relations are good. We believe that our future success will depend in large part on our ability to attract and retain experienced and skilled employees.</w:t>
      </w:r>
    </w:p>
    <w:p>
      <w:pPr>
        <w:spacing w:after="0" w:line="164"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0" w:lineRule="exact"/>
        <w:rPr>
          <w:sz w:val="20"/>
          <w:szCs w:val="20"/>
          <w:color w:val="auto"/>
        </w:rPr>
      </w:pPr>
    </w:p>
    <w:p>
      <w:pPr>
        <w:ind w:right="580" w:firstLine="319"/>
        <w:spacing w:after="0" w:line="290" w:lineRule="auto"/>
        <w:rPr>
          <w:sz w:val="20"/>
          <w:szCs w:val="20"/>
          <w:color w:val="auto"/>
        </w:rPr>
      </w:pPr>
      <w:r>
        <w:rPr>
          <w:rFonts w:ascii="Arial" w:cs="Arial" w:eastAsia="Arial" w:hAnsi="Arial"/>
          <w:sz w:val="16"/>
          <w:szCs w:val="16"/>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56" w:lineRule="exact"/>
        <w:rPr>
          <w:sz w:val="20"/>
          <w:szCs w:val="20"/>
          <w:color w:val="auto"/>
        </w:rPr>
      </w:pPr>
    </w:p>
    <w:p>
      <w:pPr>
        <w:ind w:right="20" w:firstLine="322"/>
        <w:spacing w:after="0" w:line="275" w:lineRule="auto"/>
        <w:rPr>
          <w:sz w:val="20"/>
          <w:szCs w:val="20"/>
          <w:color w:val="auto"/>
        </w:rPr>
      </w:pPr>
      <w:r>
        <w:rPr>
          <w:rFonts w:ascii="Arial" w:cs="Arial" w:eastAsia="Arial" w:hAnsi="Arial"/>
          <w:sz w:val="16"/>
          <w:szCs w:val="16"/>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Financial Condition and Capital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have no product revenue and will need to raise capital to operate our business.</w:t>
      </w:r>
    </w:p>
    <w:p>
      <w:pPr>
        <w:spacing w:after="0" w:line="216" w:lineRule="exact"/>
        <w:rPr>
          <w:sz w:val="20"/>
          <w:szCs w:val="20"/>
          <w:color w:val="auto"/>
        </w:rPr>
      </w:pPr>
    </w:p>
    <w:p>
      <w:pPr>
        <w:ind w:right="160" w:firstLine="322"/>
        <w:spacing w:after="0" w:line="290" w:lineRule="auto"/>
        <w:rPr>
          <w:sz w:val="20"/>
          <w:szCs w:val="20"/>
          <w:color w:val="auto"/>
        </w:rPr>
      </w:pPr>
      <w:r>
        <w:rPr>
          <w:rFonts w:ascii="Arial" w:cs="Arial" w:eastAsia="Arial" w:hAnsi="Arial"/>
          <w:sz w:val="16"/>
          <w:szCs w:val="16"/>
          <w:color w:val="auto"/>
        </w:rPr>
        <w:t>To date, we have generated no product revenue and cannot predict when and if we will generate product revenue. We had an accumulated deficit of $463.8 million as of December 31, 2014. Until, and unless, we complete clinical trials and further development, and receive approval from the FDA and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other regulatory authorities, for our drug candidates, we cannot sell our drugs and will not have product revenue. We expect to spend substantial funds to continue the research, development and testing of our products that are in the preclinical and clinical testing stages of development and to prepare to commercialize products in anticipation of FDA approval. Therefore, for the foreseeable future, we will have to fund all of our operations and development expenditures from cash on hand, equity or debt financings, licensing fees and grants. Additional financing will be required to meet our long term liquidity needs. If we do not succeed in raising additional funds on acceptable terms, we might not be able to complete planned preclinical and clinical trials or obtain approval of any drug candidates from the FDA and other regulatory authorities. In addition, we could be forced to discontinue product development, reduce or forego sales and marketing efforts, forego attractive business opportunities or curtail operations. Any additional sources of financing could involve the issuance of our equity securities, which would have a dilutive effect on our stockholders. No assurance can be given that additional financing will be available to us when needed on acceptable terms, or at all.</w:t>
      </w:r>
    </w:p>
    <w:p>
      <w:pPr>
        <w:spacing w:after="0" w:line="162" w:lineRule="exact"/>
        <w:rPr>
          <w:sz w:val="20"/>
          <w:szCs w:val="20"/>
          <w:color w:val="auto"/>
        </w:rPr>
      </w:pPr>
    </w:p>
    <w:p>
      <w:pPr>
        <w:ind w:right="580" w:firstLine="322"/>
        <w:spacing w:after="0" w:line="290"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incur future losses and we may never become profitable.</w:t>
      </w:r>
    </w:p>
    <w:p>
      <w:pPr>
        <w:spacing w:after="0" w:line="216" w:lineRule="exact"/>
        <w:rPr>
          <w:sz w:val="20"/>
          <w:szCs w:val="20"/>
          <w:color w:val="auto"/>
        </w:rPr>
      </w:pPr>
    </w:p>
    <w:p>
      <w:pPr>
        <w:ind w:right="40" w:firstLine="322"/>
        <w:spacing w:after="0" w:line="299" w:lineRule="auto"/>
        <w:rPr>
          <w:sz w:val="20"/>
          <w:szCs w:val="20"/>
          <w:color w:val="auto"/>
        </w:rPr>
      </w:pPr>
      <w:r>
        <w:rPr>
          <w:rFonts w:ascii="Arial" w:cs="Arial" w:eastAsia="Arial" w:hAnsi="Arial"/>
          <w:sz w:val="14"/>
          <w:szCs w:val="14"/>
          <w:color w:val="auto"/>
        </w:rPr>
        <w:t>We have incurred operating losses of $122.4 million, $81.4 million and $58.1 million during 2014, 2013 and 2012, respectively, and expect to incur an operating loss in 2015 and beyond. We believe that operating losses will continue in and beyond 2015 because we are planning to incur significant costs associated with the clinical development, manufacturing of commercial supply and building a commercial organization to prepare for the potential launch of rindopepimut and glembatumumab vedotin if regulatory approval is obtained. During the years ended December 31, 2014 and 2013, we incurred $45.6 million and $32.3 million in clinical trial expense and $20.9 million and $6.6 million in contract manufacturing expense. We anticipate clinical trial and contract manufacturing expense to increase over the next twelve months related to our rindopepimut, glembatumumab vedotin and varlilumab programs. In addition, we are planning to incur additional costs in the clinical development of CDX-1401 and CDX-</w:t>
      </w:r>
    </w:p>
    <w:p>
      <w:pPr>
        <w:spacing w:after="0" w:line="4" w:lineRule="exact"/>
        <w:rPr>
          <w:sz w:val="20"/>
          <w:szCs w:val="20"/>
          <w:color w:val="auto"/>
        </w:rPr>
      </w:pPr>
    </w:p>
    <w:p>
      <w:pPr>
        <w:ind w:right="400"/>
        <w:spacing w:after="0" w:line="356" w:lineRule="auto"/>
        <w:tabs>
          <w:tab w:leader="none" w:pos="325"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spacing w:after="0" w:line="116"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spacing w:after="0" w:line="132" w:lineRule="exact"/>
        <w:rPr>
          <w:sz w:val="20"/>
          <w:szCs w:val="20"/>
          <w:color w:val="auto"/>
        </w:rPr>
      </w:pPr>
    </w:p>
    <w:p>
      <w:pPr>
        <w:ind w:right="100" w:firstLine="322"/>
        <w:spacing w:after="0" w:line="270" w:lineRule="auto"/>
        <w:rPr>
          <w:sz w:val="20"/>
          <w:szCs w:val="20"/>
          <w:color w:val="auto"/>
        </w:rPr>
      </w:pPr>
      <w:r>
        <w:rPr>
          <w:rFonts w:ascii="Arial" w:cs="Arial" w:eastAsia="Arial" w:hAnsi="Arial"/>
          <w:sz w:val="16"/>
          <w:szCs w:val="16"/>
          <w:color w:val="auto"/>
        </w:rPr>
        <w:t>We expect to incur significant costs as we develop our drug candidates. In particular, the continuing development and commercialization of rindopepimut, glembatumumab vedotin and our other drug candidates requires additional capital beyond our current resources. As of December 31, 2014, we had cash, cash equivalents and marketable securities of $201.0 million. We anticipate taking further steps to raise additional capital to fund our long-term liquidity needs. Our capital raising activities may include, but may not be limited to, one or more of the following:</w:t>
      </w:r>
    </w:p>
    <w:p>
      <w:pPr>
        <w:spacing w:after="0" w:line="185" w:lineRule="exact"/>
        <w:rPr>
          <w:sz w:val="20"/>
          <w:szCs w:val="20"/>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licensing of drug candidates with existing or new collaborative partners;</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possible business combinations;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issuance of debt; or</w:t>
      </w:r>
    </w:p>
    <w:p>
      <w:pPr>
        <w:spacing w:after="0" w:line="228" w:lineRule="exact"/>
        <w:rPr>
          <w:rFonts w:ascii="Arial" w:cs="Arial" w:eastAsia="Arial" w:hAnsi="Arial"/>
          <w:sz w:val="16"/>
          <w:szCs w:val="16"/>
          <w:color w:val="auto"/>
        </w:rPr>
      </w:pPr>
    </w:p>
    <w:p>
      <w:pPr>
        <w:ind w:left="5640" w:right="4700" w:hanging="5140"/>
        <w:spacing w:after="0" w:line="551" w:lineRule="auto"/>
        <w:tabs>
          <w:tab w:leader="none" w:pos="1007"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issuance of common stock or other securities via private placements or public offerings.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726122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40" w:firstLine="322"/>
        <w:spacing w:after="0" w:line="265" w:lineRule="auto"/>
        <w:rPr>
          <w:sz w:val="20"/>
          <w:szCs w:val="20"/>
          <w:color w:val="auto"/>
        </w:rPr>
      </w:pPr>
      <w:r>
        <w:rPr>
          <w:rFonts w:ascii="Arial" w:cs="Arial" w:eastAsia="Arial" w:hAnsi="Arial"/>
          <w:sz w:val="16"/>
          <w:szCs w:val="16"/>
          <w:color w:val="auto"/>
        </w:rPr>
        <w:t>While we may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discontinue or delay the build-out of our commercial infrastructure and our commercial planning and preparation activities, discontinue or delay on-going or anticipated clinical trials, license out programs earlier than expected, raise funds at significant discount or on other unfavorable terms, if at all, or sell all or part of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Development and Regulatory Approval of Drug Candidates</w:t>
      </w:r>
    </w:p>
    <w:p>
      <w:pPr>
        <w:spacing w:after="0" w:line="216" w:lineRule="exact"/>
        <w:rPr>
          <w:sz w:val="20"/>
          <w:szCs w:val="20"/>
          <w:color w:val="auto"/>
        </w:rPr>
      </w:pPr>
    </w:p>
    <w:p>
      <w:pPr>
        <w:ind w:right="480"/>
        <w:spacing w:after="0" w:line="290" w:lineRule="auto"/>
        <w:rPr>
          <w:sz w:val="20"/>
          <w:szCs w:val="20"/>
          <w:color w:val="auto"/>
        </w:rPr>
      </w:pPr>
      <w:r>
        <w:rPr>
          <w:rFonts w:ascii="Arial" w:cs="Arial" w:eastAsia="Arial" w:hAnsi="Arial"/>
          <w:sz w:val="16"/>
          <w:szCs w:val="16"/>
          <w:b w:val="1"/>
          <w:bCs w:val="1"/>
          <w:i w:val="1"/>
          <w:iCs w:val="1"/>
          <w:color w:val="auto"/>
        </w:rPr>
        <w:t>Our long term success depends heavily on our ability to fund and complete the research and development activities for our program assets, including our lead drug candidates, rindopepimut and glembatumumab vedotin.</w:t>
      </w:r>
    </w:p>
    <w:p>
      <w:pPr>
        <w:spacing w:after="0" w:line="156" w:lineRule="exact"/>
        <w:rPr>
          <w:sz w:val="20"/>
          <w:szCs w:val="20"/>
          <w:color w:val="auto"/>
        </w:rPr>
      </w:pPr>
    </w:p>
    <w:p>
      <w:pPr>
        <w:ind w:firstLine="325"/>
        <w:spacing w:after="0" w:line="266" w:lineRule="auto"/>
        <w:rPr>
          <w:sz w:val="20"/>
          <w:szCs w:val="20"/>
          <w:color w:val="auto"/>
        </w:rPr>
      </w:pPr>
      <w:r>
        <w:rPr>
          <w:rFonts w:ascii="Arial" w:cs="Arial" w:eastAsia="Arial" w:hAnsi="Arial"/>
          <w:sz w:val="16"/>
          <w:szCs w:val="16"/>
          <w:color w:val="auto"/>
        </w:rPr>
        <w:t>Our management team lacks significant experience in completing Phase 3 clinical trials and obtaining regulatory approval for a drug candidate. Only a small minority of all research and development programs ultimately result in commercially successful drugs. Clinical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w:t>
      </w:r>
    </w:p>
    <w:p>
      <w:pPr>
        <w:spacing w:after="0" w:line="177" w:lineRule="exact"/>
        <w:rPr>
          <w:sz w:val="20"/>
          <w:szCs w:val="20"/>
          <w:color w:val="auto"/>
        </w:rPr>
      </w:pPr>
    </w:p>
    <w:p>
      <w:pPr>
        <w:ind w:right="60" w:firstLine="325"/>
        <w:spacing w:after="0" w:line="290" w:lineRule="auto"/>
        <w:rPr>
          <w:sz w:val="20"/>
          <w:szCs w:val="20"/>
          <w:color w:val="auto"/>
        </w:rPr>
      </w:pPr>
      <w:r>
        <w:rPr>
          <w:rFonts w:ascii="Arial" w:cs="Arial" w:eastAsia="Arial" w:hAnsi="Arial"/>
          <w:sz w:val="15"/>
          <w:szCs w:val="15"/>
          <w:color w:val="auto"/>
        </w:rPr>
        <w:t>If we face delays, difficulties or unanticipated costs in completing the development of rindopepimut or glembatumumab vedotin, we will need substantial additional financing. Further, even if we complete the development of rindopepimut or glembatumumab vedotin and gain marketing approvals from the FDA and comparable foreign regulatory authorities in a timely manner, we cannot be sure that rindopepimut or glembatumumab vedotin will be commercially successful in the pharmaceutical market. If the results of clinical trials, the anticipated or actual timing of marketing approvals, or the market acceptance of rindopepimut or glembatumumab vedotin, if approved, do not meet the expectations of investors or public market analysts, the market price of our common stock would likely decline.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manage multiple late stage clinical trials for a variety of drug candidates simultaneously.</w:t>
      </w:r>
    </w:p>
    <w:p>
      <w:pPr>
        <w:spacing w:after="0" w:line="216" w:lineRule="exact"/>
        <w:rPr>
          <w:sz w:val="20"/>
          <w:szCs w:val="20"/>
          <w:color w:val="auto"/>
        </w:rPr>
      </w:pPr>
    </w:p>
    <w:p>
      <w:pPr>
        <w:ind w:firstLine="316"/>
        <w:spacing w:after="0" w:line="284" w:lineRule="auto"/>
        <w:rPr>
          <w:sz w:val="20"/>
          <w:szCs w:val="20"/>
          <w:color w:val="auto"/>
        </w:rPr>
      </w:pPr>
      <w:r>
        <w:rPr>
          <w:rFonts w:ascii="Arial" w:cs="Arial" w:eastAsia="Arial" w:hAnsi="Arial"/>
          <w:sz w:val="15"/>
          <w:szCs w:val="15"/>
          <w:color w:val="auto"/>
        </w:rPr>
        <w:t>As our current clinical trials progress, we may need to manage multiple late stage clinical trials simultaneously in order to continue developing all of our current products. Our management team does not have significant experience in completing late stage clinical trials and the management of late stage clinical trials is more complex and time consuming than early stage trials. Typically, early stage trials involve several hundred patients in no more than 10-30 clinical sites. Late 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 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64"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spacing w:after="0" w:line="168" w:lineRule="exact"/>
        <w:rPr>
          <w:sz w:val="20"/>
          <w:szCs w:val="20"/>
          <w:color w:val="auto"/>
        </w:rPr>
      </w:pPr>
    </w:p>
    <w:p>
      <w:pPr>
        <w:ind w:firstLine="322"/>
        <w:spacing w:after="0" w:line="265" w:lineRule="auto"/>
        <w:rPr>
          <w:sz w:val="20"/>
          <w:szCs w:val="20"/>
          <w:color w:val="auto"/>
        </w:rPr>
      </w:pPr>
      <w:r>
        <w:rPr>
          <w:rFonts w:ascii="Arial" w:cs="Arial" w:eastAsia="Arial" w:hAnsi="Arial"/>
          <w:sz w:val="16"/>
          <w:szCs w:val="16"/>
          <w:color w:val="auto"/>
        </w:rPr>
        <w:t>We may enter into co-development and commercialization partnerships for certain products, including rindopepimut for commercialization outside of North America and Europe, glembatumumab vedotin and varlilumab.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75" w:lineRule="exact"/>
        <w:rPr>
          <w:sz w:val="20"/>
          <w:szCs w:val="20"/>
          <w:color w:val="auto"/>
        </w:rPr>
      </w:pPr>
    </w:p>
    <w:p>
      <w:pPr>
        <w:ind w:right="360" w:firstLine="325"/>
        <w:spacing w:after="0" w:line="294" w:lineRule="auto"/>
        <w:rPr>
          <w:sz w:val="20"/>
          <w:szCs w:val="20"/>
          <w:color w:val="auto"/>
        </w:rPr>
      </w:pPr>
      <w:r>
        <w:rPr>
          <w:rFonts w:ascii="Arial" w:cs="Arial" w:eastAsia="Arial" w:hAnsi="Arial"/>
          <w:sz w:val="15"/>
          <w:szCs w:val="15"/>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prevention and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drug candidates are subject to extensive regulatory scrutiny.</w:t>
      </w:r>
    </w:p>
    <w:p>
      <w:pPr>
        <w:spacing w:after="0" w:line="216" w:lineRule="exact"/>
        <w:rPr>
          <w:sz w:val="20"/>
          <w:szCs w:val="20"/>
          <w:color w:val="auto"/>
        </w:rPr>
      </w:pPr>
    </w:p>
    <w:p>
      <w:pPr>
        <w:ind w:right="220" w:firstLine="316"/>
        <w:spacing w:after="0" w:line="270" w:lineRule="auto"/>
        <w:rPr>
          <w:sz w:val="20"/>
          <w:szCs w:val="20"/>
          <w:color w:val="auto"/>
        </w:rPr>
      </w:pPr>
      <w:r>
        <w:rPr>
          <w:rFonts w:ascii="Arial" w:cs="Arial" w:eastAsia="Arial" w:hAnsi="Arial"/>
          <w:sz w:val="16"/>
          <w:szCs w:val="16"/>
          <w:color w:val="auto"/>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any of our drug candidates. Product development within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drug candidates do not pass required tests for safety and effectiveness, we will not be able to obtain regulatory approval and derive commercial revenue from them.</w:t>
      </w:r>
    </w:p>
    <w:p>
      <w:pPr>
        <w:spacing w:after="0" w:line="239" w:lineRule="exact"/>
        <w:rPr>
          <w:sz w:val="20"/>
          <w:szCs w:val="20"/>
          <w:color w:val="auto"/>
        </w:rPr>
      </w:pPr>
    </w:p>
    <w:p>
      <w:pPr>
        <w:ind w:right="80" w:firstLine="325"/>
        <w:spacing w:after="0" w:line="285" w:lineRule="auto"/>
        <w:rPr>
          <w:sz w:val="20"/>
          <w:szCs w:val="20"/>
          <w:color w:val="auto"/>
        </w:rPr>
      </w:pPr>
      <w:r>
        <w:rPr>
          <w:rFonts w:ascii="Arial" w:cs="Arial" w:eastAsia="Arial" w:hAnsi="Arial"/>
          <w:sz w:val="15"/>
          <w:szCs w:val="15"/>
          <w:color w:val="auto"/>
        </w:rPr>
        <w:t>In order to succeed, we will need to obtain regulatory approval for our drug candidates. The FDA has not approved our lead drug candidates, rindopepimut or glembatumumab vedotin, or any of our other products for sale to date. Our drug candidates are in various stages of preclinical and clinical testing. Preclinical tests are performed at an early stage of a product's development and provide information about a product's safety and effectiveness on laboratory animals.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new drug application is filed with the FDA, it may take more than a year to receive FDA approval.</w:t>
      </w:r>
    </w:p>
    <w:p>
      <w:pPr>
        <w:spacing w:after="0" w:line="162" w:lineRule="exact"/>
        <w:rPr>
          <w:sz w:val="20"/>
          <w:szCs w:val="20"/>
          <w:color w:val="auto"/>
        </w:rPr>
      </w:pPr>
    </w:p>
    <w:p>
      <w:pPr>
        <w:ind w:firstLine="325"/>
        <w:spacing w:after="0" w:line="266" w:lineRule="auto"/>
        <w:rPr>
          <w:sz w:val="20"/>
          <w:szCs w:val="20"/>
          <w:color w:val="auto"/>
        </w:rPr>
      </w:pPr>
      <w:r>
        <w:rPr>
          <w:rFonts w:ascii="Arial" w:cs="Arial" w:eastAsia="Arial" w:hAnsi="Arial"/>
          <w:sz w:val="16"/>
          <w:szCs w:val="16"/>
          <w:color w:val="auto"/>
        </w:rPr>
        <w:t>In all cases we must show that a pharmaceutical product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lead products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testing is critical to the success of our products but subject to delay or cancellation if we have difficulty enrolling patients.</w:t>
      </w:r>
    </w:p>
    <w:p>
      <w:pPr>
        <w:spacing w:after="0" w:line="216" w:lineRule="exact"/>
        <w:rPr>
          <w:sz w:val="20"/>
          <w:szCs w:val="20"/>
          <w:color w:val="auto"/>
        </w:rPr>
      </w:pPr>
    </w:p>
    <w:p>
      <w:pPr>
        <w:ind w:right="40" w:firstLine="316"/>
        <w:spacing w:after="0" w:line="270" w:lineRule="auto"/>
        <w:rPr>
          <w:sz w:val="20"/>
          <w:szCs w:val="20"/>
          <w:color w:val="auto"/>
        </w:rPr>
      </w:pPr>
      <w:r>
        <w:rPr>
          <w:rFonts w:ascii="Arial" w:cs="Arial" w:eastAsia="Arial" w:hAnsi="Arial"/>
          <w:sz w:val="16"/>
          <w:szCs w:val="16"/>
          <w:color w:val="auto"/>
        </w:rPr>
        <w:t>As our portfolio of drug candidates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185" w:lineRule="exact"/>
        <w:rPr>
          <w:sz w:val="20"/>
          <w:szCs w:val="20"/>
          <w:color w:val="auto"/>
        </w:rPr>
      </w:pPr>
    </w:p>
    <w:p>
      <w:pPr>
        <w:ind w:left="1000" w:hanging="500"/>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nature of the clinical test;</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size of the patient population;</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patients' willingness to receive a placebo or less effective treatment on the control arm of a clinical study;</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distance between patients and clinical test sites; and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9" w:lineRule="exact"/>
        <w:rPr>
          <w:sz w:val="20"/>
          <w:szCs w:val="20"/>
          <w:color w:val="auto"/>
        </w:rPr>
      </w:pPr>
    </w:p>
    <w:p>
      <w:pPr>
        <w:ind w:left="1000" w:hanging="500"/>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eligibility criteria for the trial.</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we cannot enroll patients as needed, our costs may increase or we may be forced to delay or terminate testing for a product.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delays in completing our clinical trials and we may not complete them at all.</w:t>
      </w:r>
    </w:p>
    <w:p>
      <w:pPr>
        <w:spacing w:after="0" w:line="216" w:lineRule="exact"/>
        <w:rPr>
          <w:sz w:val="20"/>
          <w:szCs w:val="20"/>
          <w:color w:val="auto"/>
        </w:rPr>
      </w:pPr>
    </w:p>
    <w:p>
      <w:pPr>
        <w:ind w:right="120" w:firstLine="322"/>
        <w:spacing w:after="0" w:line="270" w:lineRule="auto"/>
        <w:rPr>
          <w:sz w:val="20"/>
          <w:szCs w:val="20"/>
          <w:color w:val="auto"/>
        </w:rPr>
      </w:pPr>
      <w:r>
        <w:rPr>
          <w:rFonts w:ascii="Arial" w:cs="Arial" w:eastAsia="Arial" w:hAnsi="Arial"/>
          <w:sz w:val="16"/>
          <w:szCs w:val="16"/>
          <w:color w:val="auto"/>
        </w:rPr>
        <w:t>We have not completed the clinical trials necessary to obtain FDA approval to market rindopepimut, glembatumumab vedotin or any of our other products in development. Other than ACT IV and METRIC which is designed for approval, we have not initiated Phase 3 studies for any of our other products in development. Our management lacks significant experience in completing Phase 3 trials and bringing a drug through commercialization. ACT IV, METRIC and clinical trials for other products in development may be delayed or terminated as a result of many factors, including the following:</w:t>
      </w:r>
    </w:p>
    <w:p>
      <w:pPr>
        <w:spacing w:after="0" w:line="197" w:lineRule="exact"/>
        <w:rPr>
          <w:sz w:val="20"/>
          <w:szCs w:val="20"/>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difficulty in enrolling patients in our clinical trials;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patients failing to complete clinical trials due to dissatisfaction with the treatment, side effects or other reasons;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by regulators to authorize us to commence a clinical trial;</w:t>
      </w:r>
    </w:p>
    <w:p>
      <w:pPr>
        <w:spacing w:after="0" w:line="241" w:lineRule="exact"/>
        <w:rPr>
          <w:rFonts w:ascii="Arial" w:cs="Arial" w:eastAsia="Arial" w:hAnsi="Arial"/>
          <w:sz w:val="16"/>
          <w:szCs w:val="16"/>
          <w:color w:val="auto"/>
        </w:rPr>
      </w:pPr>
    </w:p>
    <w:p>
      <w:pPr>
        <w:ind w:left="1000" w:hanging="500"/>
        <w:spacing w:after="0" w:line="290"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suspension or termination by regulators of clinical research for many reasons, including concerns about patient safety or failure of our contract manufacturers to comply with cGMP requirements;</w:t>
      </w:r>
    </w:p>
    <w:p>
      <w:pPr>
        <w:spacing w:after="0" w:line="168" w:lineRule="exact"/>
        <w:rPr>
          <w:rFonts w:ascii="Arial" w:cs="Arial" w:eastAsia="Arial" w:hAnsi="Arial"/>
          <w:sz w:val="16"/>
          <w:szCs w:val="16"/>
          <w:color w:val="auto"/>
        </w:rPr>
      </w:pPr>
    </w:p>
    <w:p>
      <w:pPr>
        <w:ind w:left="1000" w:right="80" w:hanging="500"/>
        <w:spacing w:after="0" w:line="290"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delays or failure to obtain clinical supply for our products necessary to conduct clinical trials from contract manufacturers, including commercial grade clinical supply for our Phase 3 clinical trials;</w:t>
      </w:r>
    </w:p>
    <w:p>
      <w:pPr>
        <w:spacing w:after="0" w:line="168" w:lineRule="exact"/>
        <w:rPr>
          <w:rFonts w:ascii="Arial" w:cs="Arial" w:eastAsia="Arial" w:hAnsi="Arial"/>
          <w:sz w:val="16"/>
          <w:szCs w:val="16"/>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treatment candidates demonstrating a lack of efficacy during clinical trials;</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inability to continue to fund clinical trials or to find a partner to fund the clinical trials;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competition with ongoing clinical trials and scheduling conflicts with participating clinicians; and</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delays in completing data collection and analysis for clinical trials.</w:t>
      </w:r>
    </w:p>
    <w:p>
      <w:pPr>
        <w:spacing w:after="0" w:line="216" w:lineRule="exact"/>
        <w:rPr>
          <w:sz w:val="20"/>
          <w:szCs w:val="20"/>
          <w:color w:val="auto"/>
        </w:rPr>
      </w:pPr>
    </w:p>
    <w:p>
      <w:pPr>
        <w:ind w:right="720" w:firstLine="316"/>
        <w:spacing w:after="0" w:line="290" w:lineRule="auto"/>
        <w:rPr>
          <w:sz w:val="20"/>
          <w:szCs w:val="20"/>
          <w:color w:val="auto"/>
        </w:rPr>
      </w:pPr>
      <w:r>
        <w:rPr>
          <w:rFonts w:ascii="Arial" w:cs="Arial" w:eastAsia="Arial" w:hAnsi="Arial"/>
          <w:sz w:val="16"/>
          <w:szCs w:val="16"/>
          <w:color w:val="auto"/>
        </w:rPr>
        <w:t>Any delay or failure to complete clinical trials and obtain FDA approval for our drug candidates could have a material adverse effect on our cost to develop and commercialize, and our ability to generate revenue from, a particular drug candidate.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delay in obtaining regulatory approval would have an adverse impact on our ability to earn future revenues.</w:t>
      </w:r>
    </w:p>
    <w:p>
      <w:pPr>
        <w:spacing w:after="0" w:line="216" w:lineRule="exact"/>
        <w:rPr>
          <w:sz w:val="20"/>
          <w:szCs w:val="20"/>
          <w:color w:val="auto"/>
        </w:rPr>
      </w:pPr>
    </w:p>
    <w:p>
      <w:pPr>
        <w:ind w:right="40" w:firstLine="325"/>
        <w:spacing w:after="0" w:line="265" w:lineRule="auto"/>
        <w:rPr>
          <w:sz w:val="20"/>
          <w:szCs w:val="20"/>
          <w:color w:val="auto"/>
        </w:rPr>
      </w:pPr>
      <w:r>
        <w:rPr>
          <w:rFonts w:ascii="Arial" w:cs="Arial" w:eastAsia="Arial" w:hAnsi="Arial"/>
          <w:sz w:val="16"/>
          <w:szCs w:val="16"/>
          <w:color w:val="auto"/>
        </w:rPr>
        <w:t>It is possible that none of the drug candidates that we develop will obtain the regulatory approvals necessary for us to begin commercializing them. The time required to obtain FDA and other approvals is unpredictable but often can take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firstLine="322"/>
        <w:spacing w:after="0" w:line="264"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 competitors of which we are aware that have initiated a Phase 3 study or have obtained marketing approval for a potentially competitive drug to rindopepimut for treatment of glioblastoma and/or glembatumumab vedotin for treatment of breast cancer include AbbVie, Arbor Pharmaceutics, Inc., AstraZeneca PLC, Bayer, Bristol-Myers Squibb, Celgene Corporation, Eisai Inc., Eli Lilly and Company, Medigene AG, Northwest Biotherapeutics, Inc., Novartis, Pfizer Inc., and Roche.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many competitors in our field and they may develop technologies that make ours obsolete.</w:t>
      </w:r>
    </w:p>
    <w:p>
      <w:pPr>
        <w:spacing w:after="0" w:line="216" w:lineRule="exact"/>
        <w:rPr>
          <w:sz w:val="20"/>
          <w:szCs w:val="20"/>
          <w:color w:val="auto"/>
        </w:rPr>
      </w:pPr>
    </w:p>
    <w:p>
      <w:pPr>
        <w:ind w:right="60" w:firstLine="325"/>
        <w:spacing w:after="0" w:line="265" w:lineRule="auto"/>
        <w:rPr>
          <w:sz w:val="20"/>
          <w:szCs w:val="20"/>
          <w:color w:val="auto"/>
        </w:rPr>
      </w:pPr>
      <w:r>
        <w:rPr>
          <w:rFonts w:ascii="Arial" w:cs="Arial" w:eastAsia="Arial" w:hAnsi="Arial"/>
          <w:sz w:val="16"/>
          <w:szCs w:val="16"/>
          <w:color w:val="auto"/>
        </w:rPr>
        <w:t>Biotechnology, pharmaceuticals and therapeutics are rapidly evolving fields in which scientific and technological developments are expected to continue at a rapid pace. We have many competitors in the U.S. and abroad. The competitors of which we are aware that have initiated a Phase 3 study or have obtained marketing approval for a potentially competitive drug to rindopepimut for treatment of glioblastoma and/or glembatumumab vedotin for treatment of breast cancer include AbbVie, Arbor Pharmaceutics, Inc., AstraZeneca PLC, Bayer, Bristol-Myers Squibb, Celgene Corporation, Eisai Inc., Eli Lilly and Company, Medigene AG, Northwest Biotherapeutics, Inc., Novartis, Pfizer Inc., and Roche.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91" w:lineRule="exact"/>
        <w:rPr>
          <w:sz w:val="20"/>
          <w:szCs w:val="20"/>
          <w:color w:val="auto"/>
        </w:rPr>
      </w:pPr>
    </w:p>
    <w:p>
      <w:pPr>
        <w:ind w:left="1000" w:hanging="500"/>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develop technologies and products that are more effective than ours, making ours obsolete or otherwise noncompetitive;</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 regulatory approval for products more rapidly or effectively than us; and</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 patent protection or other intellectual property rights that would block our ability to develop competitive products.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Commercialization of Our Drug Candidates</w:t>
      </w:r>
    </w:p>
    <w:p>
      <w:pPr>
        <w:spacing w:after="0" w:line="2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We may face delays, difficulties or unanticipated costs in establishing sales and distribution capabilities for the commercialization of rindopepimut, if regulatory approval is obtained, or any other of our drug candidates.</w:t>
      </w:r>
    </w:p>
    <w:p>
      <w:pPr>
        <w:spacing w:after="0" w:line="156" w:lineRule="exact"/>
        <w:rPr>
          <w:sz w:val="20"/>
          <w:szCs w:val="20"/>
          <w:color w:val="auto"/>
        </w:rPr>
      </w:pPr>
    </w:p>
    <w:p>
      <w:pPr>
        <w:ind w:right="180" w:firstLine="322"/>
        <w:spacing w:after="0" w:line="311" w:lineRule="auto"/>
        <w:rPr>
          <w:sz w:val="20"/>
          <w:szCs w:val="20"/>
          <w:color w:val="auto"/>
        </w:rPr>
      </w:pPr>
      <w:r>
        <w:rPr>
          <w:rFonts w:ascii="Arial" w:cs="Arial" w:eastAsia="Arial" w:hAnsi="Arial"/>
          <w:sz w:val="14"/>
          <w:szCs w:val="14"/>
          <w:color w:val="auto"/>
        </w:rPr>
        <w:t>We are in the process of building a commercial organization which we believe will provide us with the strategic options to either retain full economic rights to our drug candidates or seek favorable economic terms through advantageous commercial partnerships. We plan to commercialize our lead drug candidate rindopepimut ourselves in North America and Europe. As a result, we may have full responsibility for commercialization of rindopepimut and our other drug candidates if and when they are approved for sale. We currently lack sufficient marketing, sales and distribution capabilities to carry out this strategy. If any of our drug candidates are approved by the FDA, we will need a drug sales force with technical expertise prior to the commercialization of any of our drug candidates. We will incur substantial additional expenses in developing, training and managing such an organization. We may be unable to build such a sales force, the cost of establishing such a sales force may exceed 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product revenue, or our direct marketing and sales efforts may be unsuccessful. We may find it necessary to enter into strategic partnerships, co-promotion or other licensing arrangements and to the extent we enter into such strategic partnerships, co-promotion or other licensing arrangements, our product revenues are likely to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rindopepimut or any of our other drug candidates, either on our own or through collaborations with one or more third parties, our future product revenue will suffer and we may never achieve profitability or become unable to continue the operation of our business.</w:t>
      </w:r>
    </w:p>
    <w:p>
      <w:pPr>
        <w:spacing w:after="0" w:line="17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b w:val="1"/>
          <w:bCs w:val="1"/>
          <w:i w:val="1"/>
          <w:iCs w:val="1"/>
          <w:color w:val="auto"/>
        </w:rPr>
        <w:t>If rindopepimut or any other drug candidates for which we obtain regulatory approval do not achieve broad acceptance from physicians, patients and third-party payors, we may be unable to generate significant revenues, if any.</w:t>
      </w:r>
    </w:p>
    <w:p>
      <w:pPr>
        <w:spacing w:after="0" w:line="156" w:lineRule="exact"/>
        <w:rPr>
          <w:sz w:val="20"/>
          <w:szCs w:val="20"/>
          <w:color w:val="auto"/>
        </w:rPr>
      </w:pPr>
    </w:p>
    <w:p>
      <w:pPr>
        <w:ind w:right="100" w:firstLine="325"/>
        <w:spacing w:after="0" w:line="302" w:lineRule="auto"/>
        <w:rPr>
          <w:sz w:val="20"/>
          <w:szCs w:val="20"/>
          <w:color w:val="auto"/>
        </w:rPr>
      </w:pPr>
      <w:r>
        <w:rPr>
          <w:rFonts w:ascii="Arial" w:cs="Arial" w:eastAsia="Arial" w:hAnsi="Arial"/>
          <w:sz w:val="15"/>
          <w:szCs w:val="15"/>
          <w:color w:val="auto"/>
        </w:rPr>
        <w:t>Even if we obtain regulatory approval for our drug candidates, our approved drugs may not gain market acceptance among physicians and patients. We believe that effectively marketing rindopepimut, if it is approved, and our other drug candidates, if any of them are approved, will require substantial efforts, both prior to launch and after approval. Physicians may elect not to prescribe our drugs, and patients may elect not to request or take them, for a variety of reasons including:</w:t>
      </w:r>
    </w:p>
    <w:p>
      <w:pPr>
        <w:spacing w:after="0" w:line="162" w:lineRule="exact"/>
        <w:rPr>
          <w:sz w:val="20"/>
          <w:szCs w:val="20"/>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limitations or warnings contained in a drug's FDA-approved labeling;</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the standard of care or the availability of alternative drugs for the targeted indications for any of our drug candidates;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limitations in the approved indications for our drug candidates;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demonstrated clinical safety and efficacy compared to other drugs;</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significant adverse side effects;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effectiveness of education, sales, marketing and distribution support;</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timing of market introduction and perceived effectiveness of competitive drugs;</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cost-effectiveness;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adverse publicity about our drug candidates or favorable publicity about competitive drugs; and</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convenience and ease of administration of our drug candidates.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our future drugs fail to achieve market acceptance, we will not be able to generate significant revenues and may never achieve profitability.</w:t>
      </w:r>
    </w:p>
    <w:p>
      <w:pPr>
        <w:spacing w:after="0" w:line="216"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b w:val="1"/>
          <w:bCs w:val="1"/>
          <w:i w:val="1"/>
          <w:iCs w:val="1"/>
          <w:color w:val="auto"/>
        </w:rPr>
        <w:t>Reimbursement decisions by third-party payors may have an adverse effect on pricing and market acceptance of rindopepimut or any of our other drug candidates. If there is not sufficient reimbursement for our future drugs, it is less likely that such drugs will be widely used.</w:t>
      </w:r>
    </w:p>
    <w:p>
      <w:pPr>
        <w:spacing w:after="0" w:line="156" w:lineRule="exact"/>
        <w:rPr>
          <w:sz w:val="20"/>
          <w:szCs w:val="20"/>
          <w:color w:val="auto"/>
        </w:rPr>
      </w:pPr>
    </w:p>
    <w:p>
      <w:pPr>
        <w:ind w:firstLine="325"/>
        <w:spacing w:after="0" w:line="268" w:lineRule="auto"/>
        <w:rPr>
          <w:sz w:val="20"/>
          <w:szCs w:val="20"/>
          <w:color w:val="auto"/>
        </w:rPr>
      </w:pPr>
      <w:r>
        <w:rPr>
          <w:rFonts w:ascii="Arial" w:cs="Arial" w:eastAsia="Arial" w:hAnsi="Arial"/>
          <w:sz w:val="16"/>
          <w:szCs w:val="16"/>
          <w:color w:val="auto"/>
        </w:rPr>
        <w:t>Market acceptance and sales of rindopepimut or any other drug candidates for which we obtain regulatory approval will depend on reimbursement policies and may be affected by future healthcare reform measures in both 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for these drugs. In addition, we might need to conduct post-marketing studies in order to demonstrate the cost-effectiveness of any future drugs to such payors' satisfaction.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Such studies might require us to commit a significant amount of management time and financial and other resources.</w:t>
      </w:r>
    </w:p>
    <w:p>
      <w:pPr>
        <w:spacing w:after="0" w:line="209" w:lineRule="exact"/>
        <w:rPr>
          <w:sz w:val="20"/>
          <w:szCs w:val="20"/>
          <w:color w:val="auto"/>
        </w:rPr>
      </w:pPr>
    </w:p>
    <w:p>
      <w:pPr>
        <w:ind w:right="20" w:firstLine="325"/>
        <w:spacing w:after="0" w:line="268" w:lineRule="auto"/>
        <w:rPr>
          <w:sz w:val="20"/>
          <w:szCs w:val="20"/>
          <w:color w:val="auto"/>
        </w:rPr>
      </w:pPr>
      <w:r>
        <w:rPr>
          <w:rFonts w:ascii="Arial" w:cs="Arial" w:eastAsia="Arial" w:hAnsi="Arial"/>
          <w:sz w:val="16"/>
          <w:szCs w:val="16"/>
          <w:color w:val="auto"/>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legislation, or similar regulatory changes or relaxation of laws that restrict imports of drugs from other countries, could reduce the net price we receive for any future marketed drugs. As a result, our future drugs might not ultimately be considered cost-effective.</w:t>
      </w:r>
    </w:p>
    <w:p>
      <w:pPr>
        <w:spacing w:after="0" w:line="173" w:lineRule="exact"/>
        <w:rPr>
          <w:sz w:val="20"/>
          <w:szCs w:val="20"/>
          <w:color w:val="auto"/>
        </w:rPr>
      </w:pPr>
    </w:p>
    <w:p>
      <w:pPr>
        <w:ind w:right="100" w:firstLine="322"/>
        <w:spacing w:after="0" w:line="275" w:lineRule="auto"/>
        <w:rPr>
          <w:sz w:val="20"/>
          <w:szCs w:val="20"/>
          <w:color w:val="auto"/>
        </w:rPr>
      </w:pPr>
      <w:r>
        <w:rPr>
          <w:rFonts w:ascii="Arial" w:cs="Arial" w:eastAsia="Arial" w:hAnsi="Arial"/>
          <w:sz w:val="16"/>
          <w:szCs w:val="16"/>
          <w:color w:val="auto"/>
        </w:rPr>
        <w:t>We cannot be certain that reimbursement will be available for rindopepimut or any other drug candidates that we develop. Also, we cannot be certain that reimbursement policies will not reduce the demand for, or the price paid for, any future drugs. If reimbursement is not available or is available on a limited basis, we may not be able to successfully commercialize rindopepimut or any other drug candidates that we develop.</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factors could affect the demand for and sales of any drug candidates that we may commercialize in the future.</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general, other factors that could affect the demand for and sales and profitability of our future drugs include, but are not limited to:</w:t>
      </w:r>
    </w:p>
    <w:p>
      <w:pPr>
        <w:spacing w:after="0" w:line="229" w:lineRule="exact"/>
        <w:rPr>
          <w:sz w:val="20"/>
          <w:szCs w:val="20"/>
          <w:color w:val="auto"/>
        </w:rPr>
      </w:pPr>
    </w:p>
    <w:p>
      <w:pPr>
        <w:ind w:left="1000" w:hanging="500"/>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of regulatory approval, if any, of competitive drugs;</w:t>
      </w:r>
    </w:p>
    <w:p>
      <w:pPr>
        <w:spacing w:after="0" w:line="241" w:lineRule="exact"/>
        <w:rPr>
          <w:rFonts w:ascii="Arial" w:cs="Arial" w:eastAsia="Arial" w:hAnsi="Arial"/>
          <w:sz w:val="16"/>
          <w:szCs w:val="16"/>
          <w:color w:val="auto"/>
        </w:rPr>
      </w:pPr>
    </w:p>
    <w:p>
      <w:pPr>
        <w:ind w:left="1000" w:hanging="500"/>
        <w:spacing w:after="0" w:line="290"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or any other of our partners' pricing decisions, as applicable, including a decision to increase or decrease the price of a drug, and the pricing decisions of our competitors;</w:t>
      </w:r>
    </w:p>
    <w:p>
      <w:pPr>
        <w:spacing w:after="0" w:line="168" w:lineRule="exact"/>
        <w:rPr>
          <w:rFonts w:ascii="Arial" w:cs="Arial" w:eastAsia="Arial" w:hAnsi="Arial"/>
          <w:sz w:val="16"/>
          <w:szCs w:val="16"/>
          <w:color w:val="auto"/>
        </w:rPr>
      </w:pPr>
    </w:p>
    <w:p>
      <w:pPr>
        <w:ind w:left="1000" w:hanging="500"/>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government and third-party payer reimbursement and coverage decisions that affect the utilization of our future drugs and competing drugs;</w:t>
      </w:r>
    </w:p>
    <w:p>
      <w:pPr>
        <w:spacing w:after="0" w:line="228" w:lineRule="exact"/>
        <w:rPr>
          <w:rFonts w:ascii="Arial" w:cs="Arial" w:eastAsia="Arial" w:hAnsi="Arial"/>
          <w:sz w:val="16"/>
          <w:szCs w:val="16"/>
          <w:color w:val="auto"/>
        </w:rPr>
      </w:pPr>
    </w:p>
    <w:p>
      <w:pPr>
        <w:ind w:left="1000" w:hanging="500"/>
        <w:spacing w:after="0" w:line="290"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negative safety or efficacy data from new clinical studies conducted either in the U.S. or internationally by any party could cause the sales of our future drugs to decrease or a future drug to be recalled;</w:t>
      </w:r>
    </w:p>
    <w:p>
      <w:pPr>
        <w:spacing w:after="0" w:line="180" w:lineRule="exact"/>
        <w:rPr>
          <w:rFonts w:ascii="Arial" w:cs="Arial" w:eastAsia="Arial" w:hAnsi="Arial"/>
          <w:sz w:val="16"/>
          <w:szCs w:val="16"/>
          <w:color w:val="auto"/>
        </w:rPr>
      </w:pPr>
    </w:p>
    <w:p>
      <w:pPr>
        <w:ind w:left="1000" w:right="300" w:hanging="500"/>
        <w:spacing w:after="0" w:line="290"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degree of patent protection afforded our future drugs by patents granted to or licensed by us and by the outcome of litigation involving our or any of our licensor's patents;</w:t>
      </w:r>
    </w:p>
    <w:p>
      <w:pPr>
        <w:spacing w:after="0" w:line="168" w:lineRule="exact"/>
        <w:rPr>
          <w:rFonts w:ascii="Arial" w:cs="Arial" w:eastAsia="Arial" w:hAnsi="Arial"/>
          <w:sz w:val="16"/>
          <w:szCs w:val="16"/>
          <w:color w:val="auto"/>
        </w:rPr>
      </w:pPr>
    </w:p>
    <w:p>
      <w:pPr>
        <w:ind w:left="1000" w:right="60" w:hanging="500"/>
        <w:spacing w:after="0" w:line="290"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outcome of litigation involving patents of other companies concerning our future drugs or processes related to production and formulation of those drugs or uses of those drugs;</w:t>
      </w:r>
    </w:p>
    <w:p>
      <w:pPr>
        <w:spacing w:after="0" w:line="168" w:lineRule="exact"/>
        <w:rPr>
          <w:rFonts w:ascii="Arial" w:cs="Arial" w:eastAsia="Arial" w:hAnsi="Arial"/>
          <w:sz w:val="16"/>
          <w:szCs w:val="16"/>
          <w:color w:val="auto"/>
        </w:rPr>
      </w:pPr>
    </w:p>
    <w:p>
      <w:pPr>
        <w:ind w:left="1000" w:hanging="500"/>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increasing use and development of alternate therapies;</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rate of market penetration by competing drugs; and</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termination of, or change in, existing arrangements with our partners.</w:t>
      </w:r>
    </w:p>
    <w:p>
      <w:pPr>
        <w:spacing w:after="0" w:line="216" w:lineRule="exact"/>
        <w:rPr>
          <w:sz w:val="20"/>
          <w:szCs w:val="20"/>
          <w:color w:val="auto"/>
        </w:rPr>
      </w:pPr>
    </w:p>
    <w:p>
      <w:pPr>
        <w:ind w:right="80" w:firstLine="325"/>
        <w:spacing w:after="0" w:line="275" w:lineRule="auto"/>
        <w:rPr>
          <w:sz w:val="20"/>
          <w:szCs w:val="20"/>
          <w:color w:val="auto"/>
        </w:rPr>
      </w:pPr>
      <w:r>
        <w:rPr>
          <w:rFonts w:ascii="Arial" w:cs="Arial" w:eastAsia="Arial" w:hAnsi="Arial"/>
          <w:sz w:val="16"/>
          <w:szCs w:val="16"/>
          <w:color w:val="auto"/>
        </w:rPr>
        <w:t>In addition, some of our licensing and other agreements with third parties require or might require us to maintain product liability insurance. If we cannot maintain acceptable amounts of coverage on commercially reasonable terms in accordance with the terms set forth in these agreements, the corresponding agreements would be subject to termination, which could have a material adverse impact on our operations.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Any of these factors could have a material adverse effect on the sales of any drug candidates that we may commercialize in the future.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regulatory approvals in foreign jurisdictions will prevent us from marketing our products internationally.</w:t>
      </w:r>
    </w:p>
    <w:p>
      <w:pPr>
        <w:spacing w:after="0" w:line="216" w:lineRule="exact"/>
        <w:rPr>
          <w:sz w:val="20"/>
          <w:szCs w:val="20"/>
          <w:color w:val="auto"/>
        </w:rPr>
      </w:pPr>
    </w:p>
    <w:p>
      <w:pPr>
        <w:ind w:firstLine="322"/>
        <w:spacing w:after="0" w:line="275" w:lineRule="auto"/>
        <w:rPr>
          <w:sz w:val="20"/>
          <w:szCs w:val="20"/>
          <w:color w:val="auto"/>
        </w:rPr>
      </w:pPr>
      <w:r>
        <w:rPr>
          <w:rFonts w:ascii="Arial" w:cs="Arial" w:eastAsia="Arial" w:hAnsi="Arial"/>
          <w:sz w:val="16"/>
          <w:szCs w:val="16"/>
          <w:color w:val="auto"/>
        </w:rPr>
        <w:t>We intend to seek approval for rindopepimut in Europe and may seek approval of our other drug candidates outside the United States and may market future products in international markets. In order to market our future products in the European Economic Area, or EEA, and many other foreign jurisdictions, we must obtain separate regulatory approvals. Specifically, in the EEA, medicinal products can only be commercialized after obtaining a Marketing Authorization, or MA.</w:t>
      </w:r>
    </w:p>
    <w:p>
      <w:pPr>
        <w:spacing w:after="0" w:line="168" w:lineRule="exact"/>
        <w:rPr>
          <w:sz w:val="20"/>
          <w:szCs w:val="20"/>
          <w:color w:val="auto"/>
        </w:rPr>
      </w:pPr>
    </w:p>
    <w:p>
      <w:pPr>
        <w:ind w:right="40" w:firstLine="325"/>
        <w:spacing w:after="0" w:line="290" w:lineRule="auto"/>
        <w:rPr>
          <w:sz w:val="20"/>
          <w:szCs w:val="20"/>
          <w:color w:val="auto"/>
        </w:rPr>
      </w:pPr>
      <w:r>
        <w:rPr>
          <w:rFonts w:ascii="Arial" w:cs="Arial" w:eastAsia="Arial" w:hAnsi="Arial"/>
          <w:sz w:val="16"/>
          <w:szCs w:val="16"/>
          <w:color w:val="auto"/>
        </w:rPr>
        <w:t>Before granting the MA, the European Medicines Agency or the competent authorities of the member states of the EEA make an assessment of the risk-benefit balance of the product on the basis of scientific criteria concerning its quality, safety and efficacy.</w:t>
      </w:r>
    </w:p>
    <w:p>
      <w:pPr>
        <w:spacing w:after="0" w:line="156" w:lineRule="exact"/>
        <w:rPr>
          <w:sz w:val="20"/>
          <w:szCs w:val="20"/>
          <w:color w:val="auto"/>
        </w:rPr>
      </w:pPr>
    </w:p>
    <w:p>
      <w:pPr>
        <w:ind w:right="40" w:firstLine="322"/>
        <w:spacing w:after="0" w:line="287" w:lineRule="auto"/>
        <w:rPr>
          <w:sz w:val="20"/>
          <w:szCs w:val="20"/>
          <w:color w:val="auto"/>
        </w:rPr>
      </w:pPr>
      <w:r>
        <w:rPr>
          <w:rFonts w:ascii="Arial" w:cs="Arial" w:eastAsia="Arial" w:hAnsi="Arial"/>
          <w:sz w:val="15"/>
          <w:szCs w:val="15"/>
          <w:color w:val="auto"/>
        </w:rPr>
        <w:t>The approval procedures vary among countries and can involve additional clinical testing, and the time required to obtain approval may differ from that required to obtain FDA approval.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63" w:lineRule="exact"/>
        <w:rPr>
          <w:sz w:val="20"/>
          <w:szCs w:val="20"/>
          <w:color w:val="auto"/>
        </w:rPr>
      </w:pPr>
    </w:p>
    <w:p>
      <w:pPr>
        <w:ind w:right="340"/>
        <w:spacing w:after="0" w:line="290" w:lineRule="auto"/>
        <w:rPr>
          <w:sz w:val="20"/>
          <w:szCs w:val="20"/>
          <w:color w:val="auto"/>
        </w:rPr>
      </w:pPr>
      <w:r>
        <w:rPr>
          <w:rFonts w:ascii="Arial" w:cs="Arial" w:eastAsia="Arial" w:hAnsi="Arial"/>
          <w:sz w:val="16"/>
          <w:szCs w:val="16"/>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56" w:lineRule="exact"/>
        <w:rPr>
          <w:sz w:val="20"/>
          <w:szCs w:val="20"/>
          <w:color w:val="auto"/>
        </w:rPr>
      </w:pPr>
    </w:p>
    <w:p>
      <w:pPr>
        <w:ind w:right="80" w:firstLine="322"/>
        <w:spacing w:after="0" w:line="302" w:lineRule="auto"/>
        <w:rPr>
          <w:sz w:val="20"/>
          <w:szCs w:val="20"/>
          <w:color w:val="auto"/>
        </w:rPr>
      </w:pPr>
      <w:r>
        <w:rPr>
          <w:rFonts w:ascii="Arial" w:cs="Arial" w:eastAsia="Arial" w:hAnsi="Arial"/>
          <w:sz w:val="15"/>
          <w:szCs w:val="15"/>
          <w:color w:val="auto"/>
        </w:rPr>
        <w:t>We plan to commercialize our lead drug candidate rindopepimut ourselves in Europe, if regulatory approval is obtained. If our other drug candidates are approved for commercialization outside of the United States, we may enter into agreements with third parties to market them on a worldwide basis or in more limited geographical regions. We expect that we will be subject to additional risks related to international operations and entering into international business relationships, including:</w:t>
      </w:r>
    </w:p>
    <w:p>
      <w:pPr>
        <w:spacing w:after="0" w:line="162" w:lineRule="exact"/>
        <w:rPr>
          <w:sz w:val="20"/>
          <w:szCs w:val="20"/>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different regulatory requirements for drug approvals;</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reduced protection for intellectual property rights, including trade secret and patent rights;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unexpected changes in tariffs, trade barriers and regulatory requirements;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foreign taxes, including withholding of payroll taxes;</w:t>
      </w:r>
    </w:p>
    <w:p>
      <w:pPr>
        <w:spacing w:after="0" w:line="228" w:lineRule="exact"/>
        <w:rPr>
          <w:rFonts w:ascii="Arial" w:cs="Arial" w:eastAsia="Arial" w:hAnsi="Arial"/>
          <w:sz w:val="16"/>
          <w:szCs w:val="16"/>
          <w:color w:val="auto"/>
        </w:rPr>
      </w:pPr>
    </w:p>
    <w:p>
      <w:pPr>
        <w:ind w:left="1000" w:right="340" w:hanging="500"/>
        <w:spacing w:after="0" w:line="290"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revenues, and other obligations incident to doing business in another country;</w:t>
      </w:r>
    </w:p>
    <w:p>
      <w:pPr>
        <w:spacing w:after="0" w:line="180" w:lineRule="exact"/>
        <w:rPr>
          <w:rFonts w:ascii="Arial" w:cs="Arial" w:eastAsia="Arial" w:hAnsi="Arial"/>
          <w:sz w:val="16"/>
          <w:szCs w:val="16"/>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workforce uncertainty in countries where employment regulations are different than, and labor unrest is more common than, in the United States;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9" w:lineRule="exact"/>
        <w:rPr>
          <w:sz w:val="20"/>
          <w:szCs w:val="20"/>
          <w:color w:val="auto"/>
        </w:rPr>
      </w:pPr>
    </w:p>
    <w:p>
      <w:pPr>
        <w:ind w:left="1000" w:right="160" w:hanging="500"/>
        <w:spacing w:after="0" w:line="290"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or natural disasters including earthquakes, hurricanes, floods and fires; and</w:t>
      </w:r>
    </w:p>
    <w:p>
      <w:pPr>
        <w:spacing w:after="0" w:line="180" w:lineRule="exact"/>
        <w:rPr>
          <w:rFonts w:ascii="Arial" w:cs="Arial" w:eastAsia="Arial" w:hAnsi="Arial"/>
          <w:sz w:val="16"/>
          <w:szCs w:val="16"/>
          <w:color w:val="auto"/>
        </w:rPr>
      </w:pPr>
    </w:p>
    <w:p>
      <w:pPr>
        <w:ind w:left="1000" w:hanging="500"/>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difficulty in importing and exporting clinical trial materials and study samples.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Reliance on Third Parties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third parties to plan, conduct and monitor our clinical tests, and their failure to perform as required would interfere with our product development.</w:t>
      </w:r>
    </w:p>
    <w:p>
      <w:pPr>
        <w:spacing w:after="0" w:line="228" w:lineRule="exact"/>
        <w:rPr>
          <w:sz w:val="20"/>
          <w:szCs w:val="20"/>
          <w:color w:val="auto"/>
        </w:rPr>
      </w:pPr>
    </w:p>
    <w:p>
      <w:pPr>
        <w:ind w:firstLine="322"/>
        <w:spacing w:after="0" w:line="275" w:lineRule="auto"/>
        <w:rPr>
          <w:sz w:val="20"/>
          <w:szCs w:val="20"/>
          <w:color w:val="auto"/>
        </w:rPr>
      </w:pPr>
      <w:r>
        <w:rPr>
          <w:rFonts w:ascii="Arial" w:cs="Arial" w:eastAsia="Arial" w:hAnsi="Arial"/>
          <w:sz w:val="16"/>
          <w:szCs w:val="16"/>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w:t>
      </w:r>
    </w:p>
    <w:p>
      <w:pPr>
        <w:spacing w:after="0" w:line="168" w:lineRule="exact"/>
        <w:rPr>
          <w:sz w:val="20"/>
          <w:szCs w:val="20"/>
          <w:color w:val="auto"/>
        </w:rPr>
      </w:pPr>
    </w:p>
    <w:p>
      <w:pPr>
        <w:ind w:right="80" w:firstLine="322"/>
        <w:spacing w:after="0" w:line="270" w:lineRule="auto"/>
        <w:rPr>
          <w:sz w:val="20"/>
          <w:szCs w:val="20"/>
          <w:color w:val="auto"/>
        </w:rPr>
      </w:pPr>
      <w:r>
        <w:rPr>
          <w:rFonts w:ascii="Arial" w:cs="Arial" w:eastAsia="Arial" w:hAnsi="Arial"/>
          <w:sz w:val="16"/>
          <w:szCs w:val="16"/>
          <w:color w:val="auto"/>
        </w:rPr>
        <w:t>The significant third parties who we currently rely on for clinical development activities include Novella Clinical, a Quintiles company, for our ACT IV study and PPD Development, LLC for clinical studies including our METRIC study. If Novella or PPD Development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spacing w:after="0" w:line="172" w:lineRule="exact"/>
        <w:rPr>
          <w:sz w:val="20"/>
          <w:szCs w:val="20"/>
          <w:color w:val="auto"/>
        </w:rPr>
      </w:pPr>
    </w:p>
    <w:p>
      <w:pPr>
        <w:ind w:right="100"/>
        <w:spacing w:after="0" w:line="366" w:lineRule="auto"/>
        <w:rPr>
          <w:sz w:val="20"/>
          <w:szCs w:val="20"/>
          <w:color w:val="auto"/>
        </w:rPr>
      </w:pPr>
      <w:r>
        <w:rPr>
          <w:rFonts w:ascii="Arial" w:cs="Arial" w:eastAsia="Arial" w:hAnsi="Arial"/>
          <w:sz w:val="14"/>
          <w:szCs w:val="14"/>
          <w:b w:val="1"/>
          <w:bCs w:val="1"/>
          <w:i w:val="1"/>
          <w:iCs w:val="1"/>
          <w:color w:val="auto"/>
        </w:rPr>
        <w:t>We rely on contract manufacturers over whom we have limited control. Should the cost, delivery and quality of clinical and commercial grade materials manufactured by us in our Fall River facility or supplied by contract manufacturers vary to our disadvantage, our business operations could suffer significant harm.</w:t>
      </w:r>
    </w:p>
    <w:p>
      <w:pPr>
        <w:spacing w:after="0" w:line="109" w:lineRule="exact"/>
        <w:rPr>
          <w:sz w:val="20"/>
          <w:szCs w:val="20"/>
          <w:color w:val="auto"/>
        </w:rPr>
      </w:pPr>
    </w:p>
    <w:p>
      <w:pPr>
        <w:ind w:firstLine="322"/>
        <w:spacing w:after="0" w:line="311" w:lineRule="auto"/>
        <w:rPr>
          <w:sz w:val="20"/>
          <w:szCs w:val="20"/>
          <w:color w:val="auto"/>
        </w:rPr>
      </w:pPr>
      <w:r>
        <w:rPr>
          <w:rFonts w:ascii="Arial" w:cs="Arial" w:eastAsia="Arial" w:hAnsi="Arial"/>
          <w:sz w:val="14"/>
          <w:szCs w:val="14"/>
          <w:color w:val="auto"/>
        </w:rPr>
        <w:t>We have limited experience in commercial manufacturing. We rely on contract manufacturing organizations, or CMOs, to manufacture drug substance and drug product for our late-stage clinical studies of rindopepimut and glembatumumab vedotin as well as for future commercial supplies. We also rely on CMOs for filling, packaging, storage and shipping of drug product. In order for us to establish our own commercial manufacturing facility, we would require substantial additional funds and would need to hire and retain significant additional personnel and comply with the extensive cGMP regulations applicable to such a facility. The commercial manufacturing facility would also need to be licensed for the production of our drug candidates by the FDA. For our most advanced programs, we are working with CMOs under established manufacturing arrangements that comply with the FDA's requirements and other regulatory standards, although there is no assurance that the manufacturing will be successful.</w:t>
      </w:r>
    </w:p>
    <w:p>
      <w:pPr>
        <w:spacing w:after="0" w:line="149" w:lineRule="exact"/>
        <w:rPr>
          <w:sz w:val="20"/>
          <w:szCs w:val="20"/>
          <w:color w:val="auto"/>
        </w:rPr>
      </w:pPr>
    </w:p>
    <w:p>
      <w:pPr>
        <w:ind w:right="20" w:firstLine="322"/>
        <w:spacing w:after="0" w:line="290" w:lineRule="auto"/>
        <w:rPr>
          <w:sz w:val="20"/>
          <w:szCs w:val="20"/>
          <w:color w:val="auto"/>
        </w:rPr>
      </w:pPr>
      <w:r>
        <w:rPr>
          <w:rFonts w:ascii="Arial" w:cs="Arial" w:eastAsia="Arial" w:hAnsi="Arial"/>
          <w:sz w:val="15"/>
          <w:szCs w:val="15"/>
          <w:color w:val="auto"/>
        </w:rPr>
        <w:t>We currently use rindopepimut drug product that was manufactured by Pfizer and Jubilant Hollister Stier, in the ACT IV and ReACT clinical studies. We have established a relationship with SAFC, a division of the Sigma Aldrich Corporation, and Patheon to manufacture and fill rindopepimut for late stage development and commercial supply. We rely on Biosyn and Ambiopharm for supplying suitable quantities of cGMP starting materials for the manufacture of rindopepimut. We also rely on Sanofi to supply suitable quantities of commercial quality GM-CSF which is co-administered with rindopepimut. Any manufacturing failures or delays by our rindopepimut contract manufacturers or suppliers of critical materials could cause delays in the ACT IV and ReACT studies and/or the commercial launch of rindopepimut.</w:t>
      </w:r>
    </w:p>
    <w:p>
      <w:pPr>
        <w:spacing w:after="0" w:line="158" w:lineRule="exact"/>
        <w:rPr>
          <w:sz w:val="20"/>
          <w:szCs w:val="20"/>
          <w:color w:val="auto"/>
        </w:rPr>
      </w:pPr>
    </w:p>
    <w:p>
      <w:pPr>
        <w:ind w:right="120" w:firstLine="322"/>
        <w:spacing w:after="0" w:line="302" w:lineRule="auto"/>
        <w:rPr>
          <w:sz w:val="20"/>
          <w:szCs w:val="20"/>
          <w:color w:val="auto"/>
        </w:rPr>
      </w:pPr>
      <w:r>
        <w:rPr>
          <w:rFonts w:ascii="Arial" w:cs="Arial" w:eastAsia="Arial" w:hAnsi="Arial"/>
          <w:sz w:val="15"/>
          <w:szCs w:val="15"/>
          <w:color w:val="auto"/>
        </w:rPr>
        <w:t>To date, we have utilized contract manufacturing organizations for the manufacture of clinical trial supplies of glembatumumab vedotin. We have established a relationship with Lonza, AG to manufacture the CR-011 antibody and Piramal Healthcare UK Ltd. to conjugate the CR-011 antibody and stable linker with the MMAE toxin. We rely on SAFC for sourcing of suitable quantities of vcMMAE. Any manufacturing failures or delays by our glembatumumab vedotin contract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420"/>
        <w:spacing w:after="0" w:line="290" w:lineRule="auto"/>
        <w:rPr>
          <w:sz w:val="20"/>
          <w:szCs w:val="20"/>
          <w:color w:val="auto"/>
        </w:rPr>
      </w:pPr>
      <w:r>
        <w:rPr>
          <w:rFonts w:ascii="Arial" w:cs="Arial" w:eastAsia="Arial" w:hAnsi="Arial"/>
          <w:sz w:val="16"/>
          <w:szCs w:val="16"/>
          <w:color w:val="auto"/>
        </w:rPr>
        <w:t>manufacturers or suppliers of materials could cause delays in our glembatumumab vedotin clinical studies including the METRIC study and/or the commercial launch of glembatumumab vedotin.</w:t>
      </w:r>
    </w:p>
    <w:p>
      <w:pPr>
        <w:spacing w:after="0" w:line="156" w:lineRule="exact"/>
        <w:rPr>
          <w:sz w:val="20"/>
          <w:szCs w:val="20"/>
          <w:color w:val="auto"/>
        </w:rPr>
      </w:pPr>
    </w:p>
    <w:p>
      <w:pPr>
        <w:ind w:right="80" w:firstLine="322"/>
        <w:spacing w:after="0" w:line="290" w:lineRule="auto"/>
        <w:rPr>
          <w:sz w:val="20"/>
          <w:szCs w:val="20"/>
          <w:color w:val="auto"/>
        </w:rPr>
      </w:pPr>
      <w:r>
        <w:rPr>
          <w:rFonts w:ascii="Arial" w:cs="Arial" w:eastAsia="Arial" w:hAnsi="Arial"/>
          <w:sz w:val="15"/>
          <w:szCs w:val="15"/>
          <w:color w:val="auto"/>
        </w:rPr>
        <w:t>We have established our own cGMP manufacturing facility in Fall River, Massachusetts, to produce clinical materials for our current and planned Phase 1 and Phase 2 clinical trials. Our Fall River manufacturing facility has up to 1000L bioreactor capacity and is able to manufacture in compliance with FDA and EMEA regulations, allowing us to distribute potential products to clinical sites in both the US and EU for early clinical trials. We manufacture clinical materials of varlilumab, CDX-1401, CDX-301 and CDX-014 in our Fall River facility for our current and planned Phase 1 and Phase 2 clinical trials. The products are filled and packaged at CMOs. Any manufacturing failures or compliance issues at contract manufacturers could cause delays in our Phase 1 and Phase 2 clinical studies.</w:t>
      </w:r>
    </w:p>
    <w:p>
      <w:pPr>
        <w:spacing w:after="0" w:line="158" w:lineRule="exact"/>
        <w:rPr>
          <w:sz w:val="20"/>
          <w:szCs w:val="20"/>
          <w:color w:val="auto"/>
        </w:rPr>
      </w:pPr>
    </w:p>
    <w:p>
      <w:pPr>
        <w:ind w:firstLine="322"/>
        <w:spacing w:after="0" w:line="275" w:lineRule="auto"/>
        <w:rPr>
          <w:sz w:val="20"/>
          <w:szCs w:val="20"/>
          <w:color w:val="auto"/>
        </w:rPr>
      </w:pPr>
      <w:r>
        <w:rPr>
          <w:rFonts w:ascii="Arial" w:cs="Arial" w:eastAsia="Arial" w:hAnsi="Arial"/>
          <w:sz w:val="16"/>
          <w:szCs w:val="16"/>
          <w:color w:val="auto"/>
        </w:rPr>
        <w:t>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w:t>
      </w:r>
    </w:p>
    <w:p>
      <w:pPr>
        <w:spacing w:after="0" w:line="168" w:lineRule="exact"/>
        <w:rPr>
          <w:sz w:val="20"/>
          <w:szCs w:val="20"/>
          <w:color w:val="auto"/>
        </w:rPr>
      </w:pPr>
    </w:p>
    <w:p>
      <w:pPr>
        <w:ind w:firstLine="325"/>
        <w:spacing w:after="0" w:line="266" w:lineRule="auto"/>
        <w:rPr>
          <w:sz w:val="20"/>
          <w:szCs w:val="20"/>
          <w:color w:val="auto"/>
        </w:rPr>
      </w:pPr>
      <w:r>
        <w:rPr>
          <w:rFonts w:ascii="Arial" w:cs="Arial" w:eastAsia="Arial" w:hAnsi="Arial"/>
          <w:sz w:val="16"/>
          <w:szCs w:val="16"/>
          <w:color w:val="auto"/>
        </w:rPr>
        <w:t>Our leading drug candidates require specialized manufacturing capabilities and processes. 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77" w:lineRule="exact"/>
        <w:rPr>
          <w:sz w:val="20"/>
          <w:szCs w:val="20"/>
          <w:color w:val="auto"/>
        </w:rPr>
      </w:pPr>
    </w:p>
    <w:p>
      <w:pPr>
        <w:ind w:right="160" w:firstLine="322"/>
        <w:spacing w:after="0" w:line="266" w:lineRule="auto"/>
        <w:rPr>
          <w:sz w:val="20"/>
          <w:szCs w:val="20"/>
          <w:color w:val="auto"/>
        </w:rPr>
      </w:pPr>
      <w:r>
        <w:rPr>
          <w:rFonts w:ascii="Arial" w:cs="Arial" w:eastAsia="Arial" w:hAnsi="Arial"/>
          <w:sz w:val="16"/>
          <w:szCs w:val="16"/>
          <w:color w:val="auto"/>
        </w:rPr>
        <w:t>There can be no assurances that contract manufacturers will be able to meet our timetable and requirements. Further, contract manufacturers must operate in compliance with cGMP and failure to do so could result in, among other things, the disruption of product supplies. As noted above, non-U.S. contract manufacturers may face special challenges in complying with cGMP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and deliver products on a timely and competitive basis.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third parties requires us to share our trade secrets, which increases the possibility that a competitor will discover them.</w:t>
      </w:r>
    </w:p>
    <w:p>
      <w:pPr>
        <w:spacing w:after="0" w:line="216" w:lineRule="exact"/>
        <w:rPr>
          <w:sz w:val="20"/>
          <w:szCs w:val="20"/>
          <w:color w:val="auto"/>
        </w:rPr>
      </w:pPr>
    </w:p>
    <w:p>
      <w:pPr>
        <w:ind w:right="280" w:firstLine="325"/>
        <w:spacing w:after="0" w:line="265" w:lineRule="auto"/>
        <w:rPr>
          <w:sz w:val="20"/>
          <w:szCs w:val="20"/>
          <w:color w:val="auto"/>
        </w:rPr>
      </w:pPr>
      <w:r>
        <w:rPr>
          <w:rFonts w:ascii="Arial" w:cs="Arial" w:eastAsia="Arial" w:hAnsi="Arial"/>
          <w:sz w:val="16"/>
          <w:szCs w:val="16"/>
          <w:color w:val="auto"/>
        </w:rPr>
        <w:t>Because we rely on third parties to develop our products,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Business Operations</w:t>
      </w:r>
    </w:p>
    <w:p>
      <w:pPr>
        <w:spacing w:after="0" w:line="216"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b w:val="1"/>
          <w:bCs w:val="1"/>
          <w:i w:val="1"/>
          <w:iCs w:val="1"/>
          <w:color w:val="auto"/>
        </w:rPr>
        <w:t>We depend greatly on the intellectual capabilities and experience of our key executives and scientists and the loss of any of them could affect our ability to develop our products.</w:t>
      </w:r>
    </w:p>
    <w:p>
      <w:pPr>
        <w:spacing w:after="0" w:line="156" w:lineRule="exact"/>
        <w:rPr>
          <w:sz w:val="20"/>
          <w:szCs w:val="20"/>
          <w:color w:val="auto"/>
        </w:rPr>
      </w:pPr>
    </w:p>
    <w:p>
      <w:pPr>
        <w:ind w:firstLine="322"/>
        <w:spacing w:after="0" w:line="283" w:lineRule="auto"/>
        <w:rPr>
          <w:sz w:val="20"/>
          <w:szCs w:val="20"/>
          <w:color w:val="auto"/>
        </w:rPr>
      </w:pPr>
      <w:r>
        <w:rPr>
          <w:rFonts w:ascii="Arial" w:cs="Arial" w:eastAsia="Arial" w:hAnsi="Arial"/>
          <w:sz w:val="15"/>
          <w:szCs w:val="15"/>
          <w:color w:val="auto"/>
        </w:rPr>
        <w:t>The loss of Anthony S. Marucci, our President and Chief Executive Officer, or other key members of our staff, including Avery W. Catlin, our Chief Financial Officer, Dr. Thomas Davis, our Chief Medical Officer, Dr. Tibor Keler, our Chief Scientific Officer or Dr. Ronald Pepin, our Chief Business Officer, could harm us. We entered into employment agreements with Messrs. Marucci, Catlin, Davis, Keler and Pepin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67"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b w:val="1"/>
          <w:bCs w:val="1"/>
          <w:i w:val="1"/>
          <w:iCs w:val="1"/>
          <w:color w:val="auto"/>
        </w:rPr>
        <w:t>We expect to expand our clinical development, regulatory and sales and marketing capabilities, and as a result, we may encounter difficulties in managing our growth, which could disrupt our operations.</w:t>
      </w:r>
    </w:p>
    <w:p>
      <w:pPr>
        <w:spacing w:after="0" w:line="156" w:lineRule="exact"/>
        <w:rPr>
          <w:sz w:val="20"/>
          <w:szCs w:val="20"/>
          <w:color w:val="auto"/>
        </w:rPr>
      </w:pPr>
    </w:p>
    <w:p>
      <w:pPr>
        <w:ind w:right="140" w:firstLine="322"/>
        <w:spacing w:after="0" w:line="284" w:lineRule="auto"/>
        <w:rPr>
          <w:sz w:val="20"/>
          <w:szCs w:val="20"/>
          <w:color w:val="auto"/>
        </w:rPr>
      </w:pPr>
      <w:r>
        <w:rPr>
          <w:rFonts w:ascii="Arial" w:cs="Arial" w:eastAsia="Arial" w:hAnsi="Arial"/>
          <w:sz w:val="15"/>
          <w:szCs w:val="15"/>
          <w:color w:val="auto"/>
        </w:rPr>
        <w:t>We expect that if our clinical drug candidates continue to progress in development, we will require significant additional investment in personnel, management systems and resources, particularly in the build out of our commercial capabilities. In preparation for potential approval of rindopepimut we are building the commercial organization that will be responsible for the commercial launch of rindopepimut in the United States and Europe, if it receives marketing approval in such jurisdictions. Over the next several years, 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successfully integrate our existing technology or to modify our technologies to create new immunotherapeutic drugs</w:t>
      </w:r>
    </w:p>
    <w:p>
      <w:pPr>
        <w:spacing w:after="0" w:line="216" w:lineRule="exact"/>
        <w:rPr>
          <w:sz w:val="20"/>
          <w:szCs w:val="20"/>
          <w:color w:val="auto"/>
        </w:rPr>
      </w:pPr>
    </w:p>
    <w:p>
      <w:pPr>
        <w:ind w:right="500" w:firstLine="325"/>
        <w:spacing w:after="0" w:line="326" w:lineRule="auto"/>
        <w:rPr>
          <w:sz w:val="20"/>
          <w:szCs w:val="20"/>
          <w:color w:val="auto"/>
        </w:rPr>
      </w:pPr>
      <w:r>
        <w:rPr>
          <w:rFonts w:ascii="Arial" w:cs="Arial" w:eastAsia="Arial" w:hAnsi="Arial"/>
          <w:sz w:val="15"/>
          <w:szCs w:val="15"/>
          <w:color w:val="auto"/>
        </w:rPr>
        <w:t>If we are able to integrate our acquired and licensed assets with our immunotherapy technologies, we believe these assets will give our immunotherapeutic drugs a competitive advantage. However, if we are unable to successfully integrate licensed assets, or other technologies which we have acquired 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may acquire in the future, with our existing technologies and potential products currently under development, we may be unable to realize any benefit from our acquisition of these assets, or other technologies which we have acquired or may acquire in the future and may face the loss of our investment of financial resources and time in the integration process.</w:t>
      </w:r>
    </w:p>
    <w:p>
      <w:pPr>
        <w:spacing w:after="0" w:line="168" w:lineRule="exact"/>
        <w:rPr>
          <w:sz w:val="20"/>
          <w:szCs w:val="20"/>
          <w:color w:val="auto"/>
        </w:rPr>
      </w:pPr>
    </w:p>
    <w:p>
      <w:pPr>
        <w:ind w:right="120" w:firstLine="322"/>
        <w:spacing w:after="0" w:line="302" w:lineRule="auto"/>
        <w:rPr>
          <w:sz w:val="20"/>
          <w:szCs w:val="20"/>
          <w:color w:val="auto"/>
        </w:rPr>
      </w:pPr>
      <w:r>
        <w:rPr>
          <w:rFonts w:ascii="Arial" w:cs="Arial" w:eastAsia="Arial" w:hAnsi="Arial"/>
          <w:sz w:val="15"/>
          <w:szCs w:val="15"/>
          <w:color w:val="auto"/>
        </w:rPr>
        <w:t>We believe that our immunotherapy technology portfolio may offer opportunities to develop immunotherapeutic drugs that treat a variety of oncology, inflammatory and infectious diseases by stimulating a patient's immune system against those disease organisms. If our immunotherapy technology portfolio cannot be used to create effective immunotherapeutic drugs against a variety of disease organisms, we may lose all or portions of our investment in development efforts for new drug candidates.</w:t>
      </w:r>
    </w:p>
    <w:p>
      <w:pPr>
        <w:spacing w:after="0" w:line="14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Our internal computer systems, or those of our CROs or other contractors or consultants, may fail or suffer security breaches, which could result in a material disruption of our drug development programs.</w:t>
      </w:r>
    </w:p>
    <w:p>
      <w:pPr>
        <w:spacing w:after="0" w:line="156" w:lineRule="exact"/>
        <w:rPr>
          <w:sz w:val="20"/>
          <w:szCs w:val="20"/>
          <w:color w:val="auto"/>
        </w:rPr>
      </w:pPr>
    </w:p>
    <w:p>
      <w:pPr>
        <w:ind w:right="60" w:firstLine="325"/>
        <w:spacing w:after="0" w:line="311" w:lineRule="auto"/>
        <w:rPr>
          <w:sz w:val="20"/>
          <w:szCs w:val="20"/>
          <w:color w:val="auto"/>
        </w:rPr>
      </w:pPr>
      <w:r>
        <w:rPr>
          <w:rFonts w:ascii="Arial" w:cs="Arial" w:eastAsia="Arial" w:hAnsi="Arial"/>
          <w:sz w:val="14"/>
          <w:szCs w:val="14"/>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drug development programs and commercialization efforts. For example, the loss of clinical study data from completed or ongoing clinical studies for any of our drug candidates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or commercialization of our drug candidates could be delayed.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requires us to use hazardous materials, which increases our exposure to dangerous and costly accidents.</w:t>
      </w:r>
    </w:p>
    <w:p>
      <w:pPr>
        <w:spacing w:after="0" w:line="216" w:lineRule="exact"/>
        <w:rPr>
          <w:sz w:val="20"/>
          <w:szCs w:val="20"/>
          <w:color w:val="auto"/>
        </w:rPr>
      </w:pPr>
    </w:p>
    <w:p>
      <w:pPr>
        <w:ind w:right="260" w:firstLine="325"/>
        <w:spacing w:after="0" w:line="294" w:lineRule="auto"/>
        <w:rPr>
          <w:sz w:val="20"/>
          <w:szCs w:val="20"/>
          <w:color w:val="auto"/>
        </w:rPr>
      </w:pPr>
      <w:r>
        <w:rPr>
          <w:rFonts w:ascii="Arial" w:cs="Arial" w:eastAsia="Arial" w:hAnsi="Arial"/>
          <w:sz w:val="15"/>
          <w:szCs w:val="15"/>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the risk of product liability claims, which could exceed our insurance coverage, and produce recalls, each of which could deplete our cash resources.</w:t>
      </w:r>
    </w:p>
    <w:p>
      <w:pPr>
        <w:spacing w:after="0" w:line="228" w:lineRule="exact"/>
        <w:rPr>
          <w:sz w:val="20"/>
          <w:szCs w:val="20"/>
          <w:color w:val="auto"/>
        </w:rPr>
      </w:pPr>
    </w:p>
    <w:p>
      <w:pPr>
        <w:ind w:firstLine="316"/>
        <w:spacing w:after="0" w:line="294" w:lineRule="auto"/>
        <w:rPr>
          <w:sz w:val="20"/>
          <w:szCs w:val="20"/>
          <w:color w:val="auto"/>
        </w:rPr>
      </w:pPr>
      <w:r>
        <w:rPr>
          <w:rFonts w:ascii="Arial" w:cs="Arial" w:eastAsia="Arial" w:hAnsi="Arial"/>
          <w:sz w:val="15"/>
          <w:szCs w:val="15"/>
          <w:color w:val="auto"/>
        </w:rPr>
        <w:t>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healthcare providers or by individuals, organizations or companies selling our products. Product liability claims can be expensive to defend, even if the drug or drug candidate did not actually cause the alleged injury or harm.</w:t>
      </w:r>
    </w:p>
    <w:p>
      <w:pPr>
        <w:spacing w:after="0" w:line="155" w:lineRule="exact"/>
        <w:rPr>
          <w:sz w:val="20"/>
          <w:szCs w:val="20"/>
          <w:color w:val="auto"/>
        </w:rPr>
      </w:pPr>
    </w:p>
    <w:p>
      <w:pPr>
        <w:jc w:val="both"/>
        <w:ind w:right="20" w:firstLine="325"/>
        <w:spacing w:after="0" w:line="275" w:lineRule="auto"/>
        <w:rPr>
          <w:sz w:val="20"/>
          <w:szCs w:val="20"/>
          <w:color w:val="auto"/>
        </w:rPr>
      </w:pPr>
      <w:r>
        <w:rPr>
          <w:rFonts w:ascii="Arial" w:cs="Arial" w:eastAsia="Arial" w:hAnsi="Arial"/>
          <w:sz w:val="16"/>
          <w:szCs w:val="16"/>
          <w:color w:val="auto"/>
        </w:rPr>
        <w:t>Insurance covering product liability claims becomes increasingly expensive as a drug candidate moves through the development pipeline to commercialization. Under our license agreements, we are required to maintain clinical trial liability insurance coverage up to $15 million. However, there can be no assurance that such insurance coverage is or will continue to be adequate or available to us at a cost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commercialization of other products and drug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Intellectual Property</w:t>
      </w:r>
    </w:p>
    <w:p>
      <w:pPr>
        <w:spacing w:after="0" w:line="216" w:lineRule="exact"/>
        <w:rPr>
          <w:sz w:val="20"/>
          <w:szCs w:val="20"/>
          <w:color w:val="auto"/>
        </w:rPr>
      </w:pPr>
    </w:p>
    <w:p>
      <w:pPr>
        <w:ind w:right="180"/>
        <w:spacing w:after="0" w:line="366" w:lineRule="auto"/>
        <w:rPr>
          <w:sz w:val="20"/>
          <w:szCs w:val="20"/>
          <w:color w:val="auto"/>
        </w:rPr>
      </w:pPr>
      <w:r>
        <w:rPr>
          <w:rFonts w:ascii="Arial" w:cs="Arial" w:eastAsia="Arial" w:hAnsi="Arial"/>
          <w:sz w:val="14"/>
          <w:szCs w:val="14"/>
          <w:b w:val="1"/>
          <w:bCs w:val="1"/>
          <w:i w:val="1"/>
          <w:iCs w:val="1"/>
          <w:color w:val="auto"/>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spacing w:after="0" w:line="109" w:lineRule="exact"/>
        <w:rPr>
          <w:sz w:val="20"/>
          <w:szCs w:val="20"/>
          <w:color w:val="auto"/>
        </w:rPr>
      </w:pPr>
    </w:p>
    <w:p>
      <w:pPr>
        <w:ind w:right="20" w:firstLine="325"/>
        <w:spacing w:after="0" w:line="286" w:lineRule="auto"/>
        <w:rPr>
          <w:sz w:val="20"/>
          <w:szCs w:val="20"/>
          <w:color w:val="auto"/>
        </w:rPr>
      </w:pPr>
      <w:r>
        <w:rPr>
          <w:rFonts w:ascii="Arial" w:cs="Arial" w:eastAsia="Arial" w:hAnsi="Arial"/>
          <w:sz w:val="15"/>
          <w:szCs w:val="15"/>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licenses or permit our competitors to use the technology. Termination of these licenses or reduction or elimination of our licensed rights may result in our having to negotiate new or reinstated licenses with less favorable terms. Moreover, we may lose our right to market and sell any products based on the licensed technology. The occurrence of such events could materially harm our business.</w:t>
      </w:r>
    </w:p>
    <w:p>
      <w:pPr>
        <w:spacing w:after="0" w:line="162" w:lineRule="exact"/>
        <w:rPr>
          <w:sz w:val="20"/>
          <w:szCs w:val="20"/>
          <w:color w:val="auto"/>
        </w:rPr>
      </w:pPr>
    </w:p>
    <w:p>
      <w:pPr>
        <w:ind w:right="340"/>
        <w:spacing w:after="0" w:line="290" w:lineRule="auto"/>
        <w:rPr>
          <w:sz w:val="20"/>
          <w:szCs w:val="20"/>
          <w:color w:val="auto"/>
        </w:rPr>
      </w:pPr>
      <w:r>
        <w:rPr>
          <w:rFonts w:ascii="Arial" w:cs="Arial" w:eastAsia="Arial" w:hAnsi="Arial"/>
          <w:sz w:val="16"/>
          <w:szCs w:val="16"/>
          <w:b w:val="1"/>
          <w:bCs w:val="1"/>
          <w:i w:val="1"/>
          <w:iCs w:val="1"/>
          <w:color w:val="auto"/>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spacing w:after="0" w:line="156" w:lineRule="exact"/>
        <w:rPr>
          <w:sz w:val="20"/>
          <w:szCs w:val="20"/>
          <w:color w:val="auto"/>
        </w:rPr>
      </w:pPr>
    </w:p>
    <w:p>
      <w:pPr>
        <w:ind w:right="120" w:firstLine="325"/>
        <w:spacing w:after="0" w:line="266" w:lineRule="auto"/>
        <w:rPr>
          <w:sz w:val="20"/>
          <w:szCs w:val="20"/>
          <w:color w:val="auto"/>
        </w:rPr>
      </w:pPr>
      <w:r>
        <w:rPr>
          <w:rFonts w:ascii="Arial" w:cs="Arial" w:eastAsia="Arial" w:hAnsi="Arial"/>
          <w:sz w:val="16"/>
          <w:szCs w:val="16"/>
          <w:color w:val="auto"/>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firstLine="325"/>
        <w:spacing w:after="0" w:line="284" w:lineRule="auto"/>
        <w:rPr>
          <w:sz w:val="20"/>
          <w:szCs w:val="20"/>
          <w:color w:val="auto"/>
        </w:rPr>
      </w:pPr>
      <w:r>
        <w:rPr>
          <w:rFonts w:ascii="Arial" w:cs="Arial" w:eastAsia="Arial" w:hAnsi="Arial"/>
          <w:sz w:val="15"/>
          <w:szCs w:val="15"/>
          <w:color w:val="auto"/>
        </w:rPr>
        <w:t>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 For example, in September 2014, two European patent oppositions were filed against a University of Southampton European patent to which we have exclusive rights and which broadly supports one of our drug candidates, varlilumab. While we plan to defend the European patent vigorously in cooperation with the University of Southampton, we may be unsuccessful and the scope of such patent may be limited or the patent may be invalidated.</w:t>
      </w:r>
    </w:p>
    <w:p>
      <w:pPr>
        <w:spacing w:after="0" w:line="164" w:lineRule="exact"/>
        <w:rPr>
          <w:sz w:val="20"/>
          <w:szCs w:val="20"/>
          <w:color w:val="auto"/>
        </w:rPr>
      </w:pPr>
    </w:p>
    <w:p>
      <w:pPr>
        <w:ind w:right="20" w:firstLine="325"/>
        <w:spacing w:after="0" w:line="270" w:lineRule="auto"/>
        <w:rPr>
          <w:sz w:val="20"/>
          <w:szCs w:val="20"/>
          <w:color w:val="auto"/>
        </w:rPr>
      </w:pPr>
      <w:r>
        <w:rPr>
          <w:rFonts w:ascii="Arial" w:cs="Arial" w:eastAsia="Arial" w:hAnsi="Arial"/>
          <w:sz w:val="16"/>
          <w:szCs w:val="16"/>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protect the confidentiality of our trade secrets, thus harming our business and competitive position.</w:t>
      </w:r>
    </w:p>
    <w:p>
      <w:pPr>
        <w:spacing w:after="0" w:line="216" w:lineRule="exact"/>
        <w:rPr>
          <w:sz w:val="20"/>
          <w:szCs w:val="20"/>
          <w:color w:val="auto"/>
        </w:rPr>
      </w:pPr>
    </w:p>
    <w:p>
      <w:pPr>
        <w:ind w:right="60" w:firstLine="322"/>
        <w:spacing w:after="0" w:line="265" w:lineRule="auto"/>
        <w:rPr>
          <w:sz w:val="20"/>
          <w:szCs w:val="20"/>
          <w:color w:val="auto"/>
        </w:rPr>
      </w:pPr>
      <w:r>
        <w:rPr>
          <w:rFonts w:ascii="Arial" w:cs="Arial" w:eastAsia="Arial" w:hAnsi="Arial"/>
          <w:sz w:val="16"/>
          <w:szCs w:val="16"/>
          <w:color w:val="auto"/>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 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our intellectual property to the same extent as the laws of the United States. If our trade secrets are disclosed or misappropriated, it would harm our ability to protect our rights and have a material adverse effect on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patents, which could be expensive, time-consuming and unsuccessful.</w:t>
      </w:r>
    </w:p>
    <w:p>
      <w:pPr>
        <w:spacing w:after="0" w:line="216" w:lineRule="exact"/>
        <w:rPr>
          <w:sz w:val="20"/>
          <w:szCs w:val="20"/>
          <w:color w:val="auto"/>
        </w:rPr>
      </w:pPr>
    </w:p>
    <w:p>
      <w:pPr>
        <w:ind w:right="20" w:firstLine="325"/>
        <w:spacing w:after="0" w:line="268" w:lineRule="auto"/>
        <w:rPr>
          <w:sz w:val="20"/>
          <w:szCs w:val="20"/>
          <w:color w:val="auto"/>
        </w:rPr>
      </w:pPr>
      <w:r>
        <w:rPr>
          <w:rFonts w:ascii="Arial" w:cs="Arial" w:eastAsia="Arial" w:hAnsi="Arial"/>
          <w:sz w:val="16"/>
          <w:szCs w:val="16"/>
          <w:color w:val="auto"/>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risk that some of our confidential information could be compromised by disclosure during this type of litigation.</w:t>
      </w:r>
    </w:p>
    <w:p>
      <w:pPr>
        <w:spacing w:after="0" w:line="21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6" w:lineRule="exact"/>
        <w:rPr>
          <w:sz w:val="20"/>
          <w:szCs w:val="20"/>
          <w:color w:val="auto"/>
        </w:rPr>
      </w:pPr>
    </w:p>
    <w:p>
      <w:pPr>
        <w:ind w:firstLine="325"/>
        <w:spacing w:after="0" w:line="307" w:lineRule="auto"/>
        <w:rPr>
          <w:sz w:val="20"/>
          <w:szCs w:val="20"/>
          <w:color w:val="auto"/>
        </w:rPr>
      </w:pPr>
      <w:r>
        <w:rPr>
          <w:rFonts w:ascii="Arial" w:cs="Arial" w:eastAsia="Arial" w:hAnsi="Arial"/>
          <w:sz w:val="14"/>
          <w:szCs w:val="14"/>
          <w:color w:val="auto"/>
        </w:rPr>
        <w:t>Our commercial success depends upon our ability and the ability of our collaborators to develop, manufacture,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developing the infringing technology or product. In addition, we could be found liable for monetary damages. Claims that we have misappropriated the confidential information or trade secrets of third parties can have a similar negative impact on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 secrets.</w:t>
      </w:r>
    </w:p>
    <w:p>
      <w:pPr>
        <w:spacing w:after="0" w:line="228" w:lineRule="exact"/>
        <w:rPr>
          <w:sz w:val="20"/>
          <w:szCs w:val="20"/>
          <w:color w:val="auto"/>
        </w:rPr>
      </w:pPr>
    </w:p>
    <w:p>
      <w:pPr>
        <w:ind w:right="300" w:firstLine="322"/>
        <w:spacing w:after="0" w:line="287" w:lineRule="auto"/>
        <w:rPr>
          <w:sz w:val="20"/>
          <w:szCs w:val="20"/>
          <w:color w:val="auto"/>
        </w:rPr>
      </w:pPr>
      <w:r>
        <w:rPr>
          <w:rFonts w:ascii="Arial" w:cs="Arial" w:eastAsia="Arial" w:hAnsi="Arial"/>
          <w:sz w:val="15"/>
          <w:szCs w:val="15"/>
          <w:color w:val="auto"/>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Risks</w:t>
      </w:r>
    </w:p>
    <w:p>
      <w:pPr>
        <w:spacing w:after="0" w:line="216" w:lineRule="exact"/>
        <w:rPr>
          <w:sz w:val="20"/>
          <w:szCs w:val="20"/>
          <w:color w:val="auto"/>
        </w:rPr>
      </w:pPr>
    </w:p>
    <w:p>
      <w:pPr>
        <w:ind w:right="380"/>
        <w:spacing w:after="0" w:line="290" w:lineRule="auto"/>
        <w:rPr>
          <w:sz w:val="20"/>
          <w:szCs w:val="20"/>
          <w:color w:val="auto"/>
        </w:rPr>
      </w:pPr>
      <w:r>
        <w:rPr>
          <w:rFonts w:ascii="Arial" w:cs="Arial" w:eastAsia="Arial" w:hAnsi="Arial"/>
          <w:sz w:val="16"/>
          <w:szCs w:val="16"/>
          <w:b w:val="1"/>
          <w:bCs w:val="1"/>
          <w:i w:val="1"/>
          <w:iCs w:val="1"/>
          <w:color w:val="auto"/>
        </w:rPr>
        <w:t>If our processes and systems are not compliant with regulatory requirements, we could be subject to delays in submitting BLAs, NDAs or restrictions on marketing of drugs after they have been approved.</w:t>
      </w:r>
    </w:p>
    <w:p>
      <w:pPr>
        <w:spacing w:after="0" w:line="156" w:lineRule="exact"/>
        <w:rPr>
          <w:sz w:val="20"/>
          <w:szCs w:val="20"/>
          <w:color w:val="auto"/>
        </w:rPr>
      </w:pPr>
    </w:p>
    <w:p>
      <w:pPr>
        <w:ind w:right="80" w:firstLine="322"/>
        <w:spacing w:after="0" w:line="286" w:lineRule="auto"/>
        <w:rPr>
          <w:sz w:val="20"/>
          <w:szCs w:val="20"/>
          <w:color w:val="auto"/>
        </w:rPr>
      </w:pPr>
      <w:r>
        <w:rPr>
          <w:rFonts w:ascii="Arial" w:cs="Arial" w:eastAsia="Arial" w:hAnsi="Arial"/>
          <w:sz w:val="15"/>
          <w:szCs w:val="15"/>
          <w:color w:val="auto"/>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spacing w:after="0" w:line="158"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b w:val="1"/>
          <w:bCs w:val="1"/>
          <w:i w:val="1"/>
          <w:iCs w:val="1"/>
          <w:color w:val="auto"/>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spacing w:after="0" w:line="156" w:lineRule="exact"/>
        <w:rPr>
          <w:sz w:val="20"/>
          <w:szCs w:val="20"/>
          <w:color w:val="auto"/>
        </w:rPr>
      </w:pPr>
    </w:p>
    <w:p>
      <w:pPr>
        <w:ind w:right="60" w:firstLine="325"/>
        <w:spacing w:after="0" w:line="304" w:lineRule="auto"/>
        <w:rPr>
          <w:sz w:val="20"/>
          <w:szCs w:val="20"/>
          <w:color w:val="auto"/>
        </w:rPr>
      </w:pPr>
      <w:r>
        <w:rPr>
          <w:rFonts w:ascii="Arial" w:cs="Arial" w:eastAsia="Arial" w:hAnsi="Arial"/>
          <w:sz w:val="14"/>
          <w:szCs w:val="14"/>
          <w:color w:val="auto"/>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66" w:lineRule="exact"/>
        <w:rPr>
          <w:sz w:val="20"/>
          <w:szCs w:val="20"/>
          <w:color w:val="auto"/>
        </w:rPr>
      </w:pPr>
    </w:p>
    <w:p>
      <w:pPr>
        <w:ind w:left="1000" w:hanging="500"/>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warning letters;</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civil or criminal penalties and fines;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injunctions;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consent decrees;</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suspension or withdrawal of regulatory approval;</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suspension of any ongoing clinical studies;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voluntary or mandatory product recalls and publicity requirements;</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refusal to accept or approve applications for marketing approval of new drugs;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restrictions on operations, including costly new manufacturing requirements; or</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seizure or detention of drugs or import bans.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firstLine="322"/>
        <w:spacing w:after="0" w:line="302" w:lineRule="auto"/>
        <w:rPr>
          <w:sz w:val="20"/>
          <w:szCs w:val="20"/>
          <w:color w:val="auto"/>
        </w:rPr>
      </w:pPr>
      <w:r>
        <w:rPr>
          <w:rFonts w:ascii="Arial" w:cs="Arial" w:eastAsia="Arial" w:hAnsi="Arial"/>
          <w:sz w:val="15"/>
          <w:szCs w:val="15"/>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 care reform and restrictions on reimbursement may limit our returns on potential products.</w:t>
      </w:r>
    </w:p>
    <w:p>
      <w:pPr>
        <w:spacing w:after="0" w:line="216" w:lineRule="exact"/>
        <w:rPr>
          <w:sz w:val="20"/>
          <w:szCs w:val="20"/>
          <w:color w:val="auto"/>
        </w:rPr>
      </w:pPr>
    </w:p>
    <w:p>
      <w:pPr>
        <w:ind w:right="20" w:firstLine="325"/>
        <w:spacing w:after="0" w:line="268" w:lineRule="auto"/>
        <w:rPr>
          <w:sz w:val="20"/>
          <w:szCs w:val="20"/>
          <w:color w:val="auto"/>
        </w:rPr>
      </w:pPr>
      <w:r>
        <w:rPr>
          <w:rFonts w:ascii="Arial" w:cs="Arial" w:eastAsia="Arial" w:hAnsi="Arial"/>
          <w:sz w:val="16"/>
          <w:szCs w:val="16"/>
          <w:color w:val="auto"/>
        </w:rPr>
        <w:t>Because our strategy ultimately depends on the commercial success of our products, we assume, among other things, that end users of our products will be able to pay for them. In the United States and other countries, in most cases, the volume of sales of products like those we are developing depends on the availability of reimbursement from third-party payors, including national health care agencies, private health insurance plans and health maintenance organizations. Third-party payors increasingly challenge the prices charged for medical products and services. Accordingly, if we succeed in bringing products to market, and reimbursement is not available or is insufficient, we could be prevented from successfully commercializing our potential products.</w:t>
      </w:r>
    </w:p>
    <w:p>
      <w:pPr>
        <w:spacing w:after="0" w:line="173" w:lineRule="exact"/>
        <w:rPr>
          <w:sz w:val="20"/>
          <w:szCs w:val="20"/>
          <w:color w:val="auto"/>
        </w:rPr>
      </w:pPr>
    </w:p>
    <w:p>
      <w:pPr>
        <w:ind w:right="20" w:firstLine="322"/>
        <w:spacing w:after="0" w:line="265" w:lineRule="auto"/>
        <w:rPr>
          <w:sz w:val="20"/>
          <w:szCs w:val="20"/>
          <w:color w:val="auto"/>
        </w:rPr>
      </w:pPr>
      <w:r>
        <w:rPr>
          <w:rFonts w:ascii="Arial" w:cs="Arial" w:eastAsia="Arial" w:hAnsi="Arial"/>
          <w:sz w:val="16"/>
          <w:szCs w:val="16"/>
          <w:color w:val="auto"/>
        </w:rPr>
        <w:t>The health care industry in the United States and in Europe is undergoing fundamental changes as a result of political, economic and regulatory influences. Reforms proposed from time to time include mandated basic health care benefits, controls on health care spending, the establishment of governmental controls over the cost of therapies, creation of large medical services and products purchasing groups and fundamental changes to the health care delivery system. We anticipate ongoing review and assessment of health care delivery systems and methods of payment in the United States and other countries. We cannot predict whether any particular reform initiatives will result or, if adopted, what their impact on us will be. However, we expect that adoption of any reform proposed will impair our ability to market products at acceptable prices and that uncertainty concerning future government regulation of consumer healthcare purchasing and insurance may result in difficulties for drug development companies, like us, in raising capital.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laws affecting the health care industry could adversely affect our business.</w:t>
      </w:r>
    </w:p>
    <w:p>
      <w:pPr>
        <w:spacing w:after="0" w:line="216" w:lineRule="exact"/>
        <w:rPr>
          <w:sz w:val="20"/>
          <w:szCs w:val="20"/>
          <w:color w:val="auto"/>
        </w:rPr>
      </w:pPr>
    </w:p>
    <w:p>
      <w:pPr>
        <w:jc w:val="both"/>
        <w:ind w:right="80" w:firstLine="325"/>
        <w:spacing w:after="0" w:line="283" w:lineRule="auto"/>
        <w:rPr>
          <w:sz w:val="20"/>
          <w:szCs w:val="20"/>
          <w:color w:val="auto"/>
        </w:rPr>
      </w:pPr>
      <w:r>
        <w:rPr>
          <w:rFonts w:ascii="Arial" w:cs="Arial" w:eastAsia="Arial" w:hAnsi="Arial"/>
          <w:sz w:val="15"/>
          <w:szCs w:val="15"/>
          <w:color w:val="auto"/>
        </w:rPr>
        <w:t>In the U.S., there have been numerous proposals considered at the federal and state levels to reform the health care industry and its cost, and it is likely that federal and state legislatures and health agencies will continue to focus on health care reform in the future. While additional health care reform may increase the number of patients who have insurance coverage for our products, it may also include cost containment measures that adversely affect reimbursement for our products. Congress has also considered legislation to change the Medicare reimbursement system for outpatient drugs, increase the amount of rebates that manufacturers pay for coverage of their drugs by Medicaid programs and facilitate the importation of lower-cost prescription drugs that are marketed outside the U.S.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120" w:firstLine="322"/>
        <w:spacing w:after="0" w:line="290" w:lineRule="auto"/>
        <w:rPr>
          <w:sz w:val="20"/>
          <w:szCs w:val="20"/>
          <w:color w:val="auto"/>
        </w:rPr>
      </w:pPr>
      <w:r>
        <w:rPr>
          <w:rFonts w:ascii="Arial" w:cs="Arial" w:eastAsia="Arial" w:hAnsi="Arial"/>
          <w:sz w:val="16"/>
          <w:szCs w:val="16"/>
          <w:color w:val="auto"/>
        </w:rPr>
        <w:t>We and our collaborators and partners operate in a highly regulated industry. As a result, governmental actions may adversely affect our business, operations or financial condition, including:</w:t>
      </w:r>
    </w:p>
    <w:p>
      <w:pPr>
        <w:spacing w:after="0" w:line="168" w:lineRule="exact"/>
        <w:rPr>
          <w:sz w:val="20"/>
          <w:szCs w:val="20"/>
          <w:color w:val="auto"/>
        </w:rPr>
      </w:pPr>
    </w:p>
    <w:p>
      <w:pPr>
        <w:ind w:left="1000" w:right="500" w:hanging="500"/>
        <w:spacing w:after="0" w:line="290"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new laws, regulations or judicial decisions, or new interpretations of existing laws, regulations or decisions, related to health care availability, method of delivery and payment for health care products and services;</w:t>
      </w:r>
    </w:p>
    <w:p>
      <w:pPr>
        <w:spacing w:after="0" w:line="180" w:lineRule="exact"/>
        <w:rPr>
          <w:rFonts w:ascii="Arial" w:cs="Arial" w:eastAsia="Arial" w:hAnsi="Arial"/>
          <w:sz w:val="16"/>
          <w:szCs w:val="16"/>
          <w:color w:val="auto"/>
        </w:rPr>
      </w:pPr>
    </w:p>
    <w:p>
      <w:pPr>
        <w:ind w:left="1000" w:hanging="500"/>
        <w:spacing w:after="0"/>
        <w:tabs>
          <w:tab w:leader="none" w:pos="10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the FDA and foreign regulatory approval processes that may delay or prevent the approval of new products and result in lost market opportunity;</w:t>
      </w:r>
    </w:p>
    <w:p>
      <w:pPr>
        <w:spacing w:after="0" w:line="240" w:lineRule="exact"/>
        <w:rPr>
          <w:rFonts w:ascii="Arial" w:cs="Arial" w:eastAsia="Arial" w:hAnsi="Arial"/>
          <w:sz w:val="15"/>
          <w:szCs w:val="15"/>
          <w:color w:val="auto"/>
        </w:rPr>
      </w:pPr>
    </w:p>
    <w:p>
      <w:pPr>
        <w:ind w:left="1000" w:right="300" w:hanging="500"/>
        <w:spacing w:after="0" w:line="275"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80" w:lineRule="exact"/>
        <w:rPr>
          <w:rFonts w:ascii="Arial" w:cs="Arial" w:eastAsia="Arial" w:hAnsi="Arial"/>
          <w:sz w:val="16"/>
          <w:szCs w:val="16"/>
          <w:color w:val="auto"/>
        </w:rPr>
      </w:pPr>
    </w:p>
    <w:p>
      <w:pPr>
        <w:ind w:left="1000" w:hanging="500"/>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new laws, regulations and judicial decisions affecting pricing or marketing practices; and</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the tax laws relating to our operations.</w:t>
      </w:r>
    </w:p>
    <w:p>
      <w:pPr>
        <w:spacing w:after="0" w:line="216" w:lineRule="exact"/>
        <w:rPr>
          <w:sz w:val="20"/>
          <w:szCs w:val="20"/>
          <w:color w:val="auto"/>
        </w:rPr>
      </w:pPr>
    </w:p>
    <w:p>
      <w:pPr>
        <w:ind w:firstLine="322"/>
        <w:spacing w:after="0" w:line="290" w:lineRule="auto"/>
        <w:rPr>
          <w:sz w:val="20"/>
          <w:szCs w:val="20"/>
          <w:color w:val="auto"/>
        </w:rPr>
      </w:pPr>
      <w:r>
        <w:rPr>
          <w:rFonts w:ascii="Arial" w:cs="Arial" w:eastAsia="Arial" w:hAnsi="Arial"/>
          <w:sz w:val="15"/>
          <w:szCs w:val="15"/>
          <w:color w:val="auto"/>
        </w:rPr>
        <w:t>The enactment in the U.S. of health care reform, possible legislation which could ease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the Food and Drug Administration Amendments Act of 2007 included new authorization for the FDA to require post-market safety monitoring, along with an expanded clinical trials registry and clinical trials results database, and expanded authority for the FDA to impose civil monetary penalties on companies that fail to meet certain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Capital Stock</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history of losses and uncertainty of future profitability make our common stock a highly speculative investment.</w:t>
      </w:r>
    </w:p>
    <w:p>
      <w:pPr>
        <w:spacing w:after="0" w:line="216" w:lineRule="exact"/>
        <w:rPr>
          <w:sz w:val="20"/>
          <w:szCs w:val="20"/>
          <w:color w:val="auto"/>
        </w:rPr>
      </w:pPr>
    </w:p>
    <w:p>
      <w:pPr>
        <w:ind w:right="160" w:firstLine="322"/>
        <w:spacing w:after="0" w:line="290" w:lineRule="auto"/>
        <w:rPr>
          <w:sz w:val="20"/>
          <w:szCs w:val="20"/>
          <w:color w:val="auto"/>
        </w:rPr>
      </w:pPr>
      <w:r>
        <w:rPr>
          <w:rFonts w:ascii="Arial" w:cs="Arial" w:eastAsia="Arial" w:hAnsi="Arial"/>
          <w:sz w:val="16"/>
          <w:szCs w:val="16"/>
          <w:color w:val="auto"/>
        </w:rPr>
        <w:t>We have had no commercial revenue to date from sales of our drug candidates. We had an accumulated deficit of $463.8 million as of December 31, 2014. We expect to spend substantial funds to continue the research and development testing of our products candidates.</w:t>
      </w:r>
    </w:p>
    <w:p>
      <w:pPr>
        <w:spacing w:after="0" w:line="156" w:lineRule="exact"/>
        <w:rPr>
          <w:sz w:val="20"/>
          <w:szCs w:val="20"/>
          <w:color w:val="auto"/>
        </w:rPr>
      </w:pPr>
    </w:p>
    <w:p>
      <w:pPr>
        <w:ind w:right="20" w:firstLine="325"/>
        <w:spacing w:after="0" w:line="302" w:lineRule="auto"/>
        <w:rPr>
          <w:sz w:val="20"/>
          <w:szCs w:val="20"/>
          <w:color w:val="auto"/>
        </w:rPr>
      </w:pPr>
      <w:r>
        <w:rPr>
          <w:rFonts w:ascii="Arial" w:cs="Arial" w:eastAsia="Arial" w:hAnsi="Arial"/>
          <w:sz w:val="15"/>
          <w:szCs w:val="15"/>
          <w:color w:val="auto"/>
        </w:rPr>
        <w:t>In anticipation of FDA approval of these products, we will need to make substantial investments to establish sales, marketing, quality control, regulatory compliance capabilities and commercial manufacturing alliances. These investments will increase if and when any of these products receive FDA approval. We cannot predict how quickly our lead products will progress through the regulatory approval process. As a result, we may continue to lose money for several years.</w:t>
      </w:r>
    </w:p>
    <w:p>
      <w:pPr>
        <w:spacing w:after="0" w:line="149" w:lineRule="exact"/>
        <w:rPr>
          <w:sz w:val="20"/>
          <w:szCs w:val="20"/>
          <w:color w:val="auto"/>
        </w:rPr>
      </w:pPr>
    </w:p>
    <w:p>
      <w:pPr>
        <w:ind w:right="580" w:firstLine="322"/>
        <w:spacing w:after="0" w:line="290"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share price has been and could remain volatile.</w:t>
      </w:r>
    </w:p>
    <w:p>
      <w:pPr>
        <w:spacing w:after="0" w:line="216" w:lineRule="exact"/>
        <w:rPr>
          <w:sz w:val="20"/>
          <w:szCs w:val="20"/>
          <w:color w:val="auto"/>
        </w:rPr>
      </w:pPr>
    </w:p>
    <w:p>
      <w:pPr>
        <w:ind w:firstLine="322"/>
        <w:spacing w:after="0" w:line="302" w:lineRule="auto"/>
        <w:rPr>
          <w:sz w:val="20"/>
          <w:szCs w:val="20"/>
          <w:color w:val="auto"/>
        </w:rPr>
      </w:pPr>
      <w:r>
        <w:rPr>
          <w:rFonts w:ascii="Arial" w:cs="Arial" w:eastAsia="Arial" w:hAnsi="Arial"/>
          <w:sz w:val="15"/>
          <w:szCs w:val="15"/>
          <w:color w:val="auto"/>
        </w:rPr>
        <w:t>The market price of our common stock has historically experienced and may continue to experience significant volatility. From January 2014 through December 2014, the market price of our common stock has fluctuated from a high of $33.33 per share in the first quarter of 2014, to a low of $10.76 per share in the second quarter of 2014. Our progress in developing and commercializing our products, the impact of government regulations on our products and industry, the potential sale of a</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carryforwards will be subject to limitation and, under certain circumstances, may be eliminated.</w:t>
      </w:r>
    </w:p>
    <w:p>
      <w:pPr>
        <w:spacing w:after="0" w:line="216" w:lineRule="exact"/>
        <w:rPr>
          <w:sz w:val="20"/>
          <w:szCs w:val="20"/>
          <w:color w:val="auto"/>
        </w:rPr>
      </w:pPr>
    </w:p>
    <w:p>
      <w:pPr>
        <w:ind w:right="80" w:firstLine="325"/>
        <w:spacing w:after="0" w:line="270" w:lineRule="auto"/>
        <w:rPr>
          <w:sz w:val="20"/>
          <w:szCs w:val="20"/>
          <w:color w:val="auto"/>
        </w:rPr>
      </w:pPr>
      <w:r>
        <w:rPr>
          <w:rFonts w:ascii="Arial" w:cs="Arial" w:eastAsia="Arial" w:hAnsi="Arial"/>
          <w:sz w:val="16"/>
          <w:szCs w:val="16"/>
          <w:color w:val="auto"/>
        </w:rPr>
        <w:t>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72" w:lineRule="exact"/>
        <w:rPr>
          <w:sz w:val="20"/>
          <w:szCs w:val="20"/>
          <w:color w:val="auto"/>
        </w:rPr>
      </w:pPr>
    </w:p>
    <w:p>
      <w:pPr>
        <w:ind w:firstLine="325"/>
        <w:spacing w:after="0" w:line="286" w:lineRule="auto"/>
        <w:rPr>
          <w:sz w:val="20"/>
          <w:szCs w:val="20"/>
          <w:color w:val="auto"/>
        </w:rPr>
      </w:pPr>
      <w:r>
        <w:rPr>
          <w:rFonts w:ascii="Arial" w:cs="Arial" w:eastAsia="Arial" w:hAnsi="Arial"/>
          <w:sz w:val="15"/>
          <w:szCs w:val="15"/>
          <w:color w:val="auto"/>
        </w:rPr>
        <w:t>In October 2007, June 2009 and in December 2009, we experienced a change in ownership as defined by Section 382 of the Internal Revenue Code. Historically, we have raised capital through the issuance of capital stock on several occasions which, combined with shareholders' subsequent disposition of those shares, has resulted in three changes of control, as defined by Section 382. As a result of the ownership change in October 2007, utilization of our Federal net operating loss carryforwards is subject to an annual limitation. Any unused annual limitation may be carried over to later years, and the amount of the limitation may, under certain circumstances, be subject to adjustment if the fair value of the our net assets are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have not undertaken a study to assess whether an ownership change or multiple ownership changes has occurred for (i) AVANT or CuraGen prior to our acquisitions,</w:t>
      </w:r>
    </w:p>
    <w:p>
      <w:pPr>
        <w:spacing w:after="0" w:line="46" w:lineRule="exact"/>
        <w:rPr>
          <w:sz w:val="20"/>
          <w:szCs w:val="20"/>
          <w:color w:val="auto"/>
        </w:rPr>
      </w:pPr>
    </w:p>
    <w:p>
      <w:pPr>
        <w:ind w:right="120"/>
        <w:spacing w:after="0" w:line="271" w:lineRule="auto"/>
        <w:tabs>
          <w:tab w:leader="none" w:pos="23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on the state level, (iii) the Company since October 2012, or (iv) research and development credits. If, based on such a study, we were to determine that there has been an ownership change at any time since its formation, utilization of net operating loss or tax credit carryforwards would be subject to an annual limitation under Section 382.</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Refer to Note 15, "Income Taxes," in the accompanying notes to the consolidated financial statements for additional discussion on income taxes.</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1B.</w:t>
        <w:tab/>
        <w:t>UNRESOLVED STAFF COMMENTS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December 31, 2014, our significant leased properties are described below.</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Approximate</w:t>
            </w: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0"/>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Property Location</w:t>
            </w:r>
          </w:p>
        </w:tc>
        <w:tc>
          <w:tcPr>
            <w:tcW w:w="3040" w:type="dxa"/>
            <w:vAlign w:val="bottom"/>
            <w:gridSpan w:val="2"/>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Square Feet</w:t>
            </w:r>
          </w:p>
        </w:tc>
        <w:tc>
          <w:tcPr>
            <w:tcW w:w="160" w:type="dxa"/>
            <w:vAlign w:val="bottom"/>
          </w:tcPr>
          <w:p>
            <w:pPr>
              <w:spacing w:after="0"/>
              <w:rPr>
                <w:sz w:val="13"/>
                <w:szCs w:val="13"/>
                <w:color w:val="auto"/>
              </w:rPr>
            </w:pPr>
          </w:p>
        </w:tc>
        <w:tc>
          <w:tcPr>
            <w:tcW w:w="2620" w:type="dxa"/>
            <w:vAlign w:val="bottom"/>
            <w:tcBorders>
              <w:bottom w:val="single" w:sz="8" w:color="auto"/>
            </w:tcBorders>
          </w:tcPr>
          <w:p>
            <w:pPr>
              <w:ind w:left="1220"/>
              <w:spacing w:after="0"/>
              <w:rPr>
                <w:sz w:val="20"/>
                <w:szCs w:val="20"/>
                <w:color w:val="auto"/>
              </w:rPr>
            </w:pPr>
            <w:r>
              <w:rPr>
                <w:rFonts w:ascii="Arial" w:cs="Arial" w:eastAsia="Arial" w:hAnsi="Arial"/>
                <w:sz w:val="13"/>
                <w:szCs w:val="13"/>
                <w:b w:val="1"/>
                <w:bCs w:val="1"/>
                <w:color w:val="auto"/>
              </w:rPr>
              <w:t>Use</w:t>
            </w:r>
          </w:p>
        </w:tc>
        <w:tc>
          <w:tcPr>
            <w:tcW w:w="160" w:type="dxa"/>
            <w:vAlign w:val="bottom"/>
          </w:tcPr>
          <w:p>
            <w:pPr>
              <w:spacing w:after="0"/>
              <w:rPr>
                <w:sz w:val="13"/>
                <w:szCs w:val="13"/>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1"/>
              </w:rPr>
              <w:t>Lease Expiration Date</w:t>
            </w:r>
          </w:p>
        </w:tc>
      </w:tr>
      <w:tr>
        <w:trPr>
          <w:trHeight w:val="193"/>
        </w:trPr>
        <w:tc>
          <w:tcPr>
            <w:tcW w:w="41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Hampton, New Jersey</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33,400</w:t>
            </w: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Headquarters, Office and Laboratory</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April 2019(1)</w:t>
            </w:r>
          </w:p>
        </w:tc>
      </w:tr>
      <w:tr>
        <w:trPr>
          <w:trHeight w:val="200"/>
        </w:trPr>
        <w:tc>
          <w:tcPr>
            <w:tcW w:w="4120" w:type="dxa"/>
            <w:vAlign w:val="bottom"/>
            <w:gridSpan w:val="3"/>
          </w:tcPr>
          <w:p>
            <w:pPr>
              <w:spacing w:after="0"/>
              <w:rPr>
                <w:sz w:val="20"/>
                <w:szCs w:val="20"/>
                <w:color w:val="auto"/>
              </w:rPr>
            </w:pPr>
            <w:r>
              <w:rPr>
                <w:rFonts w:ascii="Arial" w:cs="Arial" w:eastAsia="Arial" w:hAnsi="Arial"/>
                <w:sz w:val="16"/>
                <w:szCs w:val="16"/>
                <w:color w:val="auto"/>
              </w:rPr>
              <w:t>Needham, Massachusetts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35,200</w:t>
            </w:r>
          </w:p>
        </w:tc>
        <w:tc>
          <w:tcPr>
            <w:tcW w:w="2620" w:type="dxa"/>
            <w:vAlign w:val="bottom"/>
          </w:tcPr>
          <w:p>
            <w:pPr>
              <w:spacing w:after="0"/>
              <w:rPr>
                <w:sz w:val="20"/>
                <w:szCs w:val="20"/>
                <w:color w:val="auto"/>
              </w:rPr>
            </w:pPr>
            <w:r>
              <w:rPr>
                <w:rFonts w:ascii="Arial" w:cs="Arial" w:eastAsia="Arial" w:hAnsi="Arial"/>
                <w:sz w:val="16"/>
                <w:szCs w:val="16"/>
                <w:color w:val="auto"/>
              </w:rPr>
              <w:t>Office and Laboratory</w:t>
            </w:r>
          </w:p>
        </w:tc>
        <w:tc>
          <w:tcPr>
            <w:tcW w:w="16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Arial" w:cs="Arial" w:eastAsia="Arial" w:hAnsi="Arial"/>
                <w:sz w:val="16"/>
                <w:szCs w:val="16"/>
                <w:color w:val="auto"/>
              </w:rPr>
              <w:t>April 2017(2)</w:t>
            </w:r>
          </w:p>
        </w:tc>
      </w:tr>
      <w:tr>
        <w:trPr>
          <w:trHeight w:val="200"/>
        </w:trPr>
        <w:tc>
          <w:tcPr>
            <w:tcW w:w="41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Fall River, Massachusetts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23,400</w:t>
            </w:r>
          </w:p>
        </w:tc>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Manufacturing Facility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w w:val="97"/>
              </w:rPr>
              <w:t>December 2017(3)</w:t>
            </w:r>
          </w:p>
        </w:tc>
      </w:tr>
      <w:tr>
        <w:trPr>
          <w:trHeight w:val="207"/>
        </w:trPr>
        <w:tc>
          <w:tcPr>
            <w:tcW w:w="4120" w:type="dxa"/>
            <w:vAlign w:val="bottom"/>
            <w:gridSpan w:val="3"/>
          </w:tcPr>
          <w:p>
            <w:pPr>
              <w:spacing w:after="0"/>
              <w:rPr>
                <w:sz w:val="20"/>
                <w:szCs w:val="20"/>
                <w:color w:val="auto"/>
              </w:rPr>
            </w:pPr>
            <w:r>
              <w:rPr>
                <w:rFonts w:ascii="Arial" w:cs="Arial" w:eastAsia="Arial" w:hAnsi="Arial"/>
                <w:sz w:val="16"/>
                <w:szCs w:val="16"/>
                <w:color w:val="auto"/>
              </w:rPr>
              <w:t>Branford, Connecticut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10,300</w:t>
            </w:r>
          </w:p>
        </w:tc>
        <w:tc>
          <w:tcPr>
            <w:tcW w:w="2620" w:type="dxa"/>
            <w:vAlign w:val="bottom"/>
          </w:tcPr>
          <w:p>
            <w:pPr>
              <w:spacing w:after="0"/>
              <w:rPr>
                <w:sz w:val="20"/>
                <w:szCs w:val="20"/>
                <w:color w:val="auto"/>
              </w:rPr>
            </w:pPr>
            <w:r>
              <w:rPr>
                <w:rFonts w:ascii="Arial" w:cs="Arial" w:eastAsia="Arial" w:hAnsi="Arial"/>
                <w:sz w:val="16"/>
                <w:szCs w:val="16"/>
                <w:color w:val="auto"/>
              </w:rPr>
              <w:t>Office</w:t>
            </w:r>
          </w:p>
        </w:tc>
        <w:tc>
          <w:tcPr>
            <w:tcW w:w="16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Arial" w:cs="Arial" w:eastAsia="Arial" w:hAnsi="Arial"/>
                <w:sz w:val="16"/>
                <w:szCs w:val="16"/>
                <w:color w:val="auto"/>
                <w:w w:val="97"/>
              </w:rPr>
              <w:t>December 2019(4)</w:t>
            </w:r>
          </w:p>
        </w:tc>
      </w:tr>
      <w:tr>
        <w:trPr>
          <w:trHeight w:val="93"/>
        </w:trPr>
        <w:tc>
          <w:tcPr>
            <w:tcW w:w="10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r>
    </w:tbl>
    <w:p>
      <w:pPr>
        <w:spacing w:after="0" w:line="204" w:lineRule="exact"/>
        <w:rPr>
          <w:sz w:val="20"/>
          <w:szCs w:val="20"/>
          <w:color w:val="auto"/>
        </w:rPr>
      </w:pPr>
    </w:p>
    <w:p>
      <w:pPr>
        <w:ind w:left="1640" w:hanging="497"/>
        <w:spacing w:after="0"/>
        <w:tabs>
          <w:tab w:leader="none" w:pos="1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Lease includes two renewal options of five years each.</w:t>
      </w:r>
    </w:p>
    <w:p>
      <w:pPr>
        <w:spacing w:after="0" w:line="241" w:lineRule="exact"/>
        <w:rPr>
          <w:rFonts w:ascii="Arial" w:cs="Arial" w:eastAsia="Arial" w:hAnsi="Arial"/>
          <w:sz w:val="16"/>
          <w:szCs w:val="16"/>
          <w:color w:val="auto"/>
        </w:rPr>
      </w:pPr>
    </w:p>
    <w:p>
      <w:pPr>
        <w:ind w:left="1640" w:hanging="497"/>
        <w:spacing w:after="0"/>
        <w:tabs>
          <w:tab w:leader="none" w:pos="1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Lease includes one renewal option of five years.</w:t>
      </w:r>
    </w:p>
    <w:p>
      <w:pPr>
        <w:spacing w:after="0" w:line="228" w:lineRule="exact"/>
        <w:rPr>
          <w:rFonts w:ascii="Arial" w:cs="Arial" w:eastAsia="Arial" w:hAnsi="Arial"/>
          <w:sz w:val="16"/>
          <w:szCs w:val="16"/>
          <w:color w:val="auto"/>
        </w:rPr>
      </w:pPr>
    </w:p>
    <w:p>
      <w:pPr>
        <w:ind w:left="1640" w:hanging="497"/>
        <w:spacing w:after="0" w:line="290" w:lineRule="auto"/>
        <w:tabs>
          <w:tab w:leader="none" w:pos="1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Lease includes two renewal options of five years each. Lease also includes provision for early termination in December 2015 upon prior notice of one year.</w:t>
      </w:r>
    </w:p>
    <w:p>
      <w:pPr>
        <w:spacing w:after="0" w:line="168" w:lineRule="exact"/>
        <w:rPr>
          <w:rFonts w:ascii="Arial" w:cs="Arial" w:eastAsia="Arial" w:hAnsi="Arial"/>
          <w:sz w:val="16"/>
          <w:szCs w:val="16"/>
          <w:color w:val="auto"/>
        </w:rPr>
      </w:pPr>
    </w:p>
    <w:p>
      <w:pPr>
        <w:ind w:left="1640" w:hanging="497"/>
        <w:spacing w:after="0"/>
        <w:tabs>
          <w:tab w:leader="none" w:pos="1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Lease includes two renewal options of three years. Lease also includes provision for early termination with 12 months notice.</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Item 3.</w:t>
        <w:tab/>
        <w:t>LEGAL PROCEEDINGS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are not currently a party to any material legal proceedings.</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Item 4.</w:t>
        <w:tab/>
        <w:t>MINE SAFETY DISCLOSURES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Not applicable.</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II</w:t>
      </w:r>
    </w:p>
    <w:p>
      <w:pPr>
        <w:spacing w:after="0" w:line="216" w:lineRule="exact"/>
        <w:rPr>
          <w:sz w:val="20"/>
          <w:szCs w:val="20"/>
          <w:color w:val="auto"/>
        </w:rPr>
      </w:pPr>
    </w:p>
    <w:p>
      <w:pPr>
        <w:ind w:right="880"/>
        <w:spacing w:after="0" w:line="295"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52" w:lineRule="exact"/>
        <w:rPr>
          <w:sz w:val="20"/>
          <w:szCs w:val="20"/>
          <w:color w:val="auto"/>
        </w:rPr>
      </w:pPr>
    </w:p>
    <w:p>
      <w:pPr>
        <w:ind w:firstLine="325"/>
        <w:spacing w:after="0" w:line="290" w:lineRule="auto"/>
        <w:rPr>
          <w:sz w:val="20"/>
          <w:szCs w:val="20"/>
          <w:color w:val="auto"/>
        </w:rPr>
      </w:pPr>
      <w:r>
        <w:rPr>
          <w:rFonts w:ascii="Arial" w:cs="Arial" w:eastAsia="Arial" w:hAnsi="Arial"/>
          <w:sz w:val="16"/>
          <w:szCs w:val="16"/>
          <w:color w:val="auto"/>
        </w:rPr>
        <w:t>Our common stock currently trades on the Nasdaq Global Market (NASDAQ) under the symbol "CLDX". The following table sets forth for the periods indicated the high and low sale prices per share for our common stock, as reported by NASDAQ.</w:t>
      </w:r>
    </w:p>
    <w:p>
      <w:pPr>
        <w:spacing w:after="0" w:line="151" w:lineRule="exact"/>
        <w:rPr>
          <w:sz w:val="20"/>
          <w:szCs w:val="20"/>
          <w:color w:val="auto"/>
        </w:rPr>
      </w:pPr>
    </w:p>
    <w:tbl>
      <w:tblPr>
        <w:tblLayout w:type="fixed"/>
        <w:tblInd w:w="1720" w:type="dxa"/>
        <w:tblCellMar>
          <w:top w:w="0" w:type="dxa"/>
          <w:left w:w="0" w:type="dxa"/>
          <w:bottom w:w="0" w:type="dxa"/>
          <w:right w:w="0" w:type="dxa"/>
        </w:tblCellMar>
      </w:tblPr>
      <w:tr>
        <w:trPr>
          <w:trHeight w:val="150"/>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Fiscal Period</w:t>
            </w:r>
          </w:p>
        </w:tc>
        <w:tc>
          <w:tcPr>
            <w:tcW w:w="5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9"/>
              </w:rPr>
              <w:t>Low</w:t>
            </w:r>
          </w:p>
        </w:tc>
        <w:tc>
          <w:tcPr>
            <w:tcW w:w="140" w:type="dxa"/>
            <w:vAlign w:val="bottom"/>
          </w:tcPr>
          <w:p>
            <w:pPr>
              <w:spacing w:after="0"/>
              <w:rPr>
                <w:sz w:val="13"/>
                <w:szCs w:val="13"/>
                <w:color w:val="auto"/>
              </w:rPr>
            </w:pPr>
          </w:p>
        </w:tc>
      </w:tr>
      <w:tr>
        <w:trPr>
          <w:trHeight w:val="193"/>
        </w:trPr>
        <w:tc>
          <w:tcPr>
            <w:tcW w:w="65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Year Ended December 31, 2013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0"/>
        </w:trPr>
        <w:tc>
          <w:tcPr>
            <w:tcW w:w="6540" w:type="dxa"/>
            <w:vAlign w:val="bottom"/>
            <w:gridSpan w:val="2"/>
          </w:tcPr>
          <w:p>
            <w:pPr>
              <w:ind w:left="160"/>
              <w:spacing w:after="0"/>
              <w:rPr>
                <w:sz w:val="20"/>
                <w:szCs w:val="20"/>
                <w:color w:val="auto"/>
              </w:rPr>
            </w:pPr>
            <w:r>
              <w:rPr>
                <w:rFonts w:ascii="Arial" w:cs="Arial" w:eastAsia="Arial" w:hAnsi="Arial"/>
                <w:sz w:val="16"/>
                <w:szCs w:val="16"/>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12.49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6.81</w:t>
            </w:r>
          </w:p>
        </w:tc>
      </w:tr>
      <w:tr>
        <w:trPr>
          <w:trHeight w:val="200"/>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Second Quarter</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16.48</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10.73</w:t>
            </w:r>
          </w:p>
        </w:tc>
      </w:tr>
      <w:tr>
        <w:trPr>
          <w:trHeight w:val="200"/>
        </w:trPr>
        <w:tc>
          <w:tcPr>
            <w:tcW w:w="6540" w:type="dxa"/>
            <w:vAlign w:val="bottom"/>
            <w:gridSpan w:val="2"/>
          </w:tcPr>
          <w:p>
            <w:pPr>
              <w:ind w:left="160"/>
              <w:spacing w:after="0"/>
              <w:rPr>
                <w:sz w:val="20"/>
                <w:szCs w:val="20"/>
                <w:color w:val="auto"/>
              </w:rPr>
            </w:pPr>
            <w:r>
              <w:rPr>
                <w:rFonts w:ascii="Arial" w:cs="Arial" w:eastAsia="Arial" w:hAnsi="Arial"/>
                <w:sz w:val="16"/>
                <w:szCs w:val="16"/>
                <w:color w:val="auto"/>
              </w:rPr>
              <w:t>Third Quarter</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37.98</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16.00</w:t>
            </w:r>
          </w:p>
        </w:tc>
      </w:tr>
      <w:tr>
        <w:trPr>
          <w:trHeight w:val="200"/>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Fourth Quarter</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38.84</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20.85</w:t>
            </w:r>
          </w:p>
        </w:tc>
      </w:tr>
      <w:tr>
        <w:trPr>
          <w:trHeight w:val="200"/>
        </w:trPr>
        <w:tc>
          <w:tcPr>
            <w:tcW w:w="654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 2014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0"/>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16.58</w:t>
            </w:r>
          </w:p>
        </w:tc>
      </w:tr>
      <w:tr>
        <w:trPr>
          <w:trHeight w:val="200"/>
        </w:trPr>
        <w:tc>
          <w:tcPr>
            <w:tcW w:w="6540" w:type="dxa"/>
            <w:vAlign w:val="bottom"/>
            <w:gridSpan w:val="2"/>
          </w:tcPr>
          <w:p>
            <w:pPr>
              <w:ind w:left="160"/>
              <w:spacing w:after="0"/>
              <w:rPr>
                <w:sz w:val="20"/>
                <w:szCs w:val="20"/>
                <w:color w:val="auto"/>
              </w:rPr>
            </w:pPr>
            <w:r>
              <w:rPr>
                <w:rFonts w:ascii="Arial" w:cs="Arial" w:eastAsia="Arial" w:hAnsi="Arial"/>
                <w:sz w:val="16"/>
                <w:szCs w:val="16"/>
                <w:color w:val="auto"/>
              </w:rPr>
              <w:t>Second Quarter</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18.52</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10.76</w:t>
            </w:r>
          </w:p>
        </w:tc>
      </w:tr>
      <w:tr>
        <w:trPr>
          <w:trHeight w:val="200"/>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Third Quarter</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18.30</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11.93</w:t>
            </w:r>
          </w:p>
        </w:tc>
      </w:tr>
      <w:tr>
        <w:trPr>
          <w:trHeight w:val="207"/>
        </w:trPr>
        <w:tc>
          <w:tcPr>
            <w:tcW w:w="6540" w:type="dxa"/>
            <w:vAlign w:val="bottom"/>
            <w:gridSpan w:val="2"/>
          </w:tcPr>
          <w:p>
            <w:pPr>
              <w:ind w:left="160"/>
              <w:spacing w:after="0"/>
              <w:rPr>
                <w:sz w:val="20"/>
                <w:szCs w:val="20"/>
                <w:color w:val="auto"/>
              </w:rPr>
            </w:pPr>
            <w:r>
              <w:rPr>
                <w:rFonts w:ascii="Arial" w:cs="Arial" w:eastAsia="Arial" w:hAnsi="Arial"/>
                <w:sz w:val="16"/>
                <w:szCs w:val="16"/>
                <w:color w:val="auto"/>
              </w:rPr>
              <w:t>Fourth Quarter</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21.70</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12.11</w:t>
            </w:r>
          </w:p>
        </w:tc>
      </w:tr>
    </w:tbl>
    <w:p>
      <w:pPr>
        <w:spacing w:after="0" w:line="184" w:lineRule="exact"/>
        <w:rPr>
          <w:sz w:val="20"/>
          <w:szCs w:val="20"/>
          <w:color w:val="auto"/>
        </w:rPr>
      </w:pPr>
    </w:p>
    <w:p>
      <w:pPr>
        <w:ind w:right="260" w:firstLine="316"/>
        <w:spacing w:after="0" w:line="275" w:lineRule="auto"/>
        <w:rPr>
          <w:sz w:val="20"/>
          <w:szCs w:val="20"/>
          <w:color w:val="auto"/>
        </w:rPr>
      </w:pPr>
      <w:r>
        <w:rPr>
          <w:rFonts w:ascii="Arial" w:cs="Arial" w:eastAsia="Arial" w:hAnsi="Arial"/>
          <w:sz w:val="16"/>
          <w:szCs w:val="16"/>
          <w:color w:val="auto"/>
        </w:rPr>
        <w:t>As of February 17, 2015, there were approximately 366 shareholders of record of our common stock. On February 17, 2015 the closing price of our common stock, as reported by NASDAQ, was $21.44 per share. We have not paid any dividends on our common stock since our inception and do not intend to pay any dividends in the foreseeable future.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20" w:lineRule="exact"/>
        <w:rPr>
          <w:sz w:val="20"/>
          <w:szCs w:val="20"/>
          <w:color w:val="auto"/>
        </w:rPr>
      </w:pPr>
    </w:p>
    <w:p>
      <w:pPr>
        <w:ind w:right="320" w:firstLine="322"/>
        <w:spacing w:after="0" w:line="326" w:lineRule="auto"/>
        <w:rPr>
          <w:sz w:val="20"/>
          <w:szCs w:val="20"/>
          <w:color w:val="auto"/>
        </w:rPr>
      </w:pPr>
      <w:r>
        <w:rPr>
          <w:rFonts w:ascii="Arial" w:cs="Arial" w:eastAsia="Arial" w:hAnsi="Arial"/>
          <w:sz w:val="15"/>
          <w:szCs w:val="15"/>
          <w:color w:val="auto"/>
        </w:rPr>
        <w:t>The following table provides information as of December 31, 2014 regarding shares of our common stock that may be issued under our existing equity compensation plans, including our 2008 Stock Option and Incentive Plan (the "2008 Plan") and our 2004 Employee Stock Purchase Plan (the "2004 ESPP Plan").</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18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5120" w:type="dxa"/>
            <w:vAlign w:val="bottom"/>
            <w:gridSpan w:val="7"/>
          </w:tcPr>
          <w:p>
            <w:pPr>
              <w:jc w:val="right"/>
              <w:ind w:right="1600"/>
              <w:spacing w:after="0"/>
              <w:rPr>
                <w:sz w:val="20"/>
                <w:szCs w:val="20"/>
                <w:color w:val="auto"/>
              </w:rPr>
            </w:pPr>
            <w:r>
              <w:rPr>
                <w:rFonts w:ascii="Arial" w:cs="Arial" w:eastAsia="Arial" w:hAnsi="Arial"/>
                <w:sz w:val="13"/>
                <w:szCs w:val="13"/>
                <w:b w:val="1"/>
                <w:bCs w:val="1"/>
                <w:color w:val="auto"/>
              </w:rPr>
              <w:t>Equity Compensation Plan Information</w:t>
            </w:r>
          </w:p>
        </w:tc>
      </w:tr>
      <w:tr>
        <w:trPr>
          <w:trHeight w:val="117"/>
        </w:trPr>
        <w:tc>
          <w:tcPr>
            <w:tcW w:w="18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5"/>
              </w:rPr>
              <w:t>Number of securities</w:t>
            </w:r>
          </w:p>
        </w:tc>
        <w:tc>
          <w:tcPr>
            <w:tcW w:w="220" w:type="dxa"/>
            <w:vAlign w:val="bottom"/>
          </w:tcPr>
          <w:p>
            <w:pPr>
              <w:spacing w:after="0"/>
              <w:rPr>
                <w:sz w:val="10"/>
                <w:szCs w:val="10"/>
                <w:color w:val="auto"/>
              </w:rPr>
            </w:pPr>
          </w:p>
        </w:tc>
      </w:tr>
      <w:tr>
        <w:trPr>
          <w:trHeight w:val="138"/>
        </w:trPr>
        <w:tc>
          <w:tcPr>
            <w:tcW w:w="1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8"/>
              </w:rPr>
              <w:t>remaining available for</w:t>
            </w:r>
          </w:p>
        </w:tc>
      </w:tr>
      <w:tr>
        <w:trPr>
          <w:trHeight w:val="138"/>
        </w:trPr>
        <w:tc>
          <w:tcPr>
            <w:tcW w:w="1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80" w:type="dxa"/>
            <w:vAlign w:val="bottom"/>
            <w:gridSpan w:val="3"/>
          </w:tcPr>
          <w:p>
            <w:pPr>
              <w:jc w:val="center"/>
              <w:ind w:right="280"/>
              <w:spacing w:after="0" w:line="138" w:lineRule="exact"/>
              <w:rPr>
                <w:sz w:val="20"/>
                <w:szCs w:val="20"/>
                <w:color w:val="auto"/>
              </w:rPr>
            </w:pPr>
            <w:r>
              <w:rPr>
                <w:rFonts w:ascii="Arial" w:cs="Arial" w:eastAsia="Arial" w:hAnsi="Arial"/>
                <w:sz w:val="13"/>
                <w:szCs w:val="13"/>
                <w:b w:val="1"/>
                <w:bCs w:val="1"/>
                <w:color w:val="auto"/>
                <w:w w:val="86"/>
              </w:rPr>
              <w:t>Number of securities</w:t>
            </w:r>
          </w:p>
        </w:tc>
        <w:tc>
          <w:tcPr>
            <w:tcW w:w="130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4"/>
              </w:rPr>
              <w:t>Weighted Average</w:t>
            </w:r>
          </w:p>
        </w:tc>
        <w:tc>
          <w:tcPr>
            <w:tcW w:w="194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6"/>
              </w:rPr>
              <w:t>future issuance under equity</w:t>
            </w:r>
          </w:p>
        </w:tc>
      </w:tr>
      <w:tr>
        <w:trPr>
          <w:trHeight w:val="138"/>
        </w:trPr>
        <w:tc>
          <w:tcPr>
            <w:tcW w:w="1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80" w:type="dxa"/>
            <w:vAlign w:val="bottom"/>
            <w:gridSpan w:val="3"/>
          </w:tcPr>
          <w:p>
            <w:pPr>
              <w:jc w:val="center"/>
              <w:ind w:right="280"/>
              <w:spacing w:after="0" w:line="138" w:lineRule="exact"/>
              <w:rPr>
                <w:sz w:val="20"/>
                <w:szCs w:val="20"/>
                <w:color w:val="auto"/>
              </w:rPr>
            </w:pPr>
            <w:r>
              <w:rPr>
                <w:rFonts w:ascii="Arial" w:cs="Arial" w:eastAsia="Arial" w:hAnsi="Arial"/>
                <w:sz w:val="13"/>
                <w:szCs w:val="13"/>
                <w:b w:val="1"/>
                <w:bCs w:val="1"/>
                <w:color w:val="auto"/>
                <w:w w:val="81"/>
              </w:rPr>
              <w:t>to be issued upon exercise</w:t>
            </w:r>
          </w:p>
        </w:tc>
        <w:tc>
          <w:tcPr>
            <w:tcW w:w="13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3"/>
              </w:rPr>
              <w:t>exercise price of</w:t>
            </w:r>
          </w:p>
        </w:tc>
        <w:tc>
          <w:tcPr>
            <w:tcW w:w="194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6"/>
              </w:rPr>
              <w:t>compensation plan</w:t>
            </w:r>
          </w:p>
        </w:tc>
      </w:tr>
      <w:tr>
        <w:trPr>
          <w:trHeight w:val="138"/>
        </w:trPr>
        <w:tc>
          <w:tcPr>
            <w:tcW w:w="1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80" w:type="dxa"/>
            <w:vAlign w:val="bottom"/>
            <w:gridSpan w:val="3"/>
          </w:tcPr>
          <w:p>
            <w:pPr>
              <w:jc w:val="center"/>
              <w:ind w:right="280"/>
              <w:spacing w:after="0" w:line="138" w:lineRule="exact"/>
              <w:rPr>
                <w:sz w:val="20"/>
                <w:szCs w:val="20"/>
                <w:color w:val="auto"/>
              </w:rPr>
            </w:pPr>
            <w:r>
              <w:rPr>
                <w:rFonts w:ascii="Arial" w:cs="Arial" w:eastAsia="Arial" w:hAnsi="Arial"/>
                <w:sz w:val="13"/>
                <w:szCs w:val="13"/>
                <w:b w:val="1"/>
                <w:bCs w:val="1"/>
                <w:color w:val="auto"/>
                <w:w w:val="85"/>
              </w:rPr>
              <w:t>of outstanding options</w:t>
            </w:r>
          </w:p>
        </w:tc>
        <w:tc>
          <w:tcPr>
            <w:tcW w:w="130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3"/>
              </w:rPr>
              <w:t>outstanding options</w:t>
            </w:r>
          </w:p>
        </w:tc>
        <w:tc>
          <w:tcPr>
            <w:tcW w:w="194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5"/>
              </w:rPr>
              <w:t>(excluding securities</w:t>
            </w:r>
          </w:p>
        </w:tc>
      </w:tr>
      <w:tr>
        <w:trPr>
          <w:trHeight w:val="150"/>
        </w:trPr>
        <w:tc>
          <w:tcPr>
            <w:tcW w:w="18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and rights(1)</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and rights</w:t>
            </w:r>
          </w:p>
        </w:tc>
        <w:tc>
          <w:tcPr>
            <w:tcW w:w="140" w:type="dxa"/>
            <w:vAlign w:val="bottom"/>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referenced in column (a))</w:t>
            </w:r>
          </w:p>
        </w:tc>
        <w:tc>
          <w:tcPr>
            <w:tcW w:w="220" w:type="dxa"/>
            <w:vAlign w:val="bottom"/>
          </w:tcPr>
          <w:p>
            <w:pPr>
              <w:spacing w:after="0"/>
              <w:rPr>
                <w:sz w:val="13"/>
                <w:szCs w:val="13"/>
                <w:color w:val="auto"/>
              </w:rPr>
            </w:pPr>
          </w:p>
        </w:tc>
      </w:tr>
      <w:tr>
        <w:trPr>
          <w:trHeight w:val="193"/>
        </w:trPr>
        <w:tc>
          <w:tcPr>
            <w:tcW w:w="40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Equity compensation plans approved by security holders(2)</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7,015,350(3)$</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9.34</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828,485(4)</w:t>
            </w:r>
          </w:p>
        </w:tc>
      </w:tr>
      <w:tr>
        <w:trPr>
          <w:trHeight w:val="100"/>
        </w:trPr>
        <w:tc>
          <w:tcPr>
            <w:tcW w:w="188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204" w:lineRule="exact"/>
        <w:rPr>
          <w:sz w:val="20"/>
          <w:szCs w:val="20"/>
          <w:color w:val="auto"/>
        </w:rPr>
      </w:pPr>
    </w:p>
    <w:p>
      <w:pPr>
        <w:ind w:left="1640" w:hanging="497"/>
        <w:spacing w:after="0"/>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Does not include any Restricted Stock as such shares are already reflected in our outstanding shares.</w:t>
      </w:r>
    </w:p>
    <w:p>
      <w:pPr>
        <w:spacing w:after="0" w:line="241" w:lineRule="exact"/>
        <w:rPr>
          <w:rFonts w:ascii="Arial" w:cs="Arial" w:eastAsia="Arial" w:hAnsi="Arial"/>
          <w:sz w:val="16"/>
          <w:szCs w:val="16"/>
          <w:color w:val="auto"/>
        </w:rPr>
      </w:pPr>
    </w:p>
    <w:p>
      <w:pPr>
        <w:ind w:left="1640" w:hanging="497"/>
        <w:spacing w:after="0"/>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the 2008 Plan, 2004 ESPP Plan, Celldex Research's 2005 Equity Incentive Plan and CuraGen's 2007 Stock Plan.</w:t>
      </w:r>
    </w:p>
    <w:p>
      <w:pPr>
        <w:spacing w:after="0" w:line="228" w:lineRule="exact"/>
        <w:rPr>
          <w:rFonts w:ascii="Arial" w:cs="Arial" w:eastAsia="Arial" w:hAnsi="Arial"/>
          <w:sz w:val="16"/>
          <w:szCs w:val="16"/>
          <w:color w:val="auto"/>
        </w:rPr>
      </w:pPr>
    </w:p>
    <w:p>
      <w:pPr>
        <w:ind w:left="1640" w:right="20" w:hanging="497"/>
        <w:spacing w:after="0" w:line="290" w:lineRule="auto"/>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Does not include purchase rights accruing under the 2004 ESPP Plan because the purchase price (and therefore the number of shares to be purchased) will not be determined until the end of the purchase period.</w:t>
      </w:r>
    </w:p>
    <w:p>
      <w:pPr>
        <w:spacing w:after="0" w:line="168" w:lineRule="exact"/>
        <w:rPr>
          <w:rFonts w:ascii="Arial" w:cs="Arial" w:eastAsia="Arial" w:hAnsi="Arial"/>
          <w:sz w:val="16"/>
          <w:szCs w:val="16"/>
          <w:color w:val="auto"/>
        </w:rPr>
      </w:pPr>
    </w:p>
    <w:p>
      <w:pPr>
        <w:ind w:left="1640" w:hanging="497"/>
        <w:spacing w:after="0"/>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shares available for future issuance under the 2008 Plan and the 2004 ESPP Plan.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CELLDEX THEAPEUTICS, INC., NASDAQ MARKET INDEX—U.S.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PEER GROUP INDICES</w:t>
      </w:r>
    </w:p>
    <w:p>
      <w:pPr>
        <w:spacing w:after="0" w:line="209" w:lineRule="exact"/>
        <w:rPr>
          <w:sz w:val="20"/>
          <w:szCs w:val="20"/>
          <w:color w:val="auto"/>
        </w:rPr>
      </w:pPr>
    </w:p>
    <w:p>
      <w:pPr>
        <w:ind w:firstLine="322"/>
        <w:spacing w:after="0" w:line="270" w:lineRule="auto"/>
        <w:rPr>
          <w:sz w:val="20"/>
          <w:szCs w:val="20"/>
          <w:color w:val="auto"/>
        </w:rPr>
      </w:pPr>
      <w:r>
        <w:rPr>
          <w:rFonts w:ascii="Arial" w:cs="Arial" w:eastAsia="Arial" w:hAnsi="Arial"/>
          <w:sz w:val="16"/>
          <w:szCs w:val="16"/>
          <w:color w:val="auto"/>
        </w:rPr>
        <w:t>The graph below compares the cumulative total stockholder return on the common stock for the period from December 31, 2009 through December 31, 2014, with the cumulative return on (i) NASDAQ US Benchmark TR Index and (ii) NASDAQ Pharmaceutical (Subsector) Index. The comparison assumes investment of $100 on December 31, 2009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114935</wp:posOffset>
            </wp:positionV>
            <wp:extent cx="3787140" cy="2381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87140" cy="238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5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w w:val="82"/>
              </w:rPr>
              <w:t>2009</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w w:val="82"/>
              </w:rPr>
              <w:t>2010</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w w:val="82"/>
              </w:rPr>
              <w:t>2013</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w w:val="82"/>
              </w:rPr>
              <w:t>2014</w:t>
            </w:r>
          </w:p>
        </w:tc>
        <w:tc>
          <w:tcPr>
            <w:tcW w:w="160" w:type="dxa"/>
            <w:vAlign w:val="bottom"/>
          </w:tcPr>
          <w:p>
            <w:pPr>
              <w:spacing w:after="0"/>
              <w:rPr>
                <w:sz w:val="13"/>
                <w:szCs w:val="13"/>
                <w:color w:val="auto"/>
              </w:rPr>
            </w:pPr>
          </w:p>
        </w:tc>
      </w:tr>
      <w:tr>
        <w:trPr>
          <w:trHeight w:val="193"/>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Celldex Therapeutics,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391</w:t>
            </w:r>
          </w:p>
        </w:tc>
      </w:tr>
      <w:tr>
        <w:trPr>
          <w:trHeight w:val="200"/>
        </w:trPr>
        <w:tc>
          <w:tcPr>
            <w:tcW w:w="5460" w:type="dxa"/>
            <w:vAlign w:val="bottom"/>
          </w:tcPr>
          <w:p>
            <w:pPr>
              <w:spacing w:after="0"/>
              <w:rPr>
                <w:sz w:val="20"/>
                <w:szCs w:val="20"/>
                <w:color w:val="auto"/>
              </w:rPr>
            </w:pPr>
            <w:r>
              <w:rPr>
                <w:rFonts w:ascii="Arial" w:cs="Arial" w:eastAsia="Arial" w:hAnsi="Arial"/>
                <w:sz w:val="16"/>
                <w:szCs w:val="16"/>
                <w:color w:val="auto"/>
              </w:rPr>
              <w:t>NASDAQ US Benchmark TR Index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118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118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137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183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206</w:t>
            </w:r>
          </w:p>
        </w:tc>
      </w:tr>
      <w:tr>
        <w:trPr>
          <w:trHeight w:val="200"/>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NASDAQ Pharmaceutical (Subsector) Index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228</w:t>
            </w:r>
          </w:p>
        </w:tc>
      </w:tr>
    </w:tbl>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Item 6.</w:t>
        <w:tab/>
        <w:t>SELECTED FINANCIAL DATA</w:t>
      </w:r>
    </w:p>
    <w:p>
      <w:pPr>
        <w:spacing w:after="0" w:line="220" w:lineRule="exact"/>
        <w:rPr>
          <w:sz w:val="20"/>
          <w:szCs w:val="20"/>
          <w:color w:val="auto"/>
        </w:rPr>
      </w:pPr>
    </w:p>
    <w:p>
      <w:pPr>
        <w:ind w:right="340" w:firstLine="322"/>
        <w:spacing w:after="0" w:line="268" w:lineRule="auto"/>
        <w:rPr>
          <w:sz w:val="20"/>
          <w:szCs w:val="20"/>
          <w:color w:val="auto"/>
        </w:rPr>
      </w:pPr>
      <w:r>
        <w:rPr>
          <w:rFonts w:ascii="Arial" w:cs="Arial" w:eastAsia="Arial" w:hAnsi="Arial"/>
          <w:sz w:val="16"/>
          <w:szCs w:val="16"/>
          <w:color w:val="auto"/>
        </w:rPr>
        <w:t>The following selected consolidated financial data are derived from our financial statements. The consolidated statement of operations data for the years ended December 31, 2014, 2013 and 2012 and the consolidated balance sheet data as of December 31, 2014 and 2013 have been derived from our audited consolidated financial statements included in Item 8 of this Annual Report on Form 10-K.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 DATA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14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12"/>
          </w:tcPr>
          <w:p>
            <w:pPr>
              <w:jc w:val="right"/>
              <w:ind w:right="539"/>
              <w:spacing w:after="0"/>
              <w:rPr>
                <w:sz w:val="20"/>
                <w:szCs w:val="20"/>
                <w:color w:val="auto"/>
              </w:rPr>
            </w:pPr>
            <w:r>
              <w:rPr>
                <w:rFonts w:ascii="Arial" w:cs="Arial" w:eastAsia="Arial" w:hAnsi="Arial"/>
                <w:sz w:val="13"/>
                <w:szCs w:val="13"/>
                <w:b w:val="1"/>
                <w:bCs w:val="1"/>
                <w:color w:val="auto"/>
                <w:w w:val="86"/>
              </w:rPr>
              <w:t>Year Ended December 31,</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gridSpan w:val="2"/>
          </w:tcPr>
          <w:p>
            <w:pPr>
              <w:jc w:val="right"/>
              <w:spacing w:after="0" w:line="130" w:lineRule="exact"/>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right"/>
              <w:ind w:right="23"/>
              <w:spacing w:after="0" w:line="130" w:lineRule="exact"/>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1"/>
              <w:spacing w:after="0" w:line="130"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01"/>
              <w:spacing w:after="0" w:line="130" w:lineRule="exact"/>
              <w:rPr>
                <w:sz w:val="20"/>
                <w:szCs w:val="20"/>
                <w:color w:val="auto"/>
              </w:rPr>
            </w:pPr>
            <w:r>
              <w:rPr>
                <w:rFonts w:ascii="Arial" w:cs="Arial" w:eastAsia="Arial" w:hAnsi="Arial"/>
                <w:sz w:val="13"/>
                <w:szCs w:val="13"/>
                <w:b w:val="1"/>
                <w:bCs w:val="1"/>
                <w:color w:val="auto"/>
              </w:rPr>
              <w:t>2010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Product Development and Licensing Agreements</w:t>
            </w:r>
          </w:p>
        </w:tc>
        <w:tc>
          <w:tcPr>
            <w:tcW w:w="180" w:type="dxa"/>
            <w:vAlign w:val="bottom"/>
          </w:tcPr>
          <w:p>
            <w:pPr>
              <w:spacing w:after="0"/>
              <w:rPr>
                <w:sz w:val="17"/>
                <w:szCs w:val="17"/>
                <w:color w:val="auto"/>
              </w:rPr>
            </w:pPr>
          </w:p>
        </w:tc>
        <w:tc>
          <w:tcPr>
            <w:tcW w:w="36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auto"/>
                <w:w w:val="89"/>
              </w:rPr>
              <w:t>838</w:t>
            </w:r>
          </w:p>
        </w:tc>
        <w:tc>
          <w:tcPr>
            <w:tcW w:w="180" w:type="dxa"/>
            <w:vAlign w:val="bottom"/>
            <w:gridSpan w:val="2"/>
          </w:tcPr>
          <w:p>
            <w:pPr>
              <w:jc w:val="center"/>
              <w:ind w:left="22"/>
              <w:spacing w:after="0"/>
              <w:rPr>
                <w:sz w:val="20"/>
                <w:szCs w:val="20"/>
                <w:color w:val="auto"/>
              </w:rPr>
            </w:pPr>
            <w:r>
              <w:rPr>
                <w:rFonts w:ascii="Arial" w:cs="Arial" w:eastAsia="Arial" w:hAnsi="Arial"/>
                <w:sz w:val="16"/>
                <w:szCs w:val="16"/>
                <w:color w:val="auto"/>
                <w:w w:val="89"/>
              </w:rPr>
              <w:t>$</w:t>
            </w:r>
          </w:p>
        </w:tc>
        <w:tc>
          <w:tcPr>
            <w:tcW w:w="36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w w:val="89"/>
              </w:rPr>
              <w:t>160</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74"/>
              <w:spacing w:after="0"/>
              <w:rPr>
                <w:sz w:val="20"/>
                <w:szCs w:val="20"/>
                <w:color w:val="auto"/>
              </w:rPr>
            </w:pPr>
            <w:r>
              <w:rPr>
                <w:rFonts w:ascii="Arial" w:cs="Arial" w:eastAsia="Arial" w:hAnsi="Arial"/>
                <w:sz w:val="16"/>
                <w:szCs w:val="16"/>
                <w:color w:val="auto"/>
              </w:rPr>
              <w:t>146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40,187</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Contracts and Grants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2,748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74"/>
              <w:spacing w:after="0"/>
              <w:rPr>
                <w:sz w:val="20"/>
                <w:szCs w:val="20"/>
                <w:color w:val="auto"/>
              </w:rPr>
            </w:pPr>
            <w:r>
              <w:rPr>
                <w:rFonts w:ascii="Arial" w:cs="Arial" w:eastAsia="Arial" w:hAnsi="Arial"/>
                <w:sz w:val="16"/>
                <w:szCs w:val="16"/>
                <w:color w:val="auto"/>
              </w:rPr>
              <w:t>281</w:t>
            </w: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Product Royalties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2,334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74"/>
              <w:spacing w:after="0"/>
              <w:rPr>
                <w:sz w:val="20"/>
                <w:szCs w:val="20"/>
                <w:color w:val="auto"/>
              </w:rPr>
            </w:pPr>
            <w:r>
              <w:rPr>
                <w:rFonts w:ascii="Arial" w:cs="Arial" w:eastAsia="Arial" w:hAnsi="Arial"/>
                <w:sz w:val="16"/>
                <w:szCs w:val="16"/>
                <w:color w:val="auto"/>
              </w:rPr>
              <w:t>10,775</w:t>
            </w:r>
          </w:p>
        </w:tc>
        <w:tc>
          <w:tcPr>
            <w:tcW w:w="8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9,119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6,386</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4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Revenue</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3,586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4,111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74"/>
              <w:spacing w:after="0"/>
              <w:rPr>
                <w:sz w:val="20"/>
                <w:szCs w:val="20"/>
                <w:color w:val="auto"/>
              </w:rPr>
            </w:pPr>
            <w:r>
              <w:rPr>
                <w:rFonts w:ascii="Arial" w:cs="Arial" w:eastAsia="Arial" w:hAnsi="Arial"/>
                <w:sz w:val="16"/>
                <w:szCs w:val="16"/>
                <w:color w:val="auto"/>
              </w:rPr>
              <w:t>11,202</w:t>
            </w: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9,265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46,793</w:t>
            </w:r>
          </w:p>
        </w:tc>
        <w:tc>
          <w:tcPr>
            <w:tcW w:w="12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OPERATING EXPENSE: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w w:val="96"/>
              </w:rPr>
              <w:t>104,381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67,401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74"/>
              <w:spacing w:after="0"/>
              <w:rPr>
                <w:sz w:val="20"/>
                <w:szCs w:val="20"/>
                <w:color w:val="auto"/>
              </w:rPr>
            </w:pPr>
            <w:r>
              <w:rPr>
                <w:rFonts w:ascii="Arial" w:cs="Arial" w:eastAsia="Arial" w:hAnsi="Arial"/>
                <w:sz w:val="16"/>
                <w:szCs w:val="16"/>
                <w:color w:val="auto"/>
              </w:rPr>
              <w:t>47,398</w:t>
            </w: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32,439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27,650</w:t>
            </w:r>
          </w:p>
        </w:tc>
        <w:tc>
          <w:tcPr>
            <w:tcW w:w="1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Royalty</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2,334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74"/>
              <w:spacing w:after="0"/>
              <w:rPr>
                <w:sz w:val="20"/>
                <w:szCs w:val="20"/>
                <w:color w:val="auto"/>
              </w:rPr>
            </w:pPr>
            <w:r>
              <w:rPr>
                <w:rFonts w:ascii="Arial" w:cs="Arial" w:eastAsia="Arial" w:hAnsi="Arial"/>
                <w:sz w:val="16"/>
                <w:szCs w:val="16"/>
                <w:color w:val="auto"/>
              </w:rPr>
              <w:t>10,775</w:t>
            </w:r>
          </w:p>
        </w:tc>
        <w:tc>
          <w:tcPr>
            <w:tcW w:w="8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9,119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12,077</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Expense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21,635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15,818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74"/>
              <w:spacing w:after="0"/>
              <w:rPr>
                <w:sz w:val="20"/>
                <w:szCs w:val="20"/>
                <w:color w:val="auto"/>
              </w:rPr>
            </w:pPr>
            <w:r>
              <w:rPr>
                <w:rFonts w:ascii="Arial" w:cs="Arial" w:eastAsia="Arial" w:hAnsi="Arial"/>
                <w:sz w:val="16"/>
                <w:szCs w:val="16"/>
                <w:color w:val="auto"/>
              </w:rPr>
              <w:t>11,106</w:t>
            </w: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11,106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13,521</w:t>
            </w:r>
          </w:p>
        </w:tc>
        <w:tc>
          <w:tcPr>
            <w:tcW w:w="1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4480" w:type="dxa"/>
            <w:vAlign w:val="bottom"/>
          </w:tcPr>
          <w:p>
            <w:pPr>
              <w:ind w:left="180"/>
              <w:spacing w:after="0"/>
              <w:rPr>
                <w:sz w:val="20"/>
                <w:szCs w:val="20"/>
                <w:color w:val="auto"/>
              </w:rPr>
            </w:pPr>
            <w:r>
              <w:rPr>
                <w:rFonts w:ascii="Arial" w:cs="Arial" w:eastAsia="Arial" w:hAnsi="Arial"/>
                <w:sz w:val="16"/>
                <w:szCs w:val="16"/>
                <w:color w:val="auto"/>
              </w:rPr>
              <w:t>Total Operating Expense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w w:val="96"/>
              </w:rPr>
              <w:t>126,016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85,553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69,279</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52,664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53,248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w w:val="90"/>
              </w:rPr>
              <w:t>(122,430)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(81,442)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34"/>
              <w:spacing w:after="0"/>
              <w:rPr>
                <w:sz w:val="20"/>
                <w:szCs w:val="20"/>
                <w:color w:val="auto"/>
              </w:rPr>
            </w:pPr>
            <w:r>
              <w:rPr>
                <w:rFonts w:ascii="Arial" w:cs="Arial" w:eastAsia="Arial" w:hAnsi="Arial"/>
                <w:sz w:val="16"/>
                <w:szCs w:val="16"/>
                <w:color w:val="auto"/>
              </w:rPr>
              <w:t>(58,077)</w:t>
            </w:r>
          </w:p>
        </w:tc>
        <w:tc>
          <w:tcPr>
            <w:tcW w:w="8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19"/>
              <w:spacing w:after="0"/>
              <w:rPr>
                <w:sz w:val="20"/>
                <w:szCs w:val="20"/>
                <w:color w:val="auto"/>
              </w:rPr>
            </w:pPr>
            <w:r>
              <w:rPr>
                <w:rFonts w:ascii="Arial" w:cs="Arial" w:eastAsia="Arial" w:hAnsi="Arial"/>
                <w:sz w:val="16"/>
                <w:szCs w:val="16"/>
                <w:color w:val="auto"/>
              </w:rPr>
              <w:t>(43,399)</w:t>
            </w: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(6,455)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Investment and Other Income, Net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5"/>
          </w:tcPr>
          <w:p>
            <w:pPr>
              <w:jc w:val="right"/>
              <w:spacing w:after="0"/>
              <w:rPr>
                <w:sz w:val="20"/>
                <w:szCs w:val="20"/>
                <w:color w:val="auto"/>
              </w:rPr>
            </w:pPr>
            <w:r>
              <w:rPr>
                <w:rFonts w:ascii="Arial" w:cs="Arial" w:eastAsia="Arial" w:hAnsi="Arial"/>
                <w:sz w:val="16"/>
                <w:szCs w:val="16"/>
                <w:color w:val="auto"/>
              </w:rPr>
              <w:t>4,350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color w:val="auto"/>
                <w:w w:val="89"/>
              </w:rPr>
              <w:t>819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74"/>
              <w:spacing w:after="0"/>
              <w:rPr>
                <w:sz w:val="20"/>
                <w:szCs w:val="20"/>
                <w:color w:val="auto"/>
              </w:rPr>
            </w:pPr>
            <w:r>
              <w:rPr>
                <w:rFonts w:ascii="Arial" w:cs="Arial" w:eastAsia="Arial" w:hAnsi="Arial"/>
                <w:sz w:val="16"/>
                <w:szCs w:val="16"/>
                <w:color w:val="auto"/>
              </w:rPr>
              <w:t>530</w:t>
            </w:r>
          </w:p>
        </w:tc>
        <w:tc>
          <w:tcPr>
            <w:tcW w:w="8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5,259</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34"/>
              <w:spacing w:after="0"/>
              <w:rPr>
                <w:sz w:val="20"/>
                <w:szCs w:val="20"/>
                <w:color w:val="auto"/>
              </w:rPr>
            </w:pPr>
            <w:r>
              <w:rPr>
                <w:rFonts w:ascii="Arial" w:cs="Arial" w:eastAsia="Arial" w:hAnsi="Arial"/>
                <w:sz w:val="16"/>
                <w:szCs w:val="16"/>
                <w:color w:val="auto"/>
              </w:rPr>
              <w:t>(1,576)</w:t>
            </w: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9"/>
              <w:spacing w:after="0"/>
              <w:rPr>
                <w:sz w:val="20"/>
                <w:szCs w:val="20"/>
                <w:color w:val="auto"/>
              </w:rPr>
            </w:pPr>
            <w:r>
              <w:rPr>
                <w:rFonts w:ascii="Arial" w:cs="Arial" w:eastAsia="Arial" w:hAnsi="Arial"/>
                <w:sz w:val="16"/>
                <w:szCs w:val="16"/>
                <w:color w:val="auto"/>
              </w:rPr>
              <w:t>(1,796)</w:t>
            </w: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(1,337)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448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w w:val="88"/>
              </w:rPr>
              <w:t>(118,080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(81,550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9"/>
              </w:rPr>
              <w:t>(59,123</w:t>
            </w:r>
          </w:p>
        </w:tc>
        <w:tc>
          <w:tcPr>
            <w:tcW w:w="160" w:type="dxa"/>
            <w:vAlign w:val="bottom"/>
          </w:tcPr>
          <w:p>
            <w:pPr>
              <w:jc w:val="right"/>
              <w:ind w:right="34"/>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(44,799</w:t>
            </w:r>
          </w:p>
        </w:tc>
        <w:tc>
          <w:tcPr>
            <w:tcW w:w="160" w:type="dxa"/>
            <w:vAlign w:val="bottom"/>
            <w:gridSpan w:val="2"/>
          </w:tcPr>
          <w:p>
            <w:pPr>
              <w:jc w:val="right"/>
              <w:ind w:right="19"/>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(2,533</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tcPr>
          <w:p>
            <w:pPr>
              <w:spacing w:after="0"/>
              <w:rPr>
                <w:sz w:val="15"/>
                <w:szCs w:val="15"/>
                <w:color w:val="auto"/>
              </w:rPr>
            </w:pPr>
          </w:p>
        </w:tc>
        <w:tc>
          <w:tcPr>
            <w:tcW w:w="44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Basic and Diluted Net Loss Per Common Share</w:t>
            </w:r>
          </w:p>
        </w:tc>
        <w:tc>
          <w:tcPr>
            <w:tcW w:w="1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center"/>
              <w:spacing w:after="0" w:line="178" w:lineRule="exact"/>
              <w:rPr>
                <w:sz w:val="20"/>
                <w:szCs w:val="20"/>
                <w:color w:val="auto"/>
              </w:rPr>
            </w:pPr>
            <w:r>
              <w:rPr>
                <w:rFonts w:ascii="Arial" w:cs="Arial" w:eastAsia="Arial" w:hAnsi="Arial"/>
                <w:sz w:val="16"/>
                <w:szCs w:val="16"/>
                <w:color w:val="auto"/>
                <w:w w:val="89"/>
              </w:rPr>
              <w:t>$</w:t>
            </w:r>
          </w:p>
        </w:tc>
        <w:tc>
          <w:tcPr>
            <w:tcW w:w="640" w:type="dxa"/>
            <w:vAlign w:val="bottom"/>
            <w:gridSpan w:val="5"/>
            <w:shd w:val="clear" w:color="auto" w:fill="CCEEFF"/>
          </w:tcPr>
          <w:p>
            <w:pPr>
              <w:jc w:val="right"/>
              <w:spacing w:after="0" w:line="178" w:lineRule="exact"/>
              <w:rPr>
                <w:sz w:val="20"/>
                <w:szCs w:val="20"/>
                <w:color w:val="auto"/>
              </w:rPr>
            </w:pPr>
            <w:r>
              <w:rPr>
                <w:rFonts w:ascii="Arial" w:cs="Arial" w:eastAsia="Arial" w:hAnsi="Arial"/>
                <w:sz w:val="16"/>
                <w:szCs w:val="16"/>
                <w:color w:val="auto"/>
              </w:rPr>
              <w:t>(1.32)</w:t>
            </w:r>
          </w:p>
        </w:tc>
        <w:tc>
          <w:tcPr>
            <w:tcW w:w="180" w:type="dxa"/>
            <w:vAlign w:val="bottom"/>
            <w:gridSpan w:val="2"/>
            <w:shd w:val="clear" w:color="auto" w:fill="CCEEFF"/>
          </w:tcPr>
          <w:p>
            <w:pPr>
              <w:jc w:val="center"/>
              <w:ind w:left="22"/>
              <w:spacing w:after="0" w:line="178" w:lineRule="exact"/>
              <w:rPr>
                <w:sz w:val="20"/>
                <w:szCs w:val="20"/>
                <w:color w:val="auto"/>
              </w:rPr>
            </w:pPr>
            <w:r>
              <w:rPr>
                <w:rFonts w:ascii="Arial" w:cs="Arial" w:eastAsia="Arial" w:hAnsi="Arial"/>
                <w:sz w:val="16"/>
                <w:szCs w:val="16"/>
                <w:color w:val="auto"/>
                <w:w w:val="89"/>
              </w:rPr>
              <w:t>$</w:t>
            </w:r>
          </w:p>
        </w:tc>
        <w:tc>
          <w:tcPr>
            <w:tcW w:w="700" w:type="dxa"/>
            <w:vAlign w:val="bottom"/>
            <w:gridSpan w:val="4"/>
            <w:shd w:val="clear" w:color="auto" w:fill="CCEEFF"/>
          </w:tcPr>
          <w:p>
            <w:pPr>
              <w:jc w:val="right"/>
              <w:spacing w:after="0" w:line="178" w:lineRule="exact"/>
              <w:rPr>
                <w:sz w:val="20"/>
                <w:szCs w:val="20"/>
                <w:color w:val="auto"/>
              </w:rPr>
            </w:pPr>
            <w:r>
              <w:rPr>
                <w:rFonts w:ascii="Arial" w:cs="Arial" w:eastAsia="Arial" w:hAnsi="Arial"/>
                <w:sz w:val="16"/>
                <w:szCs w:val="16"/>
                <w:color w:val="auto"/>
              </w:rPr>
              <w:t>(1.02)</w:t>
            </w:r>
          </w:p>
        </w:tc>
        <w:tc>
          <w:tcPr>
            <w:tcW w:w="220" w:type="dxa"/>
            <w:vAlign w:val="bottom"/>
            <w:gridSpan w:val="2"/>
            <w:shd w:val="clear" w:color="auto" w:fill="CCEEFF"/>
          </w:tcPr>
          <w:p>
            <w:pPr>
              <w:ind w:left="80"/>
              <w:spacing w:after="0" w:line="178" w:lineRule="exact"/>
              <w:rPr>
                <w:sz w:val="20"/>
                <w:szCs w:val="20"/>
                <w:color w:val="auto"/>
              </w:rPr>
            </w:pPr>
            <w:r>
              <w:rPr>
                <w:rFonts w:ascii="Arial" w:cs="Arial" w:eastAsia="Arial" w:hAnsi="Arial"/>
                <w:sz w:val="16"/>
                <w:szCs w:val="16"/>
                <w:color w:val="auto"/>
              </w:rPr>
              <w:t>$</w:t>
            </w:r>
          </w:p>
        </w:tc>
        <w:tc>
          <w:tcPr>
            <w:tcW w:w="720" w:type="dxa"/>
            <w:vAlign w:val="bottom"/>
            <w:gridSpan w:val="3"/>
            <w:shd w:val="clear" w:color="auto" w:fill="CCEEFF"/>
          </w:tcPr>
          <w:p>
            <w:pPr>
              <w:jc w:val="right"/>
              <w:ind w:right="34"/>
              <w:spacing w:after="0" w:line="178" w:lineRule="exact"/>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4"/>
            <w:shd w:val="clear" w:color="auto" w:fill="CCEEFF"/>
          </w:tcPr>
          <w:p>
            <w:pPr>
              <w:jc w:val="right"/>
              <w:ind w:right="19"/>
              <w:spacing w:after="0" w:line="178" w:lineRule="exact"/>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(0.08)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60" w:type="dxa"/>
            <w:vAlign w:val="bottom"/>
            <w:gridSpan w:val="2"/>
            <w:vMerge w:val="restart"/>
          </w:tcPr>
          <w:p>
            <w:pPr>
              <w:spacing w:after="0"/>
              <w:rPr>
                <w:sz w:val="20"/>
                <w:szCs w:val="20"/>
                <w:color w:val="auto"/>
              </w:rPr>
            </w:pPr>
            <w:r>
              <w:rPr>
                <w:rFonts w:ascii="Arial" w:cs="Arial" w:eastAsia="Arial" w:hAnsi="Arial"/>
                <w:sz w:val="16"/>
                <w:szCs w:val="16"/>
                <w:color w:val="auto"/>
                <w:w w:val="95"/>
              </w:rPr>
              <w:t>Shares Used in Calculating Basic and Diluted Net Loss Per Common</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4480" w:type="dxa"/>
            <w:vAlign w:val="bottom"/>
          </w:tcPr>
          <w:p>
            <w:pPr>
              <w:ind w:left="180"/>
              <w:spacing w:after="0"/>
              <w:rPr>
                <w:sz w:val="20"/>
                <w:szCs w:val="20"/>
                <w:color w:val="auto"/>
              </w:rPr>
            </w:pPr>
            <w:r>
              <w:rPr>
                <w:rFonts w:ascii="Arial" w:cs="Arial" w:eastAsia="Arial" w:hAnsi="Arial"/>
                <w:sz w:val="16"/>
                <w:szCs w:val="16"/>
                <w:color w:val="auto"/>
              </w:rPr>
              <w:t>Share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5"/>
          </w:tcPr>
          <w:p>
            <w:pPr>
              <w:jc w:val="right"/>
              <w:spacing w:after="0"/>
              <w:rPr>
                <w:sz w:val="20"/>
                <w:szCs w:val="20"/>
                <w:color w:val="auto"/>
              </w:rPr>
            </w:pPr>
            <w:r>
              <w:rPr>
                <w:rFonts w:ascii="Arial" w:cs="Arial" w:eastAsia="Arial" w:hAnsi="Arial"/>
                <w:sz w:val="16"/>
                <w:szCs w:val="16"/>
                <w:color w:val="auto"/>
              </w:rPr>
              <w:t>89,399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79,777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74"/>
              <w:spacing w:after="0"/>
              <w:rPr>
                <w:sz w:val="20"/>
                <w:szCs w:val="20"/>
                <w:color w:val="auto"/>
              </w:rPr>
            </w:pPr>
            <w:r>
              <w:rPr>
                <w:rFonts w:ascii="Arial" w:cs="Arial" w:eastAsia="Arial" w:hAnsi="Arial"/>
                <w:sz w:val="16"/>
                <w:szCs w:val="16"/>
                <w:color w:val="auto"/>
              </w:rPr>
              <w:t>57,713</w:t>
            </w:r>
          </w:p>
        </w:tc>
        <w:tc>
          <w:tcPr>
            <w:tcW w:w="8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39,501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31,868</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6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3"/>
                <w:szCs w:val="13"/>
                <w:b w:val="1"/>
                <w:bCs w:val="1"/>
                <w:color w:val="auto"/>
                <w:w w:val="89"/>
              </w:rPr>
              <w:t>December 31,</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2"/>
          </w:tcPr>
          <w:p>
            <w:pPr>
              <w:jc w:val="center"/>
              <w:spacing w:after="0" w:line="130" w:lineRule="exact"/>
              <w:rPr>
                <w:sz w:val="20"/>
                <w:szCs w:val="20"/>
                <w:color w:val="auto"/>
              </w:rPr>
            </w:pPr>
            <w:r>
              <w:rPr>
                <w:rFonts w:ascii="Arial" w:cs="Arial" w:eastAsia="Arial" w:hAnsi="Arial"/>
                <w:sz w:val="13"/>
                <w:szCs w:val="13"/>
                <w:b w:val="1"/>
                <w:bCs w:val="1"/>
                <w:color w:val="auto"/>
                <w:w w:val="89"/>
              </w:rPr>
              <w:t>2014</w:t>
            </w: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3"/>
          </w:tcPr>
          <w:p>
            <w:pPr>
              <w:jc w:val="center"/>
              <w:ind w:right="160"/>
              <w:spacing w:after="0" w:line="130"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ind w:left="80"/>
              <w:spacing w:after="0" w:line="130" w:lineRule="exact"/>
              <w:rPr>
                <w:sz w:val="20"/>
                <w:szCs w:val="20"/>
                <w:color w:val="auto"/>
              </w:rPr>
            </w:pPr>
            <w:r>
              <w:rPr>
                <w:rFonts w:ascii="Arial" w:cs="Arial" w:eastAsia="Arial" w:hAnsi="Arial"/>
                <w:sz w:val="13"/>
                <w:szCs w:val="13"/>
                <w:b w:val="1"/>
                <w:bCs w:val="1"/>
                <w:color w:val="auto"/>
              </w:rPr>
              <w:t>2012</w:t>
            </w: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201"/>
              <w:spacing w:after="0" w:line="130" w:lineRule="exact"/>
              <w:rPr>
                <w:sz w:val="20"/>
                <w:szCs w:val="20"/>
                <w:color w:val="auto"/>
              </w:rPr>
            </w:pPr>
            <w:r>
              <w:rPr>
                <w:rFonts w:ascii="Arial" w:cs="Arial" w:eastAsia="Arial" w:hAnsi="Arial"/>
                <w:sz w:val="13"/>
                <w:szCs w:val="13"/>
                <w:b w:val="1"/>
                <w:bCs w:val="1"/>
                <w:color w:val="auto"/>
                <w:w w:val="75"/>
              </w:rPr>
              <w:t>2011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1"/>
              <w:spacing w:after="0" w:line="130" w:lineRule="exact"/>
              <w:rPr>
                <w:sz w:val="20"/>
                <w:szCs w:val="20"/>
                <w:color w:val="auto"/>
              </w:rPr>
            </w:pPr>
            <w:r>
              <w:rPr>
                <w:rFonts w:ascii="Arial" w:cs="Arial" w:eastAsia="Arial" w:hAnsi="Arial"/>
                <w:sz w:val="13"/>
                <w:szCs w:val="13"/>
                <w:b w:val="1"/>
                <w:bCs w:val="1"/>
                <w:color w:val="auto"/>
                <w:w w:val="96"/>
              </w:rPr>
              <w:t>2010</w:t>
            </w:r>
          </w:p>
        </w:tc>
        <w:tc>
          <w:tcPr>
            <w:tcW w:w="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180,494</w:t>
            </w:r>
          </w:p>
        </w:tc>
        <w:tc>
          <w:tcPr>
            <w:tcW w:w="26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284,839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67,429</w:t>
            </w:r>
          </w:p>
        </w:tc>
        <w:tc>
          <w:tcPr>
            <w:tcW w:w="160" w:type="dxa"/>
            <w:vAlign w:val="bottom"/>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40,386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42,739</w:t>
            </w:r>
          </w:p>
        </w:tc>
        <w:tc>
          <w:tcPr>
            <w:tcW w:w="11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17"/>
                <w:szCs w:val="17"/>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6"/>
                <w:szCs w:val="16"/>
                <w:color w:val="auto"/>
              </w:rPr>
              <w:t>248,014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w w:val="89"/>
              </w:rPr>
              <w:t>347,095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ind w:right="180"/>
              <w:spacing w:after="0"/>
              <w:rPr>
                <w:sz w:val="20"/>
                <w:szCs w:val="20"/>
                <w:color w:val="auto"/>
              </w:rPr>
            </w:pPr>
            <w:r>
              <w:rPr>
                <w:rFonts w:ascii="Arial" w:cs="Arial" w:eastAsia="Arial" w:hAnsi="Arial"/>
                <w:sz w:val="16"/>
                <w:szCs w:val="16"/>
                <w:color w:val="auto"/>
              </w:rPr>
              <w:t>125,541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97,994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w w:val="96"/>
              </w:rPr>
              <w:t>109,943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Long Term Liabilities</w:t>
            </w:r>
          </w:p>
        </w:tc>
        <w:tc>
          <w:tcPr>
            <w:tcW w:w="1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11,863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6,950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12,082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14,480</w:t>
            </w:r>
          </w:p>
        </w:tc>
        <w:tc>
          <w:tcPr>
            <w:tcW w:w="11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7"/>
                <w:szCs w:val="17"/>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6"/>
                <w:szCs w:val="16"/>
                <w:color w:val="auto"/>
                <w:w w:val="93"/>
              </w:rPr>
              <w:t>(463,759)</w:t>
            </w:r>
          </w:p>
        </w:tc>
        <w:tc>
          <w:tcPr>
            <w:tcW w:w="1000" w:type="dxa"/>
            <w:vAlign w:val="bottom"/>
            <w:gridSpan w:val="7"/>
          </w:tcPr>
          <w:p>
            <w:pPr>
              <w:jc w:val="right"/>
              <w:ind w:right="3"/>
              <w:spacing w:after="0"/>
              <w:rPr>
                <w:sz w:val="20"/>
                <w:szCs w:val="20"/>
                <w:color w:val="auto"/>
              </w:rPr>
            </w:pPr>
            <w:r>
              <w:rPr>
                <w:rFonts w:ascii="Arial" w:cs="Arial" w:eastAsia="Arial" w:hAnsi="Arial"/>
                <w:sz w:val="16"/>
                <w:szCs w:val="16"/>
                <w:color w:val="auto"/>
              </w:rPr>
              <w:t>(345,679)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6"/>
                <w:szCs w:val="16"/>
                <w:color w:val="auto"/>
                <w:w w:val="93"/>
              </w:rPr>
              <w:t>(264,129)</w:t>
            </w:r>
          </w:p>
        </w:tc>
        <w:tc>
          <w:tcPr>
            <w:tcW w:w="16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w w:val="93"/>
              </w:rPr>
              <w:t>(205,006)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w w:val="90"/>
              </w:rPr>
              <w:t>(160,207)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211,660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9"/>
              </w:rPr>
              <w:t>319,795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95,774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68,722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75,255</w:t>
            </w:r>
          </w:p>
        </w:tc>
        <w:tc>
          <w:tcPr>
            <w:tcW w:w="11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1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78"/>
              </w:rPr>
              <w:t>46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40" w:type="dxa"/>
            <w:vAlign w:val="bottom"/>
            <w:tcBorders>
              <w:bottom w:val="single" w:sz="8" w:color="808080"/>
            </w:tcBorders>
          </w:tcPr>
          <w:p>
            <w:pPr>
              <w:spacing w:after="0"/>
              <w:rPr>
                <w:sz w:val="18"/>
                <w:szCs w:val="18"/>
                <w:color w:val="auto"/>
              </w:rPr>
            </w:pPr>
          </w:p>
        </w:tc>
        <w:tc>
          <w:tcPr>
            <w:tcW w:w="44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0" w:lineRule="exact"/>
        <w:rPr>
          <w:sz w:val="20"/>
          <w:szCs w:val="20"/>
          <w:color w:val="auto"/>
        </w:rPr>
      </w:pPr>
    </w:p>
    <w:p>
      <w:pPr>
        <w:ind w:right="120" w:firstLine="322"/>
        <w:spacing w:after="0" w:line="294" w:lineRule="auto"/>
        <w:rPr>
          <w:sz w:val="20"/>
          <w:szCs w:val="20"/>
          <w:color w:val="auto"/>
        </w:rPr>
      </w:pPr>
      <w:r>
        <w:rPr>
          <w:rFonts w:ascii="Arial" w:cs="Arial" w:eastAsia="Arial" w:hAnsi="Arial"/>
          <w:sz w:val="15"/>
          <w:szCs w:val="15"/>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w:t>
      </w:r>
    </w:p>
    <w:p>
      <w:pPr>
        <w:spacing w:after="0" w:line="155" w:lineRule="exact"/>
        <w:rPr>
          <w:sz w:val="20"/>
          <w:szCs w:val="20"/>
          <w:color w:val="auto"/>
        </w:rPr>
      </w:pPr>
    </w:p>
    <w:p>
      <w:pPr>
        <w:ind w:right="20" w:firstLine="325"/>
        <w:spacing w:after="0" w:line="265" w:lineRule="auto"/>
        <w:rPr>
          <w:sz w:val="20"/>
          <w:szCs w:val="20"/>
          <w:color w:val="auto"/>
        </w:rPr>
      </w:pPr>
      <w:r>
        <w:rPr>
          <w:rFonts w:ascii="Arial" w:cs="Arial" w:eastAsia="Arial" w:hAnsi="Arial"/>
          <w:sz w:val="16"/>
          <w:szCs w:val="16"/>
          <w:color w:val="auto"/>
        </w:rPr>
        <w:t>Our lead drug candidates include rindopepimut (also referred to as Rintega® and CDX-110) and glembatumumab vedotin (also referred to as CDX-011). Rindopepimut is a targeted immunotherapeutic in a pivotal Phase 3 study for the treatment of front-line glioblastoma and a Phase 2 study for the treatment of recurrent glioblastoma. Glembatumumab vedotin is a targeted antibody-drug conjugate in a randomized, Phase 2b study for the treatment of triple negative breast cancer and a Phase 2 study for the treatment of metastatic melanoma. We also have a number of earlier stage drug candidates in clinical development, including varlilumab (also referred to as CDX-1127), a fully human therapeutic monoclonal antibody for cancer indications, CDX-1401, a targeted immunotherapeutic aimed at antigen presenting cells, or APC, for cancer indications and CDX-301, an immune cell mobilizing agent and dendritic cell growth factor. Our drug candidates address market opportunities for which we believe current therapies are inadequate or non-existent.</w:t>
      </w:r>
    </w:p>
    <w:p>
      <w:pPr>
        <w:spacing w:after="0" w:line="178" w:lineRule="exact"/>
        <w:rPr>
          <w:sz w:val="20"/>
          <w:szCs w:val="20"/>
          <w:color w:val="auto"/>
        </w:rPr>
      </w:pPr>
    </w:p>
    <w:p>
      <w:pPr>
        <w:ind w:firstLine="322"/>
        <w:spacing w:after="0" w:line="270" w:lineRule="auto"/>
        <w:rPr>
          <w:sz w:val="20"/>
          <w:szCs w:val="20"/>
          <w:color w:val="auto"/>
        </w:rPr>
      </w:pPr>
      <w:r>
        <w:rPr>
          <w:rFonts w:ascii="Arial" w:cs="Arial" w:eastAsia="Arial" w:hAnsi="Arial"/>
          <w:sz w:val="16"/>
          <w:szCs w:val="16"/>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includes the programs that we currently believe are significant to our business: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1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Product (generic)</w:t>
            </w:r>
          </w:p>
        </w:tc>
        <w:tc>
          <w:tcPr>
            <w:tcW w:w="3160" w:type="dxa"/>
            <w:vAlign w:val="bottom"/>
          </w:tcPr>
          <w:p>
            <w:pPr>
              <w:spacing w:after="0"/>
              <w:rPr>
                <w:sz w:val="13"/>
                <w:szCs w:val="13"/>
                <w:color w:val="auto"/>
              </w:rPr>
            </w:pPr>
          </w:p>
        </w:tc>
        <w:tc>
          <w:tcPr>
            <w:tcW w:w="3520" w:type="dxa"/>
            <w:vAlign w:val="bottom"/>
            <w:tcBorders>
              <w:bottom w:val="single" w:sz="8" w:color="auto"/>
            </w:tcBorders>
          </w:tcPr>
          <w:p>
            <w:pPr>
              <w:ind w:left="1340"/>
              <w:spacing w:after="0"/>
              <w:rPr>
                <w:sz w:val="20"/>
                <w:szCs w:val="20"/>
                <w:color w:val="auto"/>
              </w:rPr>
            </w:pPr>
            <w:r>
              <w:rPr>
                <w:rFonts w:ascii="Arial" w:cs="Arial" w:eastAsia="Arial" w:hAnsi="Arial"/>
                <w:sz w:val="13"/>
                <w:szCs w:val="13"/>
                <w:b w:val="1"/>
                <w:bCs w:val="1"/>
                <w:color w:val="auto"/>
              </w:rPr>
              <w:t>Indication/Field</w:t>
            </w:r>
          </w:p>
        </w:tc>
        <w:tc>
          <w:tcPr>
            <w:tcW w:w="140" w:type="dxa"/>
            <w:vAlign w:val="bottom"/>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Partner</w:t>
            </w:r>
          </w:p>
        </w:tc>
        <w:tc>
          <w:tcPr>
            <w:tcW w:w="160" w:type="dxa"/>
            <w:vAlign w:val="bottom"/>
          </w:tcPr>
          <w:p>
            <w:pPr>
              <w:spacing w:after="0"/>
              <w:rPr>
                <w:sz w:val="13"/>
                <w:szCs w:val="13"/>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Status</w:t>
            </w:r>
          </w:p>
        </w:tc>
      </w:tr>
      <w:tr>
        <w:trPr>
          <w:trHeight w:val="193"/>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CLINICAL</w:t>
            </w:r>
          </w:p>
        </w:tc>
        <w:tc>
          <w:tcPr>
            <w:tcW w:w="3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00"/>
        </w:trPr>
        <w:tc>
          <w:tcPr>
            <w:tcW w:w="4200" w:type="dxa"/>
            <w:vAlign w:val="bottom"/>
            <w:gridSpan w:val="2"/>
          </w:tcPr>
          <w:p>
            <w:pPr>
              <w:ind w:left="160"/>
              <w:spacing w:after="0"/>
              <w:rPr>
                <w:sz w:val="20"/>
                <w:szCs w:val="20"/>
                <w:color w:val="auto"/>
              </w:rPr>
            </w:pPr>
            <w:r>
              <w:rPr>
                <w:rFonts w:ascii="Arial" w:cs="Arial" w:eastAsia="Arial" w:hAnsi="Arial"/>
                <w:sz w:val="16"/>
                <w:szCs w:val="16"/>
                <w:color w:val="auto"/>
              </w:rPr>
              <w:t>Rindopepimut</w:t>
            </w:r>
          </w:p>
        </w:tc>
        <w:tc>
          <w:tcPr>
            <w:tcW w:w="3520" w:type="dxa"/>
            <w:vAlign w:val="bottom"/>
          </w:tcPr>
          <w:p>
            <w:pPr>
              <w:spacing w:after="0"/>
              <w:rPr>
                <w:sz w:val="20"/>
                <w:szCs w:val="20"/>
                <w:color w:val="auto"/>
              </w:rPr>
            </w:pPr>
            <w:r>
              <w:rPr>
                <w:rFonts w:ascii="Arial" w:cs="Arial" w:eastAsia="Arial" w:hAnsi="Arial"/>
                <w:sz w:val="16"/>
                <w:szCs w:val="16"/>
                <w:color w:val="auto"/>
              </w:rPr>
              <w:t>Front-line glioblastoma</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6"/>
                <w:szCs w:val="16"/>
                <w:color w:val="auto"/>
              </w:rPr>
              <w:t>Phase 3</w:t>
            </w:r>
          </w:p>
        </w:tc>
      </w:tr>
      <w:tr>
        <w:trPr>
          <w:trHeight w:val="20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Glembatumumab vedotin</w:t>
            </w: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Metastatic breast cancer</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6"/>
                <w:szCs w:val="16"/>
                <w:color w:val="auto"/>
              </w:rPr>
              <w:t>Phase 2b</w:t>
            </w:r>
          </w:p>
        </w:tc>
      </w:tr>
      <w:tr>
        <w:trPr>
          <w:trHeight w:val="200"/>
        </w:trPr>
        <w:tc>
          <w:tcPr>
            <w:tcW w:w="4200" w:type="dxa"/>
            <w:vAlign w:val="bottom"/>
            <w:gridSpan w:val="2"/>
          </w:tcPr>
          <w:p>
            <w:pPr>
              <w:ind w:left="160"/>
              <w:spacing w:after="0"/>
              <w:rPr>
                <w:sz w:val="20"/>
                <w:szCs w:val="20"/>
                <w:color w:val="auto"/>
              </w:rPr>
            </w:pPr>
            <w:r>
              <w:rPr>
                <w:rFonts w:ascii="Arial" w:cs="Arial" w:eastAsia="Arial" w:hAnsi="Arial"/>
                <w:sz w:val="16"/>
                <w:szCs w:val="16"/>
                <w:color w:val="auto"/>
              </w:rPr>
              <w:t>Rindopepimut</w:t>
            </w:r>
          </w:p>
        </w:tc>
        <w:tc>
          <w:tcPr>
            <w:tcW w:w="3520" w:type="dxa"/>
            <w:vAlign w:val="bottom"/>
          </w:tcPr>
          <w:p>
            <w:pPr>
              <w:spacing w:after="0"/>
              <w:rPr>
                <w:sz w:val="20"/>
                <w:szCs w:val="20"/>
                <w:color w:val="auto"/>
              </w:rPr>
            </w:pPr>
            <w:r>
              <w:rPr>
                <w:rFonts w:ascii="Arial" w:cs="Arial" w:eastAsia="Arial" w:hAnsi="Arial"/>
                <w:sz w:val="16"/>
                <w:szCs w:val="16"/>
                <w:color w:val="auto"/>
              </w:rPr>
              <w:t>Recurrent glioblastoma</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6"/>
                <w:szCs w:val="16"/>
                <w:color w:val="auto"/>
              </w:rPr>
              <w:t>Phase 2</w:t>
            </w:r>
          </w:p>
        </w:tc>
      </w:tr>
      <w:tr>
        <w:trPr>
          <w:trHeight w:val="20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Glembatumumab vedotin</w:t>
            </w: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Metastatic melanoma</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6"/>
                <w:szCs w:val="16"/>
                <w:color w:val="auto"/>
              </w:rPr>
              <w:t>Phase 2</w:t>
            </w:r>
          </w:p>
        </w:tc>
      </w:tr>
      <w:tr>
        <w:trPr>
          <w:trHeight w:val="200"/>
        </w:trPr>
        <w:tc>
          <w:tcPr>
            <w:tcW w:w="4200" w:type="dxa"/>
            <w:vAlign w:val="bottom"/>
            <w:gridSpan w:val="2"/>
          </w:tcPr>
          <w:p>
            <w:pPr>
              <w:ind w:left="160"/>
              <w:spacing w:after="0"/>
              <w:rPr>
                <w:sz w:val="20"/>
                <w:szCs w:val="20"/>
                <w:color w:val="auto"/>
              </w:rPr>
            </w:pPr>
            <w:r>
              <w:rPr>
                <w:rFonts w:ascii="Arial" w:cs="Arial" w:eastAsia="Arial" w:hAnsi="Arial"/>
                <w:sz w:val="16"/>
                <w:szCs w:val="16"/>
                <w:color w:val="auto"/>
              </w:rPr>
              <w:t>Varlilumab</w:t>
            </w:r>
          </w:p>
        </w:tc>
        <w:tc>
          <w:tcPr>
            <w:tcW w:w="3520" w:type="dxa"/>
            <w:vAlign w:val="bottom"/>
          </w:tcPr>
          <w:p>
            <w:pPr>
              <w:spacing w:after="0"/>
              <w:rPr>
                <w:sz w:val="20"/>
                <w:szCs w:val="20"/>
                <w:color w:val="auto"/>
              </w:rPr>
            </w:pPr>
            <w:r>
              <w:rPr>
                <w:rFonts w:ascii="Arial" w:cs="Arial" w:eastAsia="Arial" w:hAnsi="Arial"/>
                <w:sz w:val="16"/>
                <w:szCs w:val="16"/>
                <w:color w:val="auto"/>
              </w:rPr>
              <w:t>Lymphoma/leukemia and solid tumors</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6"/>
                <w:szCs w:val="16"/>
                <w:color w:val="auto"/>
              </w:rPr>
              <w:t>Phase 1</w:t>
            </w:r>
          </w:p>
        </w:tc>
      </w:tr>
      <w:tr>
        <w:trPr>
          <w:trHeight w:val="20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Varlilumab</w:t>
            </w: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Multiple solid tumors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6"/>
                <w:szCs w:val="16"/>
                <w:color w:val="auto"/>
                <w:w w:val="97"/>
              </w:rPr>
              <w:t>Phase 1/2</w:t>
            </w:r>
          </w:p>
        </w:tc>
      </w:tr>
      <w:tr>
        <w:trPr>
          <w:trHeight w:val="200"/>
        </w:trPr>
        <w:tc>
          <w:tcPr>
            <w:tcW w:w="4200" w:type="dxa"/>
            <w:vAlign w:val="bottom"/>
            <w:gridSpan w:val="2"/>
          </w:tcPr>
          <w:p>
            <w:pPr>
              <w:ind w:left="160"/>
              <w:spacing w:after="0"/>
              <w:rPr>
                <w:sz w:val="20"/>
                <w:szCs w:val="20"/>
                <w:color w:val="auto"/>
              </w:rPr>
            </w:pPr>
            <w:r>
              <w:rPr>
                <w:rFonts w:ascii="Arial" w:cs="Arial" w:eastAsia="Arial" w:hAnsi="Arial"/>
                <w:sz w:val="16"/>
                <w:szCs w:val="16"/>
                <w:color w:val="auto"/>
              </w:rPr>
              <w:t>CDX-1401</w:t>
            </w:r>
          </w:p>
        </w:tc>
        <w:tc>
          <w:tcPr>
            <w:tcW w:w="3520" w:type="dxa"/>
            <w:vAlign w:val="bottom"/>
          </w:tcPr>
          <w:p>
            <w:pPr>
              <w:spacing w:after="0"/>
              <w:rPr>
                <w:sz w:val="20"/>
                <w:szCs w:val="20"/>
                <w:color w:val="auto"/>
              </w:rPr>
            </w:pPr>
            <w:r>
              <w:rPr>
                <w:rFonts w:ascii="Arial" w:cs="Arial" w:eastAsia="Arial" w:hAnsi="Arial"/>
                <w:sz w:val="16"/>
                <w:szCs w:val="16"/>
                <w:color w:val="auto"/>
              </w:rPr>
              <w:t>Multiple solid tumors</w:t>
            </w:r>
          </w:p>
        </w:tc>
        <w:tc>
          <w:tcPr>
            <w:tcW w:w="14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6"/>
                <w:szCs w:val="16"/>
                <w:color w:val="auto"/>
              </w:rPr>
              <w:t>Phase 1</w:t>
            </w:r>
          </w:p>
        </w:tc>
      </w:tr>
      <w:tr>
        <w:trPr>
          <w:trHeight w:val="20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CDX-301</w:t>
            </w: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w w:val="94"/>
              </w:rPr>
              <w:t>Allogeneic Hematopoietic Stem Cell Transplantation</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6"/>
                <w:szCs w:val="16"/>
                <w:color w:val="auto"/>
              </w:rPr>
              <w:t>Phase 1</w:t>
            </w:r>
          </w:p>
        </w:tc>
      </w:tr>
      <w:tr>
        <w:trPr>
          <w:trHeight w:val="200"/>
        </w:trPr>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PRECLINICAL</w:t>
            </w:r>
          </w:p>
        </w:tc>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42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CDX-014</w:t>
            </w: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Ovarian and renal cancer</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6"/>
                <w:szCs w:val="16"/>
                <w:color w:val="auto"/>
                <w:w w:val="95"/>
              </w:rPr>
              <w:t>Preclinical</w:t>
            </w:r>
          </w:p>
        </w:tc>
      </w:tr>
    </w:tbl>
    <w:p>
      <w:pPr>
        <w:spacing w:after="0" w:line="191" w:lineRule="exact"/>
        <w:rPr>
          <w:sz w:val="20"/>
          <w:szCs w:val="20"/>
          <w:color w:val="auto"/>
        </w:rPr>
      </w:pPr>
    </w:p>
    <w:p>
      <w:pPr>
        <w:ind w:right="180" w:firstLine="322"/>
        <w:spacing w:after="0" w:line="302" w:lineRule="auto"/>
        <w:rPr>
          <w:sz w:val="20"/>
          <w:szCs w:val="20"/>
          <w:color w:val="auto"/>
        </w:rPr>
      </w:pPr>
      <w:r>
        <w:rPr>
          <w:rFonts w:ascii="Arial" w:cs="Arial" w:eastAsia="Arial" w:hAnsi="Arial"/>
          <w:sz w:val="15"/>
          <w:szCs w:val="15"/>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candidate. Our estimates that clinical trials of the type we generally conduct are typically completed over the following timelines:</w:t>
      </w:r>
    </w:p>
    <w:p>
      <w:pPr>
        <w:spacing w:after="0" w:line="20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Estimated</w:t>
            </w:r>
          </w:p>
        </w:tc>
      </w:tr>
      <w:tr>
        <w:trPr>
          <w:trHeight w:val="138"/>
        </w:trPr>
        <w:tc>
          <w:tcPr>
            <w:tcW w:w="84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6"/>
              </w:rPr>
              <w:t>Completion</w:t>
            </w:r>
          </w:p>
        </w:tc>
      </w:tr>
      <w:tr>
        <w:trPr>
          <w:trHeight w:val="150"/>
        </w:trPr>
        <w:tc>
          <w:tcPr>
            <w:tcW w:w="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Clinical Phase</w:t>
            </w:r>
          </w:p>
        </w:tc>
        <w:tc>
          <w:tcPr>
            <w:tcW w:w="63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Period</w:t>
            </w:r>
          </w:p>
        </w:tc>
      </w:tr>
      <w:tr>
        <w:trPr>
          <w:trHeight w:val="193"/>
        </w:trPr>
        <w:tc>
          <w:tcPr>
            <w:tcW w:w="840" w:type="dxa"/>
            <w:vAlign w:val="bottom"/>
            <w:shd w:val="clear" w:color="auto" w:fill="CCEEFF"/>
          </w:tcPr>
          <w:p>
            <w:pPr>
              <w:spacing w:after="0"/>
              <w:rPr>
                <w:sz w:val="20"/>
                <w:szCs w:val="20"/>
                <w:color w:val="auto"/>
              </w:rPr>
            </w:pPr>
            <w:r>
              <w:rPr>
                <w:rFonts w:ascii="Arial" w:cs="Arial" w:eastAsia="Arial" w:hAnsi="Arial"/>
                <w:sz w:val="16"/>
                <w:szCs w:val="16"/>
                <w:color w:val="auto"/>
              </w:rPr>
              <w:t>Phase 1</w:t>
            </w:r>
          </w:p>
        </w:tc>
        <w:tc>
          <w:tcPr>
            <w:tcW w:w="634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1 - 2 Years</w:t>
            </w:r>
          </w:p>
        </w:tc>
      </w:tr>
      <w:tr>
        <w:trPr>
          <w:trHeight w:val="200"/>
        </w:trPr>
        <w:tc>
          <w:tcPr>
            <w:tcW w:w="840" w:type="dxa"/>
            <w:vAlign w:val="bottom"/>
          </w:tcPr>
          <w:p>
            <w:pPr>
              <w:spacing w:after="0"/>
              <w:rPr>
                <w:sz w:val="20"/>
                <w:szCs w:val="20"/>
                <w:color w:val="auto"/>
              </w:rPr>
            </w:pPr>
            <w:r>
              <w:rPr>
                <w:rFonts w:ascii="Arial" w:cs="Arial" w:eastAsia="Arial" w:hAnsi="Arial"/>
                <w:sz w:val="16"/>
                <w:szCs w:val="16"/>
                <w:color w:val="auto"/>
              </w:rPr>
              <w:t>Phase 2</w:t>
            </w:r>
          </w:p>
        </w:tc>
        <w:tc>
          <w:tcPr>
            <w:tcW w:w="63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1 - 5 Years</w:t>
            </w:r>
          </w:p>
        </w:tc>
      </w:tr>
      <w:tr>
        <w:trPr>
          <w:trHeight w:val="200"/>
        </w:trPr>
        <w:tc>
          <w:tcPr>
            <w:tcW w:w="840" w:type="dxa"/>
            <w:vAlign w:val="bottom"/>
            <w:shd w:val="clear" w:color="auto" w:fill="CCEEFF"/>
          </w:tcPr>
          <w:p>
            <w:pPr>
              <w:spacing w:after="0"/>
              <w:rPr>
                <w:sz w:val="20"/>
                <w:szCs w:val="20"/>
                <w:color w:val="auto"/>
              </w:rPr>
            </w:pPr>
            <w:r>
              <w:rPr>
                <w:rFonts w:ascii="Arial" w:cs="Arial" w:eastAsia="Arial" w:hAnsi="Arial"/>
                <w:sz w:val="16"/>
                <w:szCs w:val="16"/>
                <w:color w:val="auto"/>
              </w:rPr>
              <w:t>Phase 3</w:t>
            </w:r>
          </w:p>
        </w:tc>
        <w:tc>
          <w:tcPr>
            <w:tcW w:w="634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1 - 5 Years</w:t>
            </w:r>
          </w:p>
        </w:tc>
      </w:tr>
    </w:tbl>
    <w:p>
      <w:pPr>
        <w:spacing w:after="0" w:line="191" w:lineRule="exact"/>
        <w:rPr>
          <w:sz w:val="20"/>
          <w:szCs w:val="20"/>
          <w:color w:val="auto"/>
        </w:rPr>
      </w:pPr>
    </w:p>
    <w:p>
      <w:pPr>
        <w:ind w:right="320" w:firstLine="322"/>
        <w:spacing w:after="0" w:line="290" w:lineRule="auto"/>
        <w:rPr>
          <w:sz w:val="20"/>
          <w:szCs w:val="20"/>
          <w:color w:val="auto"/>
        </w:rPr>
      </w:pPr>
      <w:r>
        <w:rPr>
          <w:rFonts w:ascii="Arial" w:cs="Arial" w:eastAsia="Arial" w:hAnsi="Arial"/>
          <w:sz w:val="16"/>
          <w:szCs w:val="16"/>
          <w:color w:val="auto"/>
        </w:rPr>
        <w:t>The duration and the cost of clinical trials may vary significantly over the life of a project as a result of differences arising during the clinical trial protocol, including, among others, the following:</w:t>
      </w:r>
    </w:p>
    <w:p>
      <w:pPr>
        <w:spacing w:after="0" w:line="168" w:lineRule="exact"/>
        <w:rPr>
          <w:sz w:val="20"/>
          <w:szCs w:val="20"/>
          <w:color w:val="auto"/>
        </w:rPr>
      </w:pPr>
    </w:p>
    <w:p>
      <w:pPr>
        <w:ind w:left="1000" w:hanging="500"/>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number of patients that ultimately participate in the trial;</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duration of patient follow-up that seems appropriate in view of results;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number of clinical sites included in the trials;</w:t>
      </w:r>
    </w:p>
    <w:p>
      <w:pPr>
        <w:spacing w:after="0" w:line="228" w:lineRule="exact"/>
        <w:rPr>
          <w:rFonts w:ascii="Arial" w:cs="Arial" w:eastAsia="Arial" w:hAnsi="Arial"/>
          <w:sz w:val="16"/>
          <w:szCs w:val="16"/>
          <w:color w:val="auto"/>
        </w:rPr>
      </w:pPr>
    </w:p>
    <w:p>
      <w:pPr>
        <w:ind w:left="1000" w:hanging="500"/>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length of time required to enroll suitable patient subjects; and</w:t>
      </w:r>
    </w:p>
    <w:p>
      <w:pPr>
        <w:spacing w:after="0" w:line="241" w:lineRule="exact"/>
        <w:rPr>
          <w:rFonts w:ascii="Arial" w:cs="Arial" w:eastAsia="Arial" w:hAnsi="Arial"/>
          <w:sz w:val="16"/>
          <w:szCs w:val="16"/>
          <w:color w:val="auto"/>
        </w:rPr>
      </w:pPr>
    </w:p>
    <w:p>
      <w:pPr>
        <w:ind w:left="1000" w:hanging="500"/>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efficacy and safety profile of the product candidate.</w:t>
      </w:r>
    </w:p>
    <w:p>
      <w:pPr>
        <w:spacing w:after="0" w:line="216" w:lineRule="exact"/>
        <w:rPr>
          <w:sz w:val="20"/>
          <w:szCs w:val="20"/>
          <w:color w:val="auto"/>
        </w:rPr>
      </w:pPr>
    </w:p>
    <w:p>
      <w:pPr>
        <w:ind w:right="220" w:firstLine="322"/>
        <w:spacing w:after="0" w:line="275" w:lineRule="auto"/>
        <w:rPr>
          <w:sz w:val="20"/>
          <w:szCs w:val="20"/>
          <w:color w:val="auto"/>
        </w:rPr>
      </w:pPr>
      <w:r>
        <w:rPr>
          <w:rFonts w:ascii="Arial" w:cs="Arial" w:eastAsia="Arial" w:hAnsi="Arial"/>
          <w:sz w:val="16"/>
          <w:szCs w:val="16"/>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68" w:lineRule="exact"/>
        <w:rPr>
          <w:sz w:val="20"/>
          <w:szCs w:val="20"/>
          <w:color w:val="auto"/>
        </w:rPr>
      </w:pPr>
    </w:p>
    <w:p>
      <w:pPr>
        <w:jc w:val="both"/>
        <w:ind w:firstLine="316"/>
        <w:spacing w:after="0" w:line="275" w:lineRule="auto"/>
        <w:rPr>
          <w:sz w:val="20"/>
          <w:szCs w:val="20"/>
          <w:color w:val="auto"/>
        </w:rPr>
      </w:pPr>
      <w:r>
        <w:rPr>
          <w:rFonts w:ascii="Arial" w:cs="Arial" w:eastAsia="Arial" w:hAnsi="Arial"/>
          <w:sz w:val="16"/>
          <w:szCs w:val="16"/>
          <w:color w:val="auto"/>
        </w:rPr>
        <w:t>An element of our business strategy is to pursue the research and development of a broad portfolio of product candidates. This is intended to allow us to diversify the risks associated with our research and development expenditures. To the extent we are unable to maintain a broad range of product candidates, our dependence on the success of one or a few product candidates increases.</w:t>
      </w:r>
    </w:p>
    <w:p>
      <w:pPr>
        <w:spacing w:after="0" w:line="168" w:lineRule="exact"/>
        <w:rPr>
          <w:sz w:val="20"/>
          <w:szCs w:val="20"/>
          <w:color w:val="auto"/>
        </w:rPr>
      </w:pPr>
    </w:p>
    <w:p>
      <w:pPr>
        <w:ind w:right="320" w:firstLine="325"/>
        <w:spacing w:after="0" w:line="294" w:lineRule="auto"/>
        <w:rPr>
          <w:sz w:val="20"/>
          <w:szCs w:val="20"/>
          <w:color w:val="auto"/>
        </w:rPr>
      </w:pPr>
      <w:r>
        <w:rPr>
          <w:rFonts w:ascii="Arial" w:cs="Arial" w:eastAsia="Arial" w:hAnsi="Arial"/>
          <w:sz w:val="15"/>
          <w:szCs w:val="15"/>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55" w:lineRule="exact"/>
        <w:rPr>
          <w:sz w:val="20"/>
          <w:szCs w:val="20"/>
          <w:color w:val="auto"/>
        </w:rPr>
      </w:pPr>
    </w:p>
    <w:p>
      <w:pPr>
        <w:ind w:right="120" w:firstLine="325"/>
        <w:spacing w:after="0" w:line="290" w:lineRule="auto"/>
        <w:rPr>
          <w:sz w:val="20"/>
          <w:szCs w:val="20"/>
          <w:color w:val="auto"/>
        </w:rPr>
      </w:pPr>
      <w:r>
        <w:rPr>
          <w:rFonts w:ascii="Arial" w:cs="Arial" w:eastAsia="Arial" w:hAnsi="Arial"/>
          <w:sz w:val="15"/>
          <w:szCs w:val="15"/>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58" w:lineRule="exact"/>
        <w:rPr>
          <w:sz w:val="20"/>
          <w:szCs w:val="20"/>
          <w:color w:val="auto"/>
        </w:rPr>
      </w:pPr>
    </w:p>
    <w:p>
      <w:pPr>
        <w:ind w:right="320" w:firstLine="316"/>
        <w:spacing w:after="0" w:line="315" w:lineRule="auto"/>
        <w:rPr>
          <w:sz w:val="20"/>
          <w:szCs w:val="20"/>
          <w:color w:val="auto"/>
        </w:rPr>
      </w:pPr>
      <w:r>
        <w:rPr>
          <w:rFonts w:ascii="Arial" w:cs="Arial" w:eastAsia="Arial" w:hAnsi="Arial"/>
          <w:sz w:val="14"/>
          <w:szCs w:val="14"/>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firstLine="325"/>
        <w:spacing w:after="0" w:line="270" w:lineRule="auto"/>
        <w:rPr>
          <w:sz w:val="20"/>
          <w:szCs w:val="20"/>
          <w:color w:val="auto"/>
        </w:rPr>
      </w:pPr>
      <w:r>
        <w:rPr>
          <w:rFonts w:ascii="Arial" w:cs="Arial" w:eastAsia="Arial" w:hAnsi="Arial"/>
          <w:sz w:val="16"/>
          <w:szCs w:val="16"/>
          <w:color w:val="auto"/>
        </w:rPr>
        <w:t>During the past five years through December 31, 2014, we incurred an aggregate of $279.3 million in research and development expenses. The following table indicates the amount incurred for each of our significant research programs and for other identified research and development activities during the years ended December 31, 2014, 2013 and 2012. The amounts disclosed in the following table reflect direct research and development costs, license fees associated with the underlying technology and an allocation of indirect research and development costs to each program.</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6"/>
              </w:rPr>
              <w:t>Year Ended</w:t>
            </w:r>
          </w:p>
        </w:tc>
        <w:tc>
          <w:tcPr>
            <w:tcW w:w="10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Year Ended</w:t>
            </w:r>
          </w:p>
        </w:tc>
        <w:tc>
          <w:tcPr>
            <w:tcW w:w="10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Year Ended</w:t>
            </w:r>
          </w:p>
        </w:tc>
      </w:tr>
      <w:tr>
        <w:trPr>
          <w:trHeight w:val="150"/>
        </w:trPr>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7"/>
              </w:rPr>
              <w:t>December 31, 2014</w:t>
            </w:r>
          </w:p>
        </w:tc>
        <w:tc>
          <w:tcPr>
            <w:tcW w:w="10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December 31, 2013</w:t>
            </w:r>
          </w:p>
        </w:tc>
        <w:tc>
          <w:tcPr>
            <w:tcW w:w="10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December 31, 2012</w:t>
            </w:r>
          </w:p>
        </w:tc>
      </w:tr>
      <w:tr>
        <w:trPr>
          <w:trHeight w:val="130"/>
        </w:trPr>
        <w:tc>
          <w:tcPr>
            <w:tcW w:w="39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4"/>
              <w:spacing w:after="0" w:line="130" w:lineRule="exact"/>
              <w:rPr>
                <w:sz w:val="20"/>
                <w:szCs w:val="20"/>
                <w:color w:val="auto"/>
              </w:rPr>
            </w:pPr>
            <w:r>
              <w:rPr>
                <w:rFonts w:ascii="Arial" w:cs="Arial" w:eastAsia="Arial" w:hAnsi="Arial"/>
                <w:sz w:val="13"/>
                <w:szCs w:val="13"/>
                <w:b w:val="1"/>
                <w:bCs w:val="1"/>
                <w:color w:val="auto"/>
                <w:w w:val="87"/>
              </w:rPr>
              <w:t>(In thousands)</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00"/>
        </w:trPr>
        <w:tc>
          <w:tcPr>
            <w:tcW w:w="3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Rindopepimut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52,861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38,149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25,004</w:t>
            </w:r>
          </w:p>
        </w:tc>
      </w:tr>
      <w:tr>
        <w:trPr>
          <w:trHeight w:val="200"/>
        </w:trPr>
        <w:tc>
          <w:tcPr>
            <w:tcW w:w="3960" w:type="dxa"/>
            <w:vAlign w:val="bottom"/>
          </w:tcPr>
          <w:p>
            <w:pPr>
              <w:ind w:left="160"/>
              <w:spacing w:after="0"/>
              <w:rPr>
                <w:sz w:val="20"/>
                <w:szCs w:val="20"/>
                <w:color w:val="auto"/>
              </w:rPr>
            </w:pPr>
            <w:r>
              <w:rPr>
                <w:rFonts w:ascii="Arial" w:cs="Arial" w:eastAsia="Arial" w:hAnsi="Arial"/>
                <w:sz w:val="16"/>
                <w:szCs w:val="16"/>
                <w:color w:val="auto"/>
              </w:rPr>
              <w:t>Glembatumumab vedotin</w:t>
            </w:r>
          </w:p>
        </w:tc>
        <w:tc>
          <w:tcPr>
            <w:tcW w:w="1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26,907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11,284</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6,325</w:t>
            </w:r>
          </w:p>
        </w:tc>
      </w:tr>
      <w:tr>
        <w:trPr>
          <w:trHeight w:val="200"/>
        </w:trPr>
        <w:tc>
          <w:tcPr>
            <w:tcW w:w="3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Varlilumab</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9,376</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4,020</w:t>
            </w:r>
          </w:p>
        </w:tc>
      </w:tr>
      <w:tr>
        <w:trPr>
          <w:trHeight w:val="200"/>
        </w:trPr>
        <w:tc>
          <w:tcPr>
            <w:tcW w:w="3960" w:type="dxa"/>
            <w:vAlign w:val="bottom"/>
          </w:tcPr>
          <w:p>
            <w:pPr>
              <w:ind w:left="160"/>
              <w:spacing w:after="0"/>
              <w:rPr>
                <w:sz w:val="20"/>
                <w:szCs w:val="20"/>
                <w:color w:val="auto"/>
              </w:rPr>
            </w:pPr>
            <w:r>
              <w:rPr>
                <w:rFonts w:ascii="Arial" w:cs="Arial" w:eastAsia="Arial" w:hAnsi="Arial"/>
                <w:sz w:val="16"/>
                <w:szCs w:val="16"/>
                <w:color w:val="auto"/>
              </w:rPr>
              <w:t>CDX-1401</w:t>
            </w:r>
          </w:p>
        </w:tc>
        <w:tc>
          <w:tcPr>
            <w:tcW w:w="1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4,144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1,032</w:t>
            </w:r>
          </w:p>
        </w:tc>
      </w:tr>
      <w:tr>
        <w:trPr>
          <w:trHeight w:val="200"/>
        </w:trPr>
        <w:tc>
          <w:tcPr>
            <w:tcW w:w="3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CDX-301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1,482</w:t>
            </w:r>
          </w:p>
        </w:tc>
      </w:tr>
      <w:tr>
        <w:trPr>
          <w:trHeight w:val="200"/>
        </w:trPr>
        <w:tc>
          <w:tcPr>
            <w:tcW w:w="3960" w:type="dxa"/>
            <w:vAlign w:val="bottom"/>
          </w:tcPr>
          <w:p>
            <w:pPr>
              <w:ind w:left="160"/>
              <w:spacing w:after="0"/>
              <w:rPr>
                <w:sz w:val="20"/>
                <w:szCs w:val="20"/>
                <w:color w:val="auto"/>
              </w:rPr>
            </w:pPr>
            <w:r>
              <w:rPr>
                <w:rFonts w:ascii="Arial" w:cs="Arial" w:eastAsia="Arial" w:hAnsi="Arial"/>
                <w:sz w:val="16"/>
                <w:szCs w:val="16"/>
                <w:color w:val="auto"/>
              </w:rPr>
              <w:t>CDX-014</w:t>
            </w:r>
          </w:p>
        </w:tc>
        <w:tc>
          <w:tcPr>
            <w:tcW w:w="1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3,722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1,071</w:t>
            </w:r>
          </w:p>
        </w:tc>
      </w:tr>
      <w:tr>
        <w:trPr>
          <w:trHeight w:val="200"/>
        </w:trPr>
        <w:tc>
          <w:tcPr>
            <w:tcW w:w="3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Programs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6,511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8,464</w:t>
            </w:r>
          </w:p>
        </w:tc>
      </w:tr>
      <w:tr>
        <w:trPr>
          <w:trHeight w:val="193"/>
        </w:trPr>
        <w:tc>
          <w:tcPr>
            <w:tcW w:w="3960" w:type="dxa"/>
            <w:vAlign w:val="bottom"/>
          </w:tcPr>
          <w:p>
            <w:pPr>
              <w:spacing w:after="0"/>
              <w:rPr>
                <w:sz w:val="20"/>
                <w:szCs w:val="20"/>
                <w:color w:val="auto"/>
              </w:rPr>
            </w:pPr>
            <w:r>
              <w:rPr>
                <w:rFonts w:ascii="Arial" w:cs="Arial" w:eastAsia="Arial" w:hAnsi="Arial"/>
                <w:sz w:val="16"/>
                <w:szCs w:val="16"/>
                <w:color w:val="auto"/>
              </w:rPr>
              <w:t>Total R&amp;D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104,381</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67,401</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47,398</w:t>
            </w:r>
          </w:p>
        </w:tc>
        <w:tc>
          <w:tcPr>
            <w:tcW w:w="140" w:type="dxa"/>
            <w:vAlign w:val="bottom"/>
          </w:tcPr>
          <w:p>
            <w:pPr>
              <w:spacing w:after="0"/>
              <w:rPr>
                <w:sz w:val="16"/>
                <w:szCs w:val="16"/>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Development Programs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Rindopepimut</w:t>
      </w:r>
    </w:p>
    <w:p>
      <w:pPr>
        <w:spacing w:after="0" w:line="216" w:lineRule="exact"/>
        <w:rPr>
          <w:sz w:val="20"/>
          <w:szCs w:val="20"/>
          <w:color w:val="auto"/>
        </w:rPr>
      </w:pPr>
    </w:p>
    <w:p>
      <w:pPr>
        <w:ind w:firstLine="325"/>
        <w:spacing w:after="0" w:line="265" w:lineRule="auto"/>
        <w:rPr>
          <w:sz w:val="20"/>
          <w:szCs w:val="20"/>
          <w:color w:val="auto"/>
        </w:rPr>
      </w:pPr>
      <w:r>
        <w:rPr>
          <w:rFonts w:ascii="Arial" w:cs="Arial" w:eastAsia="Arial" w:hAnsi="Arial"/>
          <w:sz w:val="16"/>
          <w:szCs w:val="16"/>
          <w:color w:val="auto"/>
        </w:rPr>
        <w:t>Rindopepimut is an immunotherapeutic that targets the tumor-specific molecule epidermal growth factor receptor variant III, or EGFRvIII. EGFRvIII is a mutated form of the epidermal growth factor receptor, or EGFR, that is only expressed in cancer cells and not in normal tissue and can directly contribute to cancer cell growth. EGFRvIII is expressed in approximately 30% of glioblastoma multiforme, or GBM, tumors, the most common and aggressive form of brain cancer. Rindopepimut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rindopepimut for the treatment of EGFRvIII expressing GBM. The FDA has also granted Fast Track designation. In February 2015, the FDA granted rindopepimut Breakthrough Therapy Designation for the treatment of adult patients with EGFRvIII-positive glioblastoma.</w:t>
      </w:r>
    </w:p>
    <w:p>
      <w:pPr>
        <w:spacing w:after="0" w:line="178" w:lineRule="exact"/>
        <w:rPr>
          <w:sz w:val="20"/>
          <w:szCs w:val="20"/>
          <w:color w:val="auto"/>
        </w:rPr>
      </w:pPr>
    </w:p>
    <w:p>
      <w:pPr>
        <w:ind w:right="200" w:firstLine="322"/>
        <w:spacing w:after="0" w:line="332" w:lineRule="auto"/>
        <w:rPr>
          <w:sz w:val="20"/>
          <w:szCs w:val="20"/>
          <w:color w:val="auto"/>
        </w:rPr>
      </w:pPr>
      <w:r>
        <w:rPr>
          <w:rFonts w:ascii="Arial" w:cs="Arial" w:eastAsia="Arial" w:hAnsi="Arial"/>
          <w:sz w:val="14"/>
          <w:szCs w:val="14"/>
          <w:color w:val="auto"/>
        </w:rPr>
        <w:t>The Phase 2a study of rindopepimut referred to as ACTIVATE was led by collaborating investigators at the Brain Center at Duke Comprehensive Cancer Center in Durham, North Carolina and at M.D. Anderson Cancer Center in Houston, Texas and enrolled 18 evaluable GBM patients. An extension of the Phase 2a study referred to as ACT II evaluated 22 additional GBM patients treated in combination with the current standard of care, maintenance temozolomide, or TMZ, at the same two institutions.</w:t>
      </w:r>
    </w:p>
    <w:p>
      <w:pPr>
        <w:spacing w:after="0" w:line="132" w:lineRule="exact"/>
        <w:rPr>
          <w:sz w:val="20"/>
          <w:szCs w:val="20"/>
          <w:color w:val="auto"/>
        </w:rPr>
      </w:pPr>
    </w:p>
    <w:p>
      <w:pPr>
        <w:jc w:val="both"/>
        <w:ind w:right="300" w:firstLine="322"/>
        <w:spacing w:after="0" w:line="290" w:lineRule="auto"/>
        <w:rPr>
          <w:sz w:val="20"/>
          <w:szCs w:val="20"/>
          <w:color w:val="auto"/>
        </w:rPr>
      </w:pPr>
      <w:r>
        <w:rPr>
          <w:rFonts w:ascii="Arial" w:cs="Arial" w:eastAsia="Arial" w:hAnsi="Arial"/>
          <w:sz w:val="16"/>
          <w:szCs w:val="16"/>
          <w:color w:val="auto"/>
        </w:rPr>
        <w:t>The Phase 2b study of rindopepimut referred to as ACT III combined rindopepimut with standard of care, TMZ, in patients with newly diagnosed GBM. The ACT III study provided for a multi-center, non-randomized dataset for rindopepimut in 65 patients at over 30 sites throughout the United States.</w:t>
      </w:r>
    </w:p>
    <w:p>
      <w:pPr>
        <w:spacing w:after="0" w:line="156" w:lineRule="exact"/>
        <w:rPr>
          <w:sz w:val="20"/>
          <w:szCs w:val="20"/>
          <w:color w:val="auto"/>
        </w:rPr>
      </w:pPr>
    </w:p>
    <w:p>
      <w:pPr>
        <w:jc w:val="both"/>
        <w:ind w:right="320" w:firstLine="325"/>
        <w:spacing w:after="0" w:line="275" w:lineRule="auto"/>
        <w:rPr>
          <w:sz w:val="20"/>
          <w:szCs w:val="20"/>
          <w:color w:val="auto"/>
        </w:rPr>
      </w:pPr>
      <w:r>
        <w:rPr>
          <w:rFonts w:ascii="Arial" w:cs="Arial" w:eastAsia="Arial" w:hAnsi="Arial"/>
          <w:sz w:val="16"/>
          <w:szCs w:val="16"/>
          <w:color w:val="auto"/>
        </w:rPr>
        <w:t>In November 2013, we announced the four- and five-year survival data from the 105 patients enrolled in the three Phase 2 rindopepimut clinical studies (ACTIVATE, ACT II and ACT III) in EGFRvIII-positive GBM. Across these three Phase 2 studies of rindopepimut, survival data remains consistent and suggests a continuing survival benefit in comparison to independent control datasets (see chart below) at the median and at all other time points evaluated.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Phase 2 Frontline Long-term Overall Survival Assessments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Median, Years</w:t>
            </w: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2-year</w:t>
            </w: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3-year</w:t>
            </w: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4-year</w:t>
            </w:r>
          </w:p>
        </w:tc>
        <w:tc>
          <w:tcPr>
            <w:tcW w:w="6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5-year</w:t>
            </w:r>
          </w:p>
        </w:tc>
      </w:tr>
      <w:tr>
        <w:trPr>
          <w:trHeight w:val="150"/>
        </w:trPr>
        <w:tc>
          <w:tcPr>
            <w:tcW w:w="24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(95% CI)</w:t>
            </w:r>
          </w:p>
        </w:tc>
        <w:tc>
          <w:tcPr>
            <w:tcW w:w="240" w:type="dxa"/>
            <w:vAlign w:val="bottom"/>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240" w:type="dxa"/>
            <w:vAlign w:val="bottom"/>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240" w:type="dxa"/>
            <w:vAlign w:val="bottom"/>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240" w:type="dxa"/>
            <w:vAlign w:val="bottom"/>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60" w:type="dxa"/>
            <w:vAlign w:val="bottom"/>
          </w:tcPr>
          <w:p>
            <w:pPr>
              <w:spacing w:after="0"/>
              <w:rPr>
                <w:sz w:val="13"/>
                <w:szCs w:val="13"/>
                <w:color w:val="auto"/>
              </w:rPr>
            </w:pPr>
          </w:p>
        </w:tc>
      </w:tr>
      <w:tr>
        <w:trPr>
          <w:trHeight w:val="193"/>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Phase 2 rindopepimut studies (n=105)</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 (1.8, 2.4)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07"/>
        </w:trPr>
        <w:tc>
          <w:tcPr>
            <w:tcW w:w="5240" w:type="dxa"/>
            <w:vAlign w:val="bottom"/>
            <w:gridSpan w:val="2"/>
          </w:tcPr>
          <w:p>
            <w:pPr>
              <w:spacing w:after="0"/>
              <w:rPr>
                <w:sz w:val="20"/>
                <w:szCs w:val="20"/>
                <w:color w:val="auto"/>
              </w:rPr>
            </w:pPr>
            <w:r>
              <w:rPr>
                <w:rFonts w:ascii="Arial" w:cs="Arial" w:eastAsia="Arial" w:hAnsi="Arial"/>
                <w:sz w:val="16"/>
                <w:szCs w:val="16"/>
                <w:color w:val="auto"/>
              </w:rPr>
              <w:t>Matched historical control (n=17)(1)</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1.3 (0.9, 1.7)</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r>
      <w:tr>
        <w:trPr>
          <w:trHeight w:val="93"/>
        </w:trPr>
        <w:tc>
          <w:tcPr>
            <w:tcW w:w="240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4" w:lineRule="exact"/>
        <w:rPr>
          <w:sz w:val="20"/>
          <w:szCs w:val="20"/>
          <w:color w:val="auto"/>
        </w:rPr>
      </w:pPr>
    </w:p>
    <w:p>
      <w:pPr>
        <w:ind w:left="1640" w:right="80" w:hanging="497"/>
        <w:spacing w:after="0" w:line="290" w:lineRule="auto"/>
        <w:tabs>
          <w:tab w:leader="none" w:pos="16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Patients treated at M.D. Anderson contemporaneously to ACTIVATE, matched for major eligibility requirements, including EGFRvIII-positive GBM, gross total resection and no disease progression through chemoradiation treatment.</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pooled overall long-term survival results continue to be consistent with the ACT III Phase 2 study (18% for 4-years and 14% for 5-years).</w:t>
      </w:r>
    </w:p>
    <w:p>
      <w:pPr>
        <w:spacing w:after="0" w:line="216" w:lineRule="exact"/>
        <w:rPr>
          <w:sz w:val="20"/>
          <w:szCs w:val="20"/>
          <w:color w:val="auto"/>
        </w:rPr>
      </w:pPr>
    </w:p>
    <w:p>
      <w:pPr>
        <w:ind w:right="80" w:firstLine="325"/>
        <w:spacing w:after="0" w:line="287" w:lineRule="auto"/>
        <w:rPr>
          <w:sz w:val="20"/>
          <w:szCs w:val="20"/>
          <w:color w:val="auto"/>
        </w:rPr>
      </w:pPr>
      <w:r>
        <w:rPr>
          <w:rFonts w:ascii="Arial" w:cs="Arial" w:eastAsia="Arial" w:hAnsi="Arial"/>
          <w:sz w:val="15"/>
          <w:szCs w:val="15"/>
          <w:color w:val="auto"/>
        </w:rPr>
        <w:t>In December 2011, we initiated ACT IV, a pivotal, randomized, double-blind, controlled Phase 3 study of rindopepimut in patients with surgically resected, EGFRvIII-positive GBM. Patients were randomized after the completion of surgery and standard chemoradiation treatment. The treatment regimen included a rindopepimut priming phase post-radiation followed by an adjuvant TMZ phase and a rindopepimut maintenance therapy phase. Patients are treated until disease progression or intolerance to therapy. The primary objective of the study is to determine whether rindopepimut plus adjuvant GM-CSF improves the overall survival of patients with newly diagnosed EGFRvIII-positive GBM with minimal residual disease post resection and traditional chemo-radiation when compared to treatment with TMZ and a control injection of KLH. KLH is a component of rindopepimut and was selected due to its ability to generate a similar injection site reaction to that observed with rindopepimut.</w:t>
      </w:r>
    </w:p>
    <w:p>
      <w:pPr>
        <w:spacing w:after="0" w:line="163" w:lineRule="exact"/>
        <w:rPr>
          <w:sz w:val="20"/>
          <w:szCs w:val="20"/>
          <w:color w:val="auto"/>
        </w:rPr>
      </w:pPr>
    </w:p>
    <w:p>
      <w:pPr>
        <w:ind w:firstLine="325"/>
        <w:spacing w:after="0" w:line="286" w:lineRule="auto"/>
        <w:rPr>
          <w:sz w:val="20"/>
          <w:szCs w:val="20"/>
          <w:color w:val="auto"/>
        </w:rPr>
      </w:pPr>
      <w:r>
        <w:rPr>
          <w:rFonts w:ascii="Arial" w:cs="Arial" w:eastAsia="Arial" w:hAnsi="Arial"/>
          <w:sz w:val="15"/>
          <w:szCs w:val="15"/>
          <w:color w:val="auto"/>
        </w:rPr>
        <w:t>In December 2014, ACT IV completed enrollment. In total, over 4,800 GBM patients were screened for EGFRvIII status from more than 200 clinical trial sites across 22 countries and, consistent with prior studies, 30% were positive for the EGFRvIII mutation. The study enrolled 745 patients to reach the required 374 patients with minimal residual disease (assessed by central review) needed for analysis of the primary overall survival endpoint. All patients, including patients with disease that exceed this threshold, will be included in a secondary analysis of overall survival as well as analyses of progression-free survival, safety and tolerability, and quality of life. The timing of the overall survival primary endpoint data is event-driven. Interim analyses will be conducted by an independent Data Safety and Monitoring Board at 50% and 75% of events (deaths). The first interim analysis is expected in mid-2015. The second interim analysis is currently expected in late 2015 or early 2016 and the final data is currently expected by the end of 2016, although our expectations regarding the timing for the second interim analysis and final data read out may change based on event rates.</w:t>
      </w:r>
    </w:p>
    <w:p>
      <w:pPr>
        <w:spacing w:after="0" w:line="162" w:lineRule="exact"/>
        <w:rPr>
          <w:sz w:val="20"/>
          <w:szCs w:val="20"/>
          <w:color w:val="auto"/>
        </w:rPr>
      </w:pPr>
    </w:p>
    <w:p>
      <w:pPr>
        <w:ind w:right="40" w:firstLine="325"/>
        <w:spacing w:after="0" w:line="285" w:lineRule="auto"/>
        <w:rPr>
          <w:sz w:val="20"/>
          <w:szCs w:val="20"/>
          <w:color w:val="auto"/>
        </w:rPr>
      </w:pPr>
      <w:r>
        <w:rPr>
          <w:rFonts w:ascii="Arial" w:cs="Arial" w:eastAsia="Arial" w:hAnsi="Arial"/>
          <w:sz w:val="15"/>
          <w:szCs w:val="15"/>
          <w:color w:val="auto"/>
        </w:rPr>
        <w:t>In December 2011, we also initiated ReACT, a Phase 2 study of rindopepimut in combination with Avastin® in patients with recurrent EGFRvIII-positive GBM. This study completed enrollment in 2014 and includes 3 groups. Group 1 consists of 72 patients who had not previously received Avastin and were randomized to receive either rindopepimut and Avastin or a control injection of KLH and Avastin in a blinded fashion. Group 2 includes 25 patients who are refractory to Avastin having received Avastin in either the frontline or recurrent setting with subsequent progression and who received rindopepimut plus Avastin in a single treatment arm. In August 2013, we announced the addition of an expansion cohort of up to 75 patients, called Group 2C, to better characterize the potential activity of rindopepimut in this refractory patient population. This decision was based on early evidence of anti-tumor activity, including stable disease, tumor shrinkage and investigator-reported response. In total, Group 2C enrolled 28 patients. The primary endpoint is six month progression-free survival rate (PFS-6) for groups 1 and 2 and objective response rate (ORR) for group 2C. Other study endpoints include PFS-6, ORR, PFS, overall survival, or OS and safety and tolerability.</w:t>
      </w:r>
    </w:p>
    <w:p>
      <w:pPr>
        <w:spacing w:after="0" w:line="162" w:lineRule="exact"/>
        <w:rPr>
          <w:sz w:val="20"/>
          <w:szCs w:val="20"/>
          <w:color w:val="auto"/>
        </w:rPr>
      </w:pPr>
    </w:p>
    <w:p>
      <w:pPr>
        <w:ind w:right="60" w:firstLine="325"/>
        <w:spacing w:after="0" w:line="290" w:lineRule="auto"/>
        <w:rPr>
          <w:sz w:val="20"/>
          <w:szCs w:val="20"/>
          <w:color w:val="auto"/>
        </w:rPr>
      </w:pPr>
      <w:r>
        <w:rPr>
          <w:rFonts w:ascii="Arial" w:cs="Arial" w:eastAsia="Arial" w:hAnsi="Arial"/>
          <w:sz w:val="16"/>
          <w:szCs w:val="16"/>
          <w:color w:val="auto"/>
        </w:rPr>
        <w:t>In November 2014, we reported the following interim data from the ReACT study. Rindopepimut plus Avastin was very well tolerated (dosing up to 26+ months) and the results demonstrated clear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signs of clinical activity in advanced patient populations, including evidence of anti-tumor activity (tumor shrinkage, objective response and stable disease). Strong immune response correlated with improved outcome. In Avastin-naïve patients treated with both rindopepimut and Avastin, a statistically significant survival benefit was seen compared to the control patients.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Group 1 Interim Data</w:t>
      </w:r>
    </w:p>
    <w:p>
      <w:pPr>
        <w:spacing w:after="0" w:line="229" w:lineRule="exact"/>
        <w:rPr>
          <w:sz w:val="20"/>
          <w:szCs w:val="20"/>
          <w:color w:val="auto"/>
        </w:rPr>
      </w:pPr>
    </w:p>
    <w:p>
      <w:pPr>
        <w:ind w:left="1000" w:hanging="500"/>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PFS-6: </w:t>
      </w:r>
      <w:r>
        <w:rPr>
          <w:rFonts w:ascii="Arial" w:cs="Arial" w:eastAsia="Arial" w:hAnsi="Arial"/>
          <w:sz w:val="16"/>
          <w:szCs w:val="16"/>
          <w:color w:val="auto"/>
        </w:rPr>
        <w:t>PFS-6 by investigator read was 27% for patients treated with rindopepimut compared to 11% for control patients (p=0.048)</w:t>
      </w:r>
    </w:p>
    <w:p>
      <w:pPr>
        <w:spacing w:after="0" w:line="241" w:lineRule="exact"/>
        <w:rPr>
          <w:rFonts w:ascii="Arial" w:cs="Arial" w:eastAsia="Arial" w:hAnsi="Arial"/>
          <w:sz w:val="16"/>
          <w:szCs w:val="16"/>
          <w:color w:val="auto"/>
        </w:rPr>
      </w:pPr>
    </w:p>
    <w:p>
      <w:pPr>
        <w:ind w:left="1000" w:right="400" w:hanging="500"/>
        <w:spacing w:after="0" w:line="331" w:lineRule="auto"/>
        <w:tabs>
          <w:tab w:leader="none" w:pos="1000" w:val="left"/>
        </w:tabs>
        <w:numPr>
          <w:ilvl w:val="0"/>
          <w:numId w:val="29"/>
        </w:numPr>
        <w:rPr>
          <w:rFonts w:ascii="Arial" w:cs="Arial" w:eastAsia="Arial" w:hAnsi="Arial"/>
          <w:sz w:val="15"/>
          <w:szCs w:val="15"/>
          <w:color w:val="auto"/>
        </w:rPr>
      </w:pPr>
      <w:r>
        <w:rPr>
          <w:rFonts w:ascii="Arial" w:cs="Arial" w:eastAsia="Arial" w:hAnsi="Arial"/>
          <w:sz w:val="15"/>
          <w:szCs w:val="15"/>
          <w:b w:val="1"/>
          <w:bCs w:val="1"/>
          <w:color w:val="auto"/>
        </w:rPr>
        <w:t xml:space="preserve">Survival: </w:t>
      </w:r>
      <w:r>
        <w:rPr>
          <w:rFonts w:ascii="Arial" w:cs="Arial" w:eastAsia="Arial" w:hAnsi="Arial"/>
          <w:sz w:val="15"/>
          <w:szCs w:val="15"/>
          <w:color w:val="auto"/>
        </w:rPr>
        <w:t>The OS demonstrated a statistically significant benefit (p=0.0208) with a hazard ratio of 0.47 (0.25, 0.91) in favor of the rindopepimut treated</w:t>
      </w:r>
      <w:r>
        <w:rPr>
          <w:rFonts w:ascii="Arial" w:cs="Arial" w:eastAsia="Arial" w:hAnsi="Arial"/>
          <w:sz w:val="15"/>
          <w:szCs w:val="15"/>
          <w:b w:val="1"/>
          <w:bCs w:val="1"/>
          <w:color w:val="auto"/>
        </w:rPr>
        <w:t xml:space="preserve"> </w:t>
      </w:r>
      <w:r>
        <w:rPr>
          <w:rFonts w:ascii="Arial" w:cs="Arial" w:eastAsia="Arial" w:hAnsi="Arial"/>
          <w:sz w:val="15"/>
          <w:szCs w:val="15"/>
          <w:color w:val="auto"/>
        </w:rPr>
        <w:t>patients. Median OS was 12.0 months for patients treated with rindopepimut compared to 8.8 months for control patients.</w:t>
      </w:r>
    </w:p>
    <w:p>
      <w:pPr>
        <w:spacing w:after="0" w:line="136" w:lineRule="exact"/>
        <w:rPr>
          <w:rFonts w:ascii="Arial" w:cs="Arial" w:eastAsia="Arial" w:hAnsi="Arial"/>
          <w:sz w:val="15"/>
          <w:szCs w:val="15"/>
          <w:color w:val="auto"/>
        </w:rPr>
      </w:pPr>
    </w:p>
    <w:p>
      <w:pPr>
        <w:ind w:left="1000" w:right="240" w:hanging="500"/>
        <w:spacing w:after="0" w:line="372" w:lineRule="auto"/>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 xml:space="preserve">Response Rate: </w:t>
      </w:r>
      <w:r>
        <w:rPr>
          <w:rFonts w:ascii="Arial" w:cs="Arial" w:eastAsia="Arial" w:hAnsi="Arial"/>
          <w:sz w:val="14"/>
          <w:szCs w:val="14"/>
          <w:color w:val="auto"/>
        </w:rPr>
        <w:t>7 out of 29 patients (24%) evaluable for response on the rindopepimut arm experienced a confirmed objective response versus 5 out of 30</w:t>
      </w:r>
      <w:r>
        <w:rPr>
          <w:rFonts w:ascii="Arial" w:cs="Arial" w:eastAsia="Arial" w:hAnsi="Arial"/>
          <w:sz w:val="14"/>
          <w:szCs w:val="14"/>
          <w:b w:val="1"/>
          <w:bCs w:val="1"/>
          <w:color w:val="auto"/>
        </w:rPr>
        <w:t xml:space="preserve"> </w:t>
      </w:r>
      <w:r>
        <w:rPr>
          <w:rFonts w:ascii="Arial" w:cs="Arial" w:eastAsia="Arial" w:hAnsi="Arial"/>
          <w:sz w:val="14"/>
          <w:szCs w:val="14"/>
          <w:color w:val="auto"/>
        </w:rPr>
        <w:t>patients (17%) evaluable for response on the control arm. Assessments of response were conducted by study investigators according to RANO criteria.</w:t>
      </w:r>
    </w:p>
    <w:p>
      <w:pPr>
        <w:spacing w:after="0" w:line="113" w:lineRule="exact"/>
        <w:rPr>
          <w:rFonts w:ascii="Arial" w:cs="Arial" w:eastAsia="Arial" w:hAnsi="Arial"/>
          <w:sz w:val="14"/>
          <w:szCs w:val="14"/>
          <w:color w:val="auto"/>
        </w:rPr>
      </w:pPr>
    </w:p>
    <w:p>
      <w:pPr>
        <w:ind w:left="1000" w:hanging="500"/>
        <w:spacing w:after="0"/>
        <w:tabs>
          <w:tab w:leader="none" w:pos="1000" w:val="left"/>
        </w:tabs>
        <w:numPr>
          <w:ilvl w:val="0"/>
          <w:numId w:val="29"/>
        </w:numPr>
        <w:rPr>
          <w:rFonts w:ascii="Arial" w:cs="Arial" w:eastAsia="Arial" w:hAnsi="Arial"/>
          <w:sz w:val="15"/>
          <w:szCs w:val="15"/>
          <w:color w:val="auto"/>
        </w:rPr>
      </w:pPr>
      <w:r>
        <w:rPr>
          <w:rFonts w:ascii="Arial" w:cs="Arial" w:eastAsia="Arial" w:hAnsi="Arial"/>
          <w:sz w:val="15"/>
          <w:szCs w:val="15"/>
          <w:b w:val="1"/>
          <w:bCs w:val="1"/>
          <w:color w:val="auto"/>
        </w:rPr>
        <w:t xml:space="preserve">Other: </w:t>
      </w:r>
      <w:r>
        <w:rPr>
          <w:rFonts w:ascii="Arial" w:cs="Arial" w:eastAsia="Arial" w:hAnsi="Arial"/>
          <w:sz w:val="15"/>
          <w:szCs w:val="15"/>
          <w:color w:val="auto"/>
        </w:rPr>
        <w:t>All subgroup analyses, including performance status, steroid use and recent resection, show a hazard ratio in favor of rindopepimut treatment.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Group 2/2C Interim Data</w:t>
      </w:r>
    </w:p>
    <w:p>
      <w:pPr>
        <w:spacing w:after="0" w:line="241" w:lineRule="exact"/>
        <w:rPr>
          <w:sz w:val="20"/>
          <w:szCs w:val="20"/>
          <w:color w:val="auto"/>
        </w:rPr>
      </w:pPr>
    </w:p>
    <w:p>
      <w:pPr>
        <w:ind w:left="1000" w:right="200" w:hanging="500"/>
        <w:spacing w:after="0" w:line="295"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Survival: </w:t>
      </w:r>
      <w:r>
        <w:rPr>
          <w:rFonts w:ascii="Arial" w:cs="Arial" w:eastAsia="Arial" w:hAnsi="Arial"/>
          <w:sz w:val="16"/>
          <w:szCs w:val="16"/>
          <w:color w:val="auto"/>
        </w:rPr>
        <w:t>Median OS was 5.1 months (95% CI 3.2, 6.5) for these heavily pretreated, refractory EGFRvIII-positive patients. 46% of patients in Group 2/2C</w:t>
      </w:r>
      <w:r>
        <w:rPr>
          <w:rFonts w:ascii="Arial" w:cs="Arial" w:eastAsia="Arial" w:hAnsi="Arial"/>
          <w:sz w:val="16"/>
          <w:szCs w:val="16"/>
          <w:b w:val="1"/>
          <w:bCs w:val="1"/>
          <w:color w:val="auto"/>
        </w:rPr>
        <w:t xml:space="preserve"> </w:t>
      </w:r>
      <w:r>
        <w:rPr>
          <w:rFonts w:ascii="Arial" w:cs="Arial" w:eastAsia="Arial" w:hAnsi="Arial"/>
          <w:sz w:val="16"/>
          <w:szCs w:val="16"/>
          <w:color w:val="auto"/>
        </w:rPr>
        <w:t>were alive at 6 months.</w:t>
      </w:r>
    </w:p>
    <w:p>
      <w:pPr>
        <w:spacing w:after="0" w:line="160" w:lineRule="exact"/>
        <w:rPr>
          <w:rFonts w:ascii="Arial" w:cs="Arial" w:eastAsia="Arial" w:hAnsi="Arial"/>
          <w:sz w:val="16"/>
          <w:szCs w:val="16"/>
          <w:color w:val="auto"/>
        </w:rPr>
      </w:pPr>
    </w:p>
    <w:p>
      <w:pPr>
        <w:ind w:left="1000" w:hanging="500"/>
        <w:spacing w:after="0" w:line="269"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Response Rate: </w:t>
      </w:r>
      <w:r>
        <w:rPr>
          <w:rFonts w:ascii="Arial" w:cs="Arial" w:eastAsia="Arial" w:hAnsi="Arial"/>
          <w:sz w:val="16"/>
          <w:szCs w:val="16"/>
          <w:color w:val="auto"/>
        </w:rPr>
        <w:t>Based on investigator assessment, two patients experienced complete response, of which one was unconfirmed, and two patients experienced</w:t>
      </w:r>
      <w:r>
        <w:rPr>
          <w:rFonts w:ascii="Arial" w:cs="Arial" w:eastAsia="Arial" w:hAnsi="Arial"/>
          <w:sz w:val="16"/>
          <w:szCs w:val="16"/>
          <w:b w:val="1"/>
          <w:bCs w:val="1"/>
          <w:color w:val="auto"/>
        </w:rPr>
        <w:t xml:space="preserve"> </w:t>
      </w:r>
      <w:r>
        <w:rPr>
          <w:rFonts w:ascii="Arial" w:cs="Arial" w:eastAsia="Arial" w:hAnsi="Arial"/>
          <w:sz w:val="16"/>
          <w:szCs w:val="16"/>
          <w:color w:val="auto"/>
        </w:rPr>
        <w:t>partial response, of which one was unconfirmed, in Group 2. Two of these four patients did not meet the protocol defined definition of refractory in Group 2, the only two such patients enrolled. No additional objective responses were observed in Group 2C and the study did not meet the criteria (defined as two responses in the first 23 patients enrolled in Group 2C) for continued enrollment. Ten patients with measurable disease experienced objective tumor shrinkage across Group 2/2C.</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Final data is anticipated by mid-year 2015 and we intend to present this data at a peer-reviewed medical meeting in this same time frame.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Glembatumumab Vedotin</w:t>
      </w:r>
    </w:p>
    <w:p>
      <w:pPr>
        <w:spacing w:after="0" w:line="216" w:lineRule="exact"/>
        <w:rPr>
          <w:sz w:val="20"/>
          <w:szCs w:val="20"/>
          <w:color w:val="auto"/>
        </w:rPr>
      </w:pPr>
    </w:p>
    <w:p>
      <w:pPr>
        <w:ind w:right="120" w:firstLine="325"/>
        <w:spacing w:after="0" w:line="265" w:lineRule="auto"/>
        <w:rPr>
          <w:sz w:val="20"/>
          <w:szCs w:val="20"/>
          <w:color w:val="auto"/>
        </w:rPr>
      </w:pPr>
      <w:r>
        <w:rPr>
          <w:rFonts w:ascii="Arial" w:cs="Arial" w:eastAsia="Arial" w:hAnsi="Arial"/>
          <w:sz w:val="16"/>
          <w:szCs w:val="16"/>
          <w:color w:val="auto"/>
        </w:rPr>
        <w:t>Glembatumumab vedotin is an antibody-drug conjugate, or ADC, that consists of a fully-human monoclonal antibody, CR011, linked to a potent cell-killing drug, monomethyl-auristatin E, or MMAE. The CR011 antibody specifically targets glycoprotein NMB, referred to as gpNMB, that is over-expressed in a variety of cancers including breast cancer and melanoma. The ADC technology, comprised of MMAE and a stable linker system for attaching it to CR011, was licensed from Seattle Genetics, Inc. and is the same as that used in the marketed product Adcetris®.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w:t>
      </w:r>
    </w:p>
    <w:p>
      <w:pPr>
        <w:spacing w:after="0" w:line="174" w:lineRule="exact"/>
        <w:rPr>
          <w:sz w:val="20"/>
          <w:szCs w:val="20"/>
          <w:color w:val="auto"/>
        </w:rPr>
      </w:pPr>
    </w:p>
    <w:p>
      <w:pPr>
        <w:ind w:right="320" w:firstLine="322"/>
        <w:spacing w:after="0" w:line="305" w:lineRule="auto"/>
        <w:rPr>
          <w:sz w:val="20"/>
          <w:szCs w:val="20"/>
          <w:color w:val="auto"/>
        </w:rPr>
      </w:pPr>
      <w:r>
        <w:rPr>
          <w:rFonts w:ascii="Arial" w:cs="Arial" w:eastAsia="Arial" w:hAnsi="Arial"/>
          <w:sz w:val="15"/>
          <w:szCs w:val="15"/>
          <w:b w:val="1"/>
          <w:bCs w:val="1"/>
          <w:color w:val="auto"/>
        </w:rPr>
        <w:t xml:space="preserve">Treatment of Breast Cancer: </w:t>
      </w:r>
      <w:r>
        <w:rPr>
          <w:rFonts w:ascii="Arial" w:cs="Arial" w:eastAsia="Arial" w:hAnsi="Arial"/>
          <w:sz w:val="15"/>
          <w:szCs w:val="15"/>
          <w:color w:val="auto"/>
        </w:rPr>
        <w:t>The Phase 1/2 study of glembatumumab vedotin administered intravenously once every three weeks evaluated patients with locally</w:t>
      </w:r>
      <w:r>
        <w:rPr>
          <w:rFonts w:ascii="Arial" w:cs="Arial" w:eastAsia="Arial" w:hAnsi="Arial"/>
          <w:sz w:val="15"/>
          <w:szCs w:val="15"/>
          <w:b w:val="1"/>
          <w:bCs w:val="1"/>
          <w:color w:val="auto"/>
        </w:rPr>
        <w:t xml:space="preserve"> </w:t>
      </w:r>
      <w:r>
        <w:rPr>
          <w:rFonts w:ascii="Arial" w:cs="Arial" w:eastAsia="Arial" w:hAnsi="Arial"/>
          <w:sz w:val="15"/>
          <w:szCs w:val="15"/>
          <w:color w:val="auto"/>
        </w:rPr>
        <w:t>advanced or metastatic breast cancer who had received prior therapy (median of seven prior regimens). The study began with a bridging phase to confirm the maximum tolerated dose, or MTD, and then expanded into a Phase 2 open-label, multi-center study. The study confirmed the safety of glembatumumab vedotin at the</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pre-defined maximum dose level (1.88 mg/kg) in 6 patients. An additional 28 patients were enrolled in an expanded Phase 2 cohort (for a total of 34 treated patients at 1.88 mg/kg, the Phase 2 dose) to evaluate the PFS rate at 12 weeks.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72" w:lineRule="exact"/>
        <w:rPr>
          <w:sz w:val="20"/>
          <w:szCs w:val="20"/>
          <w:color w:val="auto"/>
        </w:rPr>
      </w:pPr>
    </w:p>
    <w:p>
      <w:pPr>
        <w:jc w:val="both"/>
        <w:ind w:firstLine="325"/>
        <w:spacing w:after="0" w:line="301" w:lineRule="auto"/>
        <w:rPr>
          <w:sz w:val="20"/>
          <w:szCs w:val="20"/>
          <w:color w:val="auto"/>
        </w:rPr>
      </w:pPr>
      <w:r>
        <w:rPr>
          <w:rFonts w:ascii="Arial" w:cs="Arial" w:eastAsia="Arial" w:hAnsi="Arial"/>
          <w:sz w:val="14"/>
          <w:szCs w:val="14"/>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w:t>
      </w:r>
    </w:p>
    <w:p>
      <w:pPr>
        <w:spacing w:after="0" w:line="1"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Tumor samples from a subset of patients across all dose groups were analyzed for gpNMB expression. The tumor samples from most patients showed evidence of stromal and/or tumor cell expression of gpNMB.</w:t>
      </w:r>
    </w:p>
    <w:p>
      <w:pPr>
        <w:spacing w:after="0" w:line="163" w:lineRule="exact"/>
        <w:rPr>
          <w:sz w:val="20"/>
          <w:szCs w:val="20"/>
          <w:color w:val="auto"/>
        </w:rPr>
      </w:pPr>
    </w:p>
    <w:p>
      <w:pPr>
        <w:ind w:right="120" w:firstLine="325"/>
        <w:spacing w:after="0" w:line="286" w:lineRule="auto"/>
        <w:rPr>
          <w:sz w:val="20"/>
          <w:szCs w:val="20"/>
          <w:color w:val="auto"/>
        </w:rPr>
      </w:pPr>
      <w:r>
        <w:rPr>
          <w:rFonts w:ascii="Arial" w:cs="Arial" w:eastAsia="Arial" w:hAnsi="Arial"/>
          <w:sz w:val="15"/>
          <w:szCs w:val="15"/>
          <w:color w:val="auto"/>
        </w:rPr>
        <w:t>In December 2012, we announced final results from the EMERGE study, a randomized, multi-center Phase 2b study of glembatumumab vedotin in 122 patients with heavily pre-treated, advanced, gpNMB positive breast cancer.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OS. The final results, as shown below, suggested that glembatumumab vedotin induces significant response rates compared to currently available therapies in patient subsets with advanced, refractory breast cancers with gpNMB over-expression (expression in greater than or equal to 25% of tumor cells) and in patients with triple negative breast cancer. The OS and PFS of patients treated with glembatumumab vedotin was also observed to be greatest in patients with triple negative breast cancer who also over-express gpNMB and all patients with gpNMB over-expression.</w:t>
      </w: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EMERGE: Overall Response Rate and Disease Control Data</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Triple Negative and</w:t>
            </w:r>
          </w:p>
        </w:tc>
      </w:tr>
      <w:tr>
        <w:trPr>
          <w:trHeight w:val="150"/>
        </w:trPr>
        <w:tc>
          <w:tcPr>
            <w:tcW w:w="2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3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8"/>
              </w:rPr>
              <w:t>gpNMB Over-Expression</w:t>
            </w:r>
          </w:p>
        </w:tc>
        <w:tc>
          <w:tcPr>
            <w:tcW w:w="22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8"/>
              </w:rPr>
              <w:t>gpNMB Over-Expression</w:t>
            </w:r>
          </w:p>
        </w:tc>
      </w:tr>
      <w:tr>
        <w:trPr>
          <w:trHeight w:val="117"/>
        </w:trPr>
        <w:tc>
          <w:tcPr>
            <w:tcW w:w="22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86"/>
              </w:rPr>
              <w:t>glembatumumab</w:t>
            </w:r>
          </w:p>
        </w:tc>
        <w:tc>
          <w:tcPr>
            <w:tcW w:w="8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6"/>
              </w:rPr>
              <w:t>Investigator</w:t>
            </w: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86"/>
              </w:rPr>
              <w:t>glembatumumab</w:t>
            </w:r>
          </w:p>
        </w:tc>
        <w:tc>
          <w:tcPr>
            <w:tcW w:w="8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6"/>
              </w:rPr>
              <w:t>Investigator</w:t>
            </w:r>
          </w:p>
        </w:tc>
        <w:tc>
          <w:tcPr>
            <w:tcW w:w="140" w:type="dxa"/>
            <w:vAlign w:val="bottom"/>
          </w:tcPr>
          <w:p>
            <w:pPr>
              <w:spacing w:after="0"/>
              <w:rPr>
                <w:sz w:val="10"/>
                <w:szCs w:val="10"/>
                <w:color w:val="auto"/>
              </w:rPr>
            </w:pPr>
          </w:p>
        </w:tc>
      </w:tr>
      <w:tr>
        <w:trPr>
          <w:trHeight w:val="150"/>
        </w:trPr>
        <w:tc>
          <w:tcPr>
            <w:tcW w:w="2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vedotin</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Choice</w:t>
            </w: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vedotin</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Choice</w:t>
            </w:r>
          </w:p>
        </w:tc>
      </w:tr>
      <w:tr>
        <w:trPr>
          <w:trHeight w:val="130"/>
        </w:trPr>
        <w:tc>
          <w:tcPr>
            <w:tcW w:w="22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87"/>
              </w:rPr>
              <w:t>(n=25)</w:t>
            </w:r>
          </w:p>
        </w:tc>
        <w:tc>
          <w:tcPr>
            <w:tcW w:w="2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88"/>
              </w:rPr>
              <w:t>(n=8)</w:t>
            </w:r>
          </w:p>
        </w:tc>
        <w:tc>
          <w:tcPr>
            <w:tcW w:w="22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87"/>
              </w:rPr>
              <w:t>(n=12)</w:t>
            </w:r>
          </w:p>
        </w:tc>
        <w:tc>
          <w:tcPr>
            <w:tcW w:w="2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88"/>
              </w:rPr>
              <w:t>(n=4)</w:t>
            </w:r>
          </w:p>
        </w:tc>
        <w:tc>
          <w:tcPr>
            <w:tcW w:w="140" w:type="dxa"/>
            <w:vAlign w:val="bottom"/>
          </w:tcPr>
          <w:p>
            <w:pPr>
              <w:spacing w:after="0"/>
              <w:rPr>
                <w:sz w:val="11"/>
                <w:szCs w:val="11"/>
                <w:color w:val="auto"/>
              </w:rPr>
            </w:pPr>
          </w:p>
        </w:tc>
      </w:tr>
      <w:tr>
        <w:trPr>
          <w:trHeight w:val="193"/>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Response</w:t>
            </w:r>
          </w:p>
        </w:tc>
        <w:tc>
          <w:tcPr>
            <w:tcW w:w="1280" w:type="dxa"/>
            <w:vAlign w:val="bottom"/>
            <w:gridSpan w:val="2"/>
            <w:shd w:val="clear" w:color="auto" w:fill="CCEEFF"/>
          </w:tcPr>
          <w:p>
            <w:pPr>
              <w:jc w:val="center"/>
              <w:ind w:left="751"/>
              <w:spacing w:after="0"/>
              <w:rPr>
                <w:sz w:val="20"/>
                <w:szCs w:val="20"/>
                <w:color w:val="auto"/>
              </w:rPr>
            </w:pPr>
            <w:r>
              <w:rPr>
                <w:rFonts w:ascii="Arial" w:cs="Arial" w:eastAsia="Arial" w:hAnsi="Arial"/>
                <w:sz w:val="16"/>
                <w:szCs w:val="16"/>
                <w:color w:val="auto"/>
                <w:w w:val="93"/>
              </w:rPr>
              <w:t>32%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1280" w:type="dxa"/>
            <w:vAlign w:val="bottom"/>
            <w:gridSpan w:val="2"/>
            <w:shd w:val="clear" w:color="auto" w:fill="CCEEFF"/>
          </w:tcPr>
          <w:p>
            <w:pPr>
              <w:jc w:val="center"/>
              <w:ind w:left="752"/>
              <w:spacing w:after="0"/>
              <w:rPr>
                <w:sz w:val="20"/>
                <w:szCs w:val="20"/>
                <w:color w:val="auto"/>
              </w:rPr>
            </w:pPr>
            <w:r>
              <w:rPr>
                <w:rFonts w:ascii="Arial" w:cs="Arial" w:eastAsia="Arial" w:hAnsi="Arial"/>
                <w:sz w:val="16"/>
                <w:szCs w:val="16"/>
                <w:color w:val="auto"/>
                <w:w w:val="93"/>
              </w:rPr>
              <w:t>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07"/>
        </w:trPr>
        <w:tc>
          <w:tcPr>
            <w:tcW w:w="4640" w:type="dxa"/>
            <w:vAlign w:val="bottom"/>
            <w:gridSpan w:val="2"/>
          </w:tcPr>
          <w:p>
            <w:pPr>
              <w:spacing w:after="0"/>
              <w:rPr>
                <w:sz w:val="20"/>
                <w:szCs w:val="20"/>
                <w:color w:val="auto"/>
              </w:rPr>
            </w:pPr>
            <w:r>
              <w:rPr>
                <w:rFonts w:ascii="Arial" w:cs="Arial" w:eastAsia="Arial" w:hAnsi="Arial"/>
                <w:sz w:val="16"/>
                <w:szCs w:val="16"/>
                <w:color w:val="auto"/>
              </w:rPr>
              <w:t>Disease Control Rate</w:t>
            </w:r>
          </w:p>
        </w:tc>
        <w:tc>
          <w:tcPr>
            <w:tcW w:w="1280" w:type="dxa"/>
            <w:vAlign w:val="bottom"/>
            <w:gridSpan w:val="2"/>
          </w:tcPr>
          <w:p>
            <w:pPr>
              <w:jc w:val="center"/>
              <w:ind w:left="751"/>
              <w:spacing w:after="0"/>
              <w:rPr>
                <w:sz w:val="20"/>
                <w:szCs w:val="20"/>
                <w:color w:val="auto"/>
              </w:rPr>
            </w:pPr>
            <w:r>
              <w:rPr>
                <w:rFonts w:ascii="Arial" w:cs="Arial" w:eastAsia="Arial" w:hAnsi="Arial"/>
                <w:sz w:val="16"/>
                <w:szCs w:val="16"/>
                <w:color w:val="auto"/>
                <w:w w:val="93"/>
              </w:rPr>
              <w:t>64%</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38%</w:t>
            </w:r>
          </w:p>
        </w:tc>
        <w:tc>
          <w:tcPr>
            <w:tcW w:w="1280" w:type="dxa"/>
            <w:vAlign w:val="bottom"/>
            <w:gridSpan w:val="2"/>
          </w:tcPr>
          <w:p>
            <w:pPr>
              <w:jc w:val="center"/>
              <w:ind w:left="752"/>
              <w:spacing w:after="0"/>
              <w:rPr>
                <w:sz w:val="20"/>
                <w:szCs w:val="20"/>
                <w:color w:val="auto"/>
              </w:rPr>
            </w:pPr>
            <w:r>
              <w:rPr>
                <w:rFonts w:ascii="Arial" w:cs="Arial" w:eastAsia="Arial" w:hAnsi="Arial"/>
                <w:sz w:val="16"/>
                <w:szCs w:val="16"/>
                <w:color w:val="auto"/>
                <w:w w:val="93"/>
              </w:rPr>
              <w:t>75%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93"/>
        </w:trPr>
        <w:tc>
          <w:tcPr>
            <w:tcW w:w="220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91" w:lineRule="exact"/>
        <w:rPr>
          <w:sz w:val="20"/>
          <w:szCs w:val="20"/>
          <w:color w:val="auto"/>
        </w:rPr>
      </w:pPr>
    </w:p>
    <w:p>
      <w:pPr>
        <w:ind w:left="1140" w:right="380"/>
        <w:spacing w:after="0" w:line="275" w:lineRule="auto"/>
        <w:rPr>
          <w:sz w:val="20"/>
          <w:szCs w:val="20"/>
          <w:color w:val="auto"/>
        </w:rPr>
      </w:pPr>
      <w:r>
        <w:rPr>
          <w:rFonts w:ascii="Arial" w:cs="Arial" w:eastAsia="Arial" w:hAnsi="Arial"/>
          <w:sz w:val="16"/>
          <w:szCs w:val="16"/>
          <w:i w:val="1"/>
          <w:iCs w:val="1"/>
          <w:color w:val="auto"/>
        </w:rPr>
        <w:t>Responses per RECIST 1.1; IC = Investigator's Choice; glembatumumab vedotin arm includes 15 patients who crossed over to receive glembatumumab vedotin treatment after progression on IC. Analysis of best response excludes patients who discontinued from study without evaluable post-baseline radiographic imaging (n=15 for glembatumumab vedotin arm; n=5 for IC arm).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EMERGE: Progression Free Survival (PFS) and Overall Survival (OS) Data</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0"/>
              </w:rPr>
              <w:t>Triple Negative</w:t>
            </w:r>
          </w:p>
        </w:tc>
      </w:tr>
      <w:tr>
        <w:trPr>
          <w:trHeight w:val="138"/>
        </w:trPr>
        <w:tc>
          <w:tcPr>
            <w:tcW w:w="2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3"/>
          </w:tcPr>
          <w:p>
            <w:pPr>
              <w:jc w:val="center"/>
              <w:ind w:left="671"/>
              <w:spacing w:after="0" w:line="138" w:lineRule="exact"/>
              <w:rPr>
                <w:sz w:val="20"/>
                <w:szCs w:val="20"/>
                <w:color w:val="auto"/>
              </w:rPr>
            </w:pPr>
            <w:r>
              <w:rPr>
                <w:rFonts w:ascii="Arial" w:cs="Arial" w:eastAsia="Arial" w:hAnsi="Arial"/>
                <w:sz w:val="13"/>
                <w:szCs w:val="13"/>
                <w:b w:val="1"/>
                <w:bCs w:val="1"/>
                <w:color w:val="auto"/>
                <w:w w:val="96"/>
              </w:rPr>
              <w:t>gpNMB</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gridSpan w:val="5"/>
          </w:tcPr>
          <w:p>
            <w:pPr>
              <w:jc w:val="center"/>
              <w:ind w:right="140"/>
              <w:spacing w:after="0" w:line="138" w:lineRule="exact"/>
              <w:rPr>
                <w:sz w:val="20"/>
                <w:szCs w:val="20"/>
                <w:color w:val="auto"/>
              </w:rPr>
            </w:pPr>
            <w:r>
              <w:rPr>
                <w:rFonts w:ascii="Arial" w:cs="Arial" w:eastAsia="Arial" w:hAnsi="Arial"/>
                <w:sz w:val="13"/>
                <w:szCs w:val="13"/>
                <w:b w:val="1"/>
                <w:bCs w:val="1"/>
                <w:color w:val="auto"/>
                <w:w w:val="88"/>
              </w:rPr>
              <w:t>and gpNMB</w:t>
            </w:r>
          </w:p>
        </w:tc>
      </w:tr>
      <w:tr>
        <w:trPr>
          <w:trHeight w:val="150"/>
        </w:trPr>
        <w:tc>
          <w:tcPr>
            <w:tcW w:w="22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84"/>
              </w:rPr>
              <w:t>Over-Expression</w:t>
            </w:r>
          </w:p>
        </w:tc>
        <w:tc>
          <w:tcPr>
            <w:tcW w:w="22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4"/>
              </w:rPr>
              <w:t>Over-Expression</w:t>
            </w:r>
          </w:p>
        </w:tc>
      </w:tr>
      <w:tr>
        <w:trPr>
          <w:trHeight w:val="117"/>
        </w:trPr>
        <w:tc>
          <w:tcPr>
            <w:tcW w:w="22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Borders>
              <w:top w:val="single" w:sz="8" w:color="auto"/>
            </w:tcBorders>
            <w:gridSpan w:val="3"/>
          </w:tcPr>
          <w:p>
            <w:pPr>
              <w:jc w:val="center"/>
              <w:ind w:right="280"/>
              <w:spacing w:after="0" w:line="118" w:lineRule="exact"/>
              <w:rPr>
                <w:sz w:val="20"/>
                <w:szCs w:val="20"/>
                <w:color w:val="auto"/>
              </w:rPr>
            </w:pPr>
            <w:r>
              <w:rPr>
                <w:rFonts w:ascii="Arial" w:cs="Arial" w:eastAsia="Arial" w:hAnsi="Arial"/>
                <w:sz w:val="13"/>
                <w:szCs w:val="13"/>
                <w:b w:val="1"/>
                <w:bCs w:val="1"/>
                <w:color w:val="auto"/>
                <w:w w:val="86"/>
              </w:rPr>
              <w:t>glembatumumab</w:t>
            </w:r>
          </w:p>
        </w:tc>
        <w:tc>
          <w:tcPr>
            <w:tcW w:w="740" w:type="dxa"/>
            <w:vAlign w:val="bottom"/>
            <w:tcBorders>
              <w:top w:val="single" w:sz="8" w:color="auto"/>
            </w:tcBorders>
          </w:tcPr>
          <w:p>
            <w:pPr>
              <w:jc w:val="right"/>
              <w:ind w:right="8"/>
              <w:spacing w:after="0" w:line="118" w:lineRule="exact"/>
              <w:rPr>
                <w:sz w:val="20"/>
                <w:szCs w:val="20"/>
                <w:color w:val="auto"/>
              </w:rPr>
            </w:pPr>
            <w:r>
              <w:rPr>
                <w:rFonts w:ascii="Arial" w:cs="Arial" w:eastAsia="Arial" w:hAnsi="Arial"/>
                <w:sz w:val="13"/>
                <w:szCs w:val="13"/>
                <w:b w:val="1"/>
                <w:bCs w:val="1"/>
                <w:color w:val="auto"/>
                <w:w w:val="86"/>
              </w:rPr>
              <w:t>Investigator</w:t>
            </w:r>
          </w:p>
        </w:tc>
        <w:tc>
          <w:tcPr>
            <w:tcW w:w="220" w:type="dxa"/>
            <w:vAlign w:val="bottom"/>
          </w:tcPr>
          <w:p>
            <w:pPr>
              <w:spacing w:after="0"/>
              <w:rPr>
                <w:sz w:val="10"/>
                <w:szCs w:val="10"/>
                <w:color w:val="auto"/>
              </w:rPr>
            </w:pPr>
          </w:p>
        </w:tc>
        <w:tc>
          <w:tcPr>
            <w:tcW w:w="1360" w:type="dxa"/>
            <w:vAlign w:val="bottom"/>
            <w:tcBorders>
              <w:top w:val="single" w:sz="8" w:color="auto"/>
            </w:tcBorders>
            <w:gridSpan w:val="3"/>
          </w:tcPr>
          <w:p>
            <w:pPr>
              <w:jc w:val="center"/>
              <w:ind w:right="300"/>
              <w:spacing w:after="0" w:line="118" w:lineRule="exact"/>
              <w:rPr>
                <w:sz w:val="20"/>
                <w:szCs w:val="20"/>
                <w:color w:val="auto"/>
              </w:rPr>
            </w:pPr>
            <w:r>
              <w:rPr>
                <w:rFonts w:ascii="Arial" w:cs="Arial" w:eastAsia="Arial" w:hAnsi="Arial"/>
                <w:sz w:val="13"/>
                <w:szCs w:val="13"/>
                <w:b w:val="1"/>
                <w:bCs w:val="1"/>
                <w:color w:val="auto"/>
                <w:w w:val="86"/>
              </w:rPr>
              <w:t>glembatumumab</w:t>
            </w:r>
          </w:p>
        </w:tc>
        <w:tc>
          <w:tcPr>
            <w:tcW w:w="720" w:type="dxa"/>
            <w:vAlign w:val="bottom"/>
            <w:tcBorders>
              <w:top w:val="single" w:sz="8" w:color="auto"/>
            </w:tcBorders>
          </w:tcPr>
          <w:p>
            <w:pPr>
              <w:jc w:val="right"/>
              <w:ind w:right="8"/>
              <w:spacing w:after="0" w:line="118" w:lineRule="exact"/>
              <w:rPr>
                <w:sz w:val="20"/>
                <w:szCs w:val="20"/>
                <w:color w:val="auto"/>
              </w:rPr>
            </w:pPr>
            <w:r>
              <w:rPr>
                <w:rFonts w:ascii="Arial" w:cs="Arial" w:eastAsia="Arial" w:hAnsi="Arial"/>
                <w:sz w:val="13"/>
                <w:szCs w:val="13"/>
                <w:b w:val="1"/>
                <w:bCs w:val="1"/>
                <w:color w:val="auto"/>
                <w:w w:val="84"/>
              </w:rPr>
              <w:t>Investigator</w:t>
            </w:r>
          </w:p>
        </w:tc>
        <w:tc>
          <w:tcPr>
            <w:tcW w:w="140" w:type="dxa"/>
            <w:vAlign w:val="bottom"/>
          </w:tcPr>
          <w:p>
            <w:pPr>
              <w:spacing w:after="0"/>
              <w:rPr>
                <w:sz w:val="10"/>
                <w:szCs w:val="10"/>
                <w:color w:val="auto"/>
              </w:rPr>
            </w:pPr>
          </w:p>
        </w:tc>
      </w:tr>
      <w:tr>
        <w:trPr>
          <w:trHeight w:val="150"/>
        </w:trPr>
        <w:tc>
          <w:tcPr>
            <w:tcW w:w="22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vedotin</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Choice</w:t>
            </w:r>
          </w:p>
        </w:tc>
        <w:tc>
          <w:tcPr>
            <w:tcW w:w="22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vedotin</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Choice</w:t>
            </w:r>
          </w:p>
        </w:tc>
        <w:tc>
          <w:tcPr>
            <w:tcW w:w="140" w:type="dxa"/>
            <w:vAlign w:val="bottom"/>
          </w:tcPr>
          <w:p>
            <w:pPr>
              <w:spacing w:after="0"/>
              <w:rPr>
                <w:sz w:val="13"/>
                <w:szCs w:val="13"/>
                <w:color w:val="auto"/>
              </w:rPr>
            </w:pPr>
          </w:p>
        </w:tc>
      </w:tr>
      <w:tr>
        <w:trPr>
          <w:trHeight w:val="19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Median PFS (months)</w:t>
            </w:r>
          </w:p>
        </w:tc>
        <w:tc>
          <w:tcPr>
            <w:tcW w:w="150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2.7</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r>
      <w:tr>
        <w:trPr>
          <w:trHeight w:val="200"/>
        </w:trPr>
        <w:tc>
          <w:tcPr>
            <w:tcW w:w="22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ind w:left="860"/>
              <w:spacing w:after="0"/>
              <w:rPr>
                <w:sz w:val="20"/>
                <w:szCs w:val="20"/>
                <w:color w:val="auto"/>
              </w:rPr>
            </w:pPr>
            <w:r>
              <w:rPr>
                <w:rFonts w:ascii="Arial" w:cs="Arial" w:eastAsia="Arial" w:hAnsi="Arial"/>
                <w:sz w:val="16"/>
                <w:szCs w:val="16"/>
                <w:color w:val="auto"/>
                <w:w w:val="93"/>
              </w:rPr>
              <w:t>p=0.14</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w w:val="89"/>
              </w:rPr>
              <w:t>p=0.008</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391"/>
        </w:trPr>
        <w:tc>
          <w:tcPr>
            <w:tcW w:w="4420" w:type="dxa"/>
            <w:vAlign w:val="bottom"/>
            <w:gridSpan w:val="2"/>
          </w:tcPr>
          <w:p>
            <w:pPr>
              <w:spacing w:after="0"/>
              <w:rPr>
                <w:sz w:val="20"/>
                <w:szCs w:val="20"/>
                <w:color w:val="auto"/>
              </w:rPr>
            </w:pPr>
            <w:r>
              <w:rPr>
                <w:rFonts w:ascii="Arial" w:cs="Arial" w:eastAsia="Arial" w:hAnsi="Arial"/>
                <w:sz w:val="16"/>
                <w:szCs w:val="16"/>
                <w:color w:val="auto"/>
              </w:rPr>
              <w:t>Median OS (months)</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5.7</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5.5</w:t>
            </w:r>
          </w:p>
        </w:tc>
      </w:tr>
      <w:tr>
        <w:trPr>
          <w:trHeight w:val="207"/>
        </w:trPr>
        <w:tc>
          <w:tcPr>
            <w:tcW w:w="22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ind w:left="860"/>
              <w:spacing w:after="0"/>
              <w:rPr>
                <w:sz w:val="20"/>
                <w:szCs w:val="20"/>
                <w:color w:val="auto"/>
              </w:rPr>
            </w:pPr>
            <w:r>
              <w:rPr>
                <w:rFonts w:ascii="Arial" w:cs="Arial" w:eastAsia="Arial" w:hAnsi="Arial"/>
                <w:sz w:val="16"/>
                <w:szCs w:val="16"/>
                <w:color w:val="auto"/>
                <w:w w:val="93"/>
              </w:rPr>
              <w:t>p=0.18</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ind w:left="820"/>
              <w:spacing w:after="0"/>
              <w:rPr>
                <w:sz w:val="20"/>
                <w:szCs w:val="20"/>
                <w:color w:val="auto"/>
              </w:rPr>
            </w:pPr>
            <w:r>
              <w:rPr>
                <w:rFonts w:ascii="Arial" w:cs="Arial" w:eastAsia="Arial" w:hAnsi="Arial"/>
                <w:sz w:val="16"/>
                <w:szCs w:val="16"/>
                <w:color w:val="auto"/>
                <w:w w:val="89"/>
              </w:rPr>
              <w:t>p=0.003</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02"/>
        </w:trPr>
        <w:tc>
          <w:tcPr>
            <w:tcW w:w="220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91" w:lineRule="exact"/>
        <w:rPr>
          <w:sz w:val="20"/>
          <w:szCs w:val="20"/>
          <w:color w:val="auto"/>
        </w:rPr>
      </w:pPr>
    </w:p>
    <w:p>
      <w:pPr>
        <w:ind w:left="1140"/>
        <w:spacing w:after="0" w:line="366" w:lineRule="auto"/>
        <w:rPr>
          <w:sz w:val="20"/>
          <w:szCs w:val="20"/>
          <w:color w:val="auto"/>
        </w:rPr>
      </w:pPr>
      <w:r>
        <w:rPr>
          <w:rFonts w:ascii="Arial" w:cs="Arial" w:eastAsia="Arial" w:hAnsi="Arial"/>
          <w:sz w:val="14"/>
          <w:szCs w:val="14"/>
          <w:i w:val="1"/>
          <w:iCs w:val="1"/>
          <w:color w:val="auto"/>
        </w:rPr>
        <w:t>When cross over patients are removed, median OS in patients with gpNMB over-expression is 10.0 months for glembatumumab vedotin vs 5.2 months for IC (p=0.05) and median OS in triple negative patients with gpNMB over- expression is 10.0 months for glembatumumab vedotin vs 5.2 months for IC (p=0.009).</w:t>
      </w:r>
    </w:p>
    <w:p>
      <w:pPr>
        <w:spacing w:after="0" w:line="109" w:lineRule="exact"/>
        <w:rPr>
          <w:sz w:val="20"/>
          <w:szCs w:val="20"/>
          <w:color w:val="auto"/>
        </w:rPr>
      </w:pPr>
    </w:p>
    <w:p>
      <w:pPr>
        <w:ind w:right="40" w:firstLine="325"/>
        <w:spacing w:after="0" w:line="283" w:lineRule="auto"/>
        <w:rPr>
          <w:sz w:val="20"/>
          <w:szCs w:val="20"/>
          <w:color w:val="auto"/>
        </w:rPr>
      </w:pPr>
      <w:r>
        <w:rPr>
          <w:rFonts w:ascii="Arial" w:cs="Arial" w:eastAsia="Arial" w:hAnsi="Arial"/>
          <w:sz w:val="15"/>
          <w:szCs w:val="15"/>
          <w:color w:val="auto"/>
        </w:rPr>
        <w:t>In December 2013, we initiated METRIC, a randomized, controlled Phase 2b study of glembatumumab vedotin in patients with triple negative breast cancer that over-express gpNMB. To-date, 95 sites are open to enrollment across the United States, Canada and Australia. The study was originally designed to obtain accelerated approval. Feedback from clinical investigators conducting the study indicated that the eligibility criteria for study entry were limiting their ability to enroll patients they felt were clinically appropriate on study. In addition, we had spoken to country-specific members of the European Medicines Agency, or EMA, and believed a significant opportunity existed to expand the study into the EU. Based on these factors, in the fourth quarter of 2014, we amended the METRIC study and expanded patient entry criteria to position it for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We implemented these changes in parallel to regulatory discussions to maintain momentum at open clinical trial sites. Since implementation, both the FDA and central European regulatory authorities have reviewed the protocol design and we believe the METRIC study could support marketing approval in both the US and Europe dependent upon data review. Based on current projections, we believe enrollment will be completed in 2016.</w:t>
      </w:r>
    </w:p>
    <w:p>
      <w:pPr>
        <w:spacing w:after="0" w:line="163" w:lineRule="exact"/>
        <w:rPr>
          <w:sz w:val="20"/>
          <w:szCs w:val="20"/>
          <w:color w:val="auto"/>
        </w:rPr>
      </w:pPr>
    </w:p>
    <w:p>
      <w:pPr>
        <w:ind w:right="60" w:firstLine="322"/>
        <w:spacing w:after="0" w:line="310" w:lineRule="auto"/>
        <w:rPr>
          <w:sz w:val="20"/>
          <w:szCs w:val="20"/>
          <w:color w:val="auto"/>
        </w:rPr>
      </w:pPr>
      <w:r>
        <w:rPr>
          <w:rFonts w:ascii="Arial" w:cs="Arial" w:eastAsia="Arial" w:hAnsi="Arial"/>
          <w:sz w:val="14"/>
          <w:szCs w:val="14"/>
          <w:b w:val="1"/>
          <w:bCs w:val="1"/>
          <w:color w:val="auto"/>
        </w:rPr>
        <w:t xml:space="preserve">Treatment of Metastatic Melanoma: </w:t>
      </w:r>
      <w:r>
        <w:rPr>
          <w:rFonts w:ascii="Arial" w:cs="Arial" w:eastAsia="Arial" w:hAnsi="Arial"/>
          <w:sz w:val="14"/>
          <w:szCs w:val="14"/>
          <w:color w:val="auto"/>
        </w:rPr>
        <w:t>The Phase 1/2 open-label, multi-center, dose escalation study evaluated the safety, tolerability and pharmacokinetics of</w:t>
      </w:r>
      <w:r>
        <w:rPr>
          <w:rFonts w:ascii="Arial" w:cs="Arial" w:eastAsia="Arial" w:hAnsi="Arial"/>
          <w:sz w:val="14"/>
          <w:szCs w:val="14"/>
          <w:b w:val="1"/>
          <w:bCs w:val="1"/>
          <w:color w:val="auto"/>
        </w:rPr>
        <w:t xml:space="preserve"> </w:t>
      </w:r>
      <w:r>
        <w:rPr>
          <w:rFonts w:ascii="Arial" w:cs="Arial" w:eastAsia="Arial" w:hAnsi="Arial"/>
          <w:sz w:val="14"/>
          <w:szCs w:val="14"/>
          <w:color w:val="auto"/>
        </w:rPr>
        <w:t>glembatumumab vedotin in 117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Glembatumumab vedotin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49" w:lineRule="exact"/>
        <w:rPr>
          <w:sz w:val="20"/>
          <w:szCs w:val="20"/>
          <w:color w:val="auto"/>
        </w:rPr>
      </w:pPr>
    </w:p>
    <w:p>
      <w:pPr>
        <w:ind w:right="180" w:firstLine="325"/>
        <w:spacing w:after="0" w:line="332" w:lineRule="auto"/>
        <w:rPr>
          <w:sz w:val="20"/>
          <w:szCs w:val="20"/>
          <w:color w:val="auto"/>
        </w:rPr>
      </w:pPr>
      <w:r>
        <w:rPr>
          <w:rFonts w:ascii="Arial" w:cs="Arial" w:eastAsia="Arial" w:hAnsi="Arial"/>
          <w:sz w:val="14"/>
          <w:szCs w:val="14"/>
          <w:color w:val="auto"/>
        </w:rPr>
        <w:t>In December 2014, we initiated a single arm, open-label Phase 2 study of glembatumumab vedotin in patients with unresectable Stage III or IV melanoma. The study is expected to include approximately 10 sites in the United States and will enroll approximately 60 patients. The primary objective is to evaluate the anticancer activity of glembatumumab vedotin in advanced melanoma as measured by the ORR. Secondary endpoints include analyses of PFS, duration of response, OS, retrospective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investigation of whether the anticancer activity of glembatumumab vedotin is dependent upon the degree of gpNMB expression in tumor tissue and safety.</w:t>
      </w:r>
    </w:p>
    <w:p>
      <w:pPr>
        <w:spacing w:after="0" w:line="216" w:lineRule="exact"/>
        <w:rPr>
          <w:sz w:val="20"/>
          <w:szCs w:val="20"/>
          <w:color w:val="auto"/>
        </w:rPr>
      </w:pPr>
    </w:p>
    <w:p>
      <w:pPr>
        <w:ind w:right="240" w:firstLine="322"/>
        <w:spacing w:after="0" w:line="275" w:lineRule="auto"/>
        <w:rPr>
          <w:sz w:val="20"/>
          <w:szCs w:val="20"/>
          <w:color w:val="auto"/>
        </w:rPr>
      </w:pPr>
      <w:r>
        <w:rPr>
          <w:rFonts w:ascii="Arial" w:cs="Arial" w:eastAsia="Arial" w:hAnsi="Arial"/>
          <w:sz w:val="16"/>
          <w:szCs w:val="16"/>
          <w:color w:val="auto"/>
        </w:rPr>
        <w:t>We have completed the assay optimization and validation for a Phase 2 study in squamous cell lung cancer and expect the study will commence in 2015. We have also entered into a Cooperative Research and Development Agreement, or CRADA, with the National Cancer Institute, or NCI, under which NCI will sponsor two studies of glembatumumab vedotin—one in uveal melanoma and one in pediatric osteosarcoma.</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Varlilumab</w:t>
      </w:r>
    </w:p>
    <w:p>
      <w:pPr>
        <w:spacing w:after="0" w:line="216" w:lineRule="exact"/>
        <w:rPr>
          <w:sz w:val="20"/>
          <w:szCs w:val="20"/>
          <w:color w:val="auto"/>
        </w:rPr>
      </w:pPr>
    </w:p>
    <w:p>
      <w:pPr>
        <w:ind w:firstLine="322"/>
        <w:spacing w:after="0" w:line="275" w:lineRule="auto"/>
        <w:rPr>
          <w:sz w:val="20"/>
          <w:szCs w:val="20"/>
          <w:color w:val="auto"/>
        </w:rPr>
      </w:pPr>
      <w:r>
        <w:rPr>
          <w:rFonts w:ascii="Arial" w:cs="Arial" w:eastAsia="Arial" w:hAnsi="Arial"/>
          <w:sz w:val="16"/>
          <w:szCs w:val="16"/>
          <w:color w:val="auto"/>
        </w:rPr>
        <w:t>Varlilumab is a human monoclonal antibody that targets CD27, a potentially important target for immunotherapy of various cancers. We have entered into license agreements with the University of Southampton, UK for intellectual property related to uses of anti-CD27 antibodies and with Medarex (now a subsidiary of the Bristol-Myers Squibb Company, or BMS) for access to the UltiMab technology to develop and commercialize human antibodies to CD27.</w:t>
      </w:r>
    </w:p>
    <w:p>
      <w:pPr>
        <w:spacing w:after="0" w:line="168" w:lineRule="exact"/>
        <w:rPr>
          <w:sz w:val="20"/>
          <w:szCs w:val="20"/>
          <w:color w:val="auto"/>
        </w:rPr>
      </w:pPr>
    </w:p>
    <w:p>
      <w:pPr>
        <w:ind w:right="120" w:firstLine="325"/>
        <w:spacing w:after="0" w:line="270" w:lineRule="auto"/>
        <w:rPr>
          <w:sz w:val="20"/>
          <w:szCs w:val="20"/>
          <w:color w:val="auto"/>
        </w:rPr>
      </w:pPr>
      <w:r>
        <w:rPr>
          <w:rFonts w:ascii="Arial" w:cs="Arial" w:eastAsia="Arial" w:hAnsi="Arial"/>
          <w:sz w:val="16"/>
          <w:szCs w:val="16"/>
          <w:color w:val="auto"/>
        </w:rPr>
        <w:t xml:space="preserve">CD27 acts downstream from CD40 and may provide a novel way to regulate the immune responses. CD27 is a co-stimulatory molecule on T cells and is over-expressed in certain lymphomas and leukemias. Varlilumab is an agonist antibody designed to have two potential therapeutic mechanisms. Varlilumab has been shown to activate immune cells that can target and eliminate cancerous cells in tumor-bearing mice and to directly kill or inhibit the growth of CD27 expressing lymphomas and leukemias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and</w:t>
      </w:r>
      <w:r>
        <w:rPr>
          <w:rFonts w:ascii="Arial" w:cs="Arial" w:eastAsia="Arial" w:hAnsi="Arial"/>
          <w:sz w:val="16"/>
          <w:szCs w:val="16"/>
          <w:i w:val="1"/>
          <w:iCs w:val="1"/>
          <w:color w:val="auto"/>
        </w:rPr>
        <w:t xml:space="preserve"> in vivo</w:t>
      </w:r>
      <w:r>
        <w:rPr>
          <w:rFonts w:ascii="Arial" w:cs="Arial" w:eastAsia="Arial" w:hAnsi="Arial"/>
          <w:sz w:val="16"/>
          <w:szCs w:val="16"/>
          <w:color w:val="auto"/>
        </w:rPr>
        <w:t>. Both mechanisms have been seen even at low doses in appropriate preclinical models.</w:t>
      </w:r>
    </w:p>
    <w:p>
      <w:pPr>
        <w:spacing w:after="0" w:line="172" w:lineRule="exact"/>
        <w:rPr>
          <w:sz w:val="20"/>
          <w:szCs w:val="20"/>
          <w:color w:val="auto"/>
        </w:rPr>
      </w:pPr>
    </w:p>
    <w:p>
      <w:pPr>
        <w:ind w:right="40" w:firstLine="322"/>
        <w:spacing w:after="0" w:line="287" w:lineRule="auto"/>
        <w:rPr>
          <w:sz w:val="20"/>
          <w:szCs w:val="20"/>
          <w:color w:val="auto"/>
        </w:rPr>
      </w:pPr>
      <w:r>
        <w:rPr>
          <w:rFonts w:ascii="Arial" w:cs="Arial" w:eastAsia="Arial" w:hAnsi="Arial"/>
          <w:sz w:val="15"/>
          <w:szCs w:val="15"/>
          <w:color w:val="auto"/>
        </w:rPr>
        <w:t>We are conducting an open label Phase 1 study of varlilumab in patients with selected malignant solid tumors or hematologic cancers at multiple clinical sites in the United States. Initial dose escalation cohorts were conducted to determine an optimal dose for future study and, to date, no maximum tolerated dose has been reached. The lymphoid malignancies dose escalation arm has completed enrollment (n=24) and a new cohort has been added to include evaluation of T cell malignancies. An expansion cohort has also been added at 0.3mg/kg dosed once every three weeks in patients with Hodgkin Lymphoma (n=15). The solid tumor arm, which included patients with various solid tumors, completed dose escalation in 2013. Two expansion cohorts were subsequently added at 3 mg/kg dosed weekly in metastatic melanoma (n=16) and renal cell carcinoma (n=15) to better characterize clinical activity and further define the safety profile in preparation for combination studies.</w:t>
      </w:r>
    </w:p>
    <w:p>
      <w:pPr>
        <w:spacing w:after="0" w:line="163" w:lineRule="exact"/>
        <w:rPr>
          <w:sz w:val="20"/>
          <w:szCs w:val="20"/>
          <w:color w:val="auto"/>
        </w:rPr>
      </w:pPr>
    </w:p>
    <w:p>
      <w:pPr>
        <w:ind w:firstLine="322"/>
        <w:spacing w:after="0" w:line="264" w:lineRule="auto"/>
        <w:rPr>
          <w:sz w:val="20"/>
          <w:szCs w:val="20"/>
          <w:color w:val="auto"/>
        </w:rPr>
      </w:pPr>
      <w:r>
        <w:rPr>
          <w:rFonts w:ascii="Arial" w:cs="Arial" w:eastAsia="Arial" w:hAnsi="Arial"/>
          <w:sz w:val="16"/>
          <w:szCs w:val="16"/>
          <w:color w:val="auto"/>
        </w:rPr>
        <w:t>We presented updated data from this Phase 1 study in November 2014. Varlilumab was very well tolerated and induced immunologic activity in patients that is consistent with both its mechanism of action and preclinical models. A total of 86 patients have been dosed in the study. 55 patients have been dosed in dose escalation cohorts (various solid and hematologic B-cell tumors) and 31 patients have been dosed in the expansion cohorts (melanoma and RCC) at 3 mg/kg. In both the solid tumor and hematologic dose-escalations, the pre-specified maximum dose level (10 mg/kg) was reached without identification of a maximum tolerated dose. The majority of adverse events (AE) related to treatment have been mild to moderate (Grade 1/2) in severity, with only three serious AEs related to treatment reported. No significant immune-mediated adverse events (colitis, hepatitis, etc.) typically associated with check-point blockade have been observed. Two patients experienced objective responses including a complete response in Hodgkin Lymphoma and a partial response in renal cell carcinoma. Thirteen patients experienced stable disease with a range of 3-30.7+ months to-date. Based on the results observed in hematologic malignancies, an expansion cohort has been added to enroll up to 15 patients with Hodgkin Lymphoma and an abbreviated dose escalation in T cell hematologic malignancies is ongoing.</w:t>
      </w:r>
    </w:p>
    <w:p>
      <w:pPr>
        <w:spacing w:after="0" w:line="179" w:lineRule="exact"/>
        <w:rPr>
          <w:sz w:val="20"/>
          <w:szCs w:val="20"/>
          <w:color w:val="auto"/>
        </w:rPr>
      </w:pPr>
    </w:p>
    <w:p>
      <w:pPr>
        <w:ind w:right="220" w:firstLine="325"/>
        <w:spacing w:after="0" w:line="290" w:lineRule="auto"/>
        <w:rPr>
          <w:sz w:val="20"/>
          <w:szCs w:val="20"/>
          <w:color w:val="auto"/>
        </w:rPr>
      </w:pPr>
      <w:r>
        <w:rPr>
          <w:rFonts w:ascii="Arial" w:cs="Arial" w:eastAsia="Arial" w:hAnsi="Arial"/>
          <w:sz w:val="16"/>
          <w:szCs w:val="16"/>
          <w:color w:val="auto"/>
        </w:rPr>
        <w:t>In May 2014, we entered into a clinical trial collaboration with Bristol-Myers Squibb Company, or BMS, to evaluate the safety, tolerability and preliminary efficacy of varlilumab and Opdivo®, BMS's PD-1 immune checkpoint inhibitor, in a Phase 1/2 study. Under the terms of this clinical trial</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collaboration, BMS made a one-time payment to us of $5.0 million and the companies amended the terms of our existing license agreement with Medarex (a subsidiary of BMS) related to our CD27 program whereby certain future milestone payments were waived and future royalty rates were reduced that may have been due from us to Medarex. In return, BMS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73" w:lineRule="exact"/>
        <w:rPr>
          <w:sz w:val="20"/>
          <w:szCs w:val="20"/>
          <w:color w:val="auto"/>
        </w:rPr>
      </w:pPr>
    </w:p>
    <w:p>
      <w:pPr>
        <w:ind w:right="140" w:firstLine="322"/>
        <w:spacing w:after="0" w:line="268" w:lineRule="auto"/>
        <w:rPr>
          <w:sz w:val="20"/>
          <w:szCs w:val="20"/>
          <w:color w:val="auto"/>
        </w:rPr>
      </w:pPr>
      <w:r>
        <w:rPr>
          <w:rFonts w:ascii="Arial" w:cs="Arial" w:eastAsia="Arial" w:hAnsi="Arial"/>
          <w:sz w:val="16"/>
          <w:szCs w:val="16"/>
          <w:color w:val="auto"/>
        </w:rPr>
        <w:t>The Phase 1/2 study was initiated in January of 2015 and is being conducted in adult patients with advanced non-small cell lung cancer, metastatic melanoma, colorectal cancer, ovarian cancer, and head and neck squamous cell carcinoma. The Phase 1 dose-escalation portion of the study will assess the safety and tolerability of varlilumab at varying doses when administered with Opdivo. Following dose escalation, a Phase 2 portion of the study will include five disease specific cohorts. The primary objective of the Phase 2 study is overall response rate. Secondary objectives include pharmacokinetics assessments, determining the immunogenicity of varlilumab when given in combination with Opdivo and further assessing the anti-tumor activity of combination treatment.</w:t>
      </w:r>
    </w:p>
    <w:p>
      <w:pPr>
        <w:spacing w:after="0" w:line="173" w:lineRule="exact"/>
        <w:rPr>
          <w:sz w:val="20"/>
          <w:szCs w:val="20"/>
          <w:color w:val="auto"/>
        </w:rPr>
      </w:pPr>
    </w:p>
    <w:p>
      <w:pPr>
        <w:ind w:right="80" w:firstLine="325"/>
        <w:spacing w:after="0" w:line="287" w:lineRule="auto"/>
        <w:rPr>
          <w:sz w:val="20"/>
          <w:szCs w:val="20"/>
          <w:color w:val="auto"/>
        </w:rPr>
      </w:pPr>
      <w:r>
        <w:rPr>
          <w:rFonts w:ascii="Arial" w:cs="Arial" w:eastAsia="Arial" w:hAnsi="Arial"/>
          <w:sz w:val="15"/>
          <w:szCs w:val="15"/>
          <w:color w:val="auto"/>
        </w:rPr>
        <w:t>In May 2014, we also entered into a clinical trial collaboration with Oncothyreon Inc. to evaluate the safety, tolerability and preliminary efficacy of varlilumab and ONT-10, Oncothyreon's therapeutic vaccine targeting the tumor-associated antigen MUC1, in a Phase 1b study. Under the terms of the clinical trial collaboration, the Phase 1b trial will be conducted and funded by Oncothyreon. Both companies will jointly own the data from the trial and will make any plans for potential future development of the combination therapy together. The Phase 1b study was initiated in November 2014 and is being conducted in up to 42 patients with advanced breast or ovarian cancer. The primary objective of the trial is to determine the safety and tolerability of the combined therapy. Additional objectives include evaluations of the impact of combination treatment on MUC1-specific humoral and cellular immune responses, T-cell activation markers and levels of regulatory T-cells, and anti-tumor effects.</w:t>
      </w:r>
    </w:p>
    <w:p>
      <w:pPr>
        <w:spacing w:after="0" w:line="163" w:lineRule="exact"/>
        <w:rPr>
          <w:sz w:val="20"/>
          <w:szCs w:val="20"/>
          <w:color w:val="auto"/>
        </w:rPr>
      </w:pPr>
    </w:p>
    <w:p>
      <w:pPr>
        <w:ind w:firstLine="325"/>
        <w:spacing w:after="0" w:line="268" w:lineRule="auto"/>
        <w:rPr>
          <w:sz w:val="20"/>
          <w:szCs w:val="20"/>
          <w:color w:val="auto"/>
        </w:rPr>
      </w:pPr>
      <w:r>
        <w:rPr>
          <w:rFonts w:ascii="Arial" w:cs="Arial" w:eastAsia="Arial" w:hAnsi="Arial"/>
          <w:sz w:val="16"/>
          <w:szCs w:val="16"/>
          <w:color w:val="auto"/>
        </w:rPr>
        <w:t>Multiple efforts are underway to finalize designs and plans for additional Phase 2 combination studies of varlilumab, including but not limited to: a Phase 1/2 study of varlilumab and ipilumumab in patients with metastatic melanoma (plus CDX-1401 in NY-ESO positive patients); a Phase 1/2 of varlilumab plus sunitinib in renal cell carcinoma; and a Phase 1/2 study of varlilumab plus a mek pathway agent (followed sequentially by a checkpoint inhibitor) for patients with B-raf mutated metastatic melanoma. In addition to our sponsored studies and clinical trial collaborations, we anticipate that varlilumab's potential activity will also be explored in investigator sponsored studies at various academic institutions.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CDX-1401</w:t>
      </w:r>
    </w:p>
    <w:p>
      <w:pPr>
        <w:spacing w:after="0" w:line="216" w:lineRule="exact"/>
        <w:rPr>
          <w:sz w:val="20"/>
          <w:szCs w:val="20"/>
          <w:color w:val="auto"/>
        </w:rPr>
      </w:pPr>
    </w:p>
    <w:p>
      <w:pPr>
        <w:ind w:firstLine="325"/>
        <w:spacing w:after="0" w:line="266" w:lineRule="auto"/>
        <w:rPr>
          <w:sz w:val="20"/>
          <w:szCs w:val="20"/>
          <w:color w:val="auto"/>
        </w:rPr>
      </w:pPr>
      <w:r>
        <w:rPr>
          <w:rFonts w:ascii="Arial" w:cs="Arial" w:eastAsia="Arial" w:hAnsi="Arial"/>
          <w:sz w:val="16"/>
          <w:szCs w:val="16"/>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 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77" w:lineRule="exact"/>
        <w:rPr>
          <w:sz w:val="20"/>
          <w:szCs w:val="20"/>
          <w:color w:val="auto"/>
        </w:rPr>
      </w:pPr>
    </w:p>
    <w:p>
      <w:pPr>
        <w:ind w:right="220" w:firstLine="322"/>
        <w:spacing w:after="0" w:line="290" w:lineRule="auto"/>
        <w:rPr>
          <w:sz w:val="20"/>
          <w:szCs w:val="20"/>
          <w:color w:val="auto"/>
        </w:rPr>
      </w:pPr>
      <w:r>
        <w:rPr>
          <w:rFonts w:ascii="Arial" w:cs="Arial" w:eastAsia="Arial" w:hAnsi="Arial"/>
          <w:sz w:val="16"/>
          <w:szCs w:val="16"/>
          <w:color w:val="auto"/>
        </w:rPr>
        <w:t>We have completed a Phase 1 study of CDX-1401 which assessed the safety, immunogenicity and clinical activity of escalating doses of CDX-1401 with TLR agonists (resiquimod and/or Poly ICLC) in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20"/>
        <w:spacing w:after="0" w:line="283" w:lineRule="auto"/>
        <w:rPr>
          <w:sz w:val="20"/>
          <w:szCs w:val="20"/>
          <w:color w:val="auto"/>
        </w:rPr>
      </w:pPr>
      <w:r>
        <w:rPr>
          <w:rFonts w:ascii="Arial" w:cs="Arial" w:eastAsia="Arial" w:hAnsi="Arial"/>
          <w:sz w:val="15"/>
          <w:szCs w:val="15"/>
          <w:color w:val="auto"/>
        </w:rPr>
        <w:t>45 patients with advanced malignancies refractory to all available therapies. 60% of patients had confirmed NY-ESO expression in archived tumor sample. Thirteen patients maintained stable disease for up to 13.4 months with a median of 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ipilimumab or an investigational checkpoint inhibitor and six of these patients had objective tumor regression. Six patients with melanoma received ipilimumab within three months of treatment with CDX-1401 and four (67%) had objective tumor responses, including one complete response, which compares favorably to the overall response rate of 11% previously reported in metastatic melanoma patients treated with single-agent ipilimumab. In addition, two patients with non-small cell lung cancer received an investigational checkpoint blockade within two months of completing treatment with CDX-1401 and both achieved partial responses.</w:t>
      </w:r>
    </w:p>
    <w:p>
      <w:pPr>
        <w:spacing w:after="0" w:line="167" w:lineRule="exact"/>
        <w:rPr>
          <w:sz w:val="20"/>
          <w:szCs w:val="20"/>
          <w:color w:val="auto"/>
        </w:rPr>
      </w:pPr>
    </w:p>
    <w:p>
      <w:pPr>
        <w:ind w:right="60" w:firstLine="322"/>
        <w:spacing w:after="0" w:line="270" w:lineRule="auto"/>
        <w:rPr>
          <w:sz w:val="20"/>
          <w:szCs w:val="20"/>
          <w:color w:val="auto"/>
        </w:rPr>
      </w:pPr>
      <w:r>
        <w:rPr>
          <w:rFonts w:ascii="Arial" w:cs="Arial" w:eastAsia="Arial" w:hAnsi="Arial"/>
          <w:sz w:val="16"/>
          <w:szCs w:val="16"/>
          <w:color w:val="auto"/>
        </w:rPr>
        <w:t>The Phase 1 study identified a well-tolerated and immunogenic regimen to take forward into future studies. A Phase 2 study of CDX-1401 in combination with CDX-301 in metastatic melanoma is being conducted by the Cancer Immunotherapy Trials Network under a CRADA with the Cancer Therapy Evaluation Program of the NCI and is ongoing. In addition to our sponsored studies, we anticipate that CDX-1401's potential activity will also be explored in investigator sponsored studies at various academic institutions.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CDX-301</w:t>
      </w:r>
    </w:p>
    <w:p>
      <w:pPr>
        <w:spacing w:after="0" w:line="216" w:lineRule="exact"/>
        <w:rPr>
          <w:sz w:val="20"/>
          <w:szCs w:val="20"/>
          <w:color w:val="auto"/>
        </w:rPr>
      </w:pPr>
    </w:p>
    <w:p>
      <w:pPr>
        <w:ind w:right="40" w:firstLine="325"/>
        <w:spacing w:after="0" w:line="268" w:lineRule="auto"/>
        <w:rPr>
          <w:sz w:val="20"/>
          <w:szCs w:val="20"/>
          <w:color w:val="auto"/>
        </w:rPr>
      </w:pPr>
      <w:r>
        <w:rPr>
          <w:rFonts w:ascii="Arial" w:cs="Arial" w:eastAsia="Arial" w:hAnsi="Arial"/>
          <w:sz w:val="16"/>
          <w:szCs w:val="16"/>
          <w:color w:val="auto"/>
        </w:rPr>
        <w:t>CDX-301 is a FMS-like tyrosine kinase 3 ligand, or Flt3L, stem cell mobilizer and dendritic cell growth factor. We licensed CDX-301 from Amgen Inc.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3" w:lineRule="exact"/>
        <w:rPr>
          <w:sz w:val="20"/>
          <w:szCs w:val="20"/>
          <w:color w:val="auto"/>
        </w:rPr>
      </w:pPr>
    </w:p>
    <w:p>
      <w:pPr>
        <w:ind w:firstLine="325"/>
        <w:spacing w:after="0" w:line="283" w:lineRule="auto"/>
        <w:rPr>
          <w:sz w:val="20"/>
          <w:szCs w:val="20"/>
          <w:color w:val="auto"/>
        </w:rPr>
      </w:pPr>
      <w:r>
        <w:rPr>
          <w:rFonts w:ascii="Arial" w:cs="Arial" w:eastAsia="Arial" w:hAnsi="Arial"/>
          <w:sz w:val="15"/>
          <w:szCs w:val="15"/>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In December 2013, we announced data from a preclinical combination study of CDX-301and Mozobil® (Plerixafor injection, formerly AMD3100) demonstrating that the combination of these agents significantly increases hematopoietic stem cell mobilization in mice. The data demonstrate a novel potent cell mobilization regimen combining CDX-301 and Mozobil®, which may have significant potential for use in autologous and allogeneic hematopoietic stem cell transplantation. Based on the safety profile and the clinical and preclinical data to date, we initiated a pilot clinical study of CDX-301 for the mobilization and transplantation of allogeneic hematopoietic stem cells in patients with hematological malignancies undergoing hematopoietic stem cell transplantation. The study will explore the utility of CDX-301 alone and in combination with Mozobil®. In addition to our sponsored studies and clinical trial collaborations, we anticipate that CDX-301's potential activity will also be explored in investigator sponsored studies at various academic institutions.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Preclinical Programs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CDX-014</w:t>
      </w:r>
    </w:p>
    <w:p>
      <w:pPr>
        <w:spacing w:after="0" w:line="216" w:lineRule="exact"/>
        <w:rPr>
          <w:sz w:val="20"/>
          <w:szCs w:val="20"/>
          <w:color w:val="auto"/>
        </w:rPr>
      </w:pPr>
    </w:p>
    <w:p>
      <w:pPr>
        <w:ind w:firstLine="325"/>
        <w:spacing w:after="0" w:line="287" w:lineRule="auto"/>
        <w:rPr>
          <w:sz w:val="20"/>
          <w:szCs w:val="20"/>
          <w:color w:val="auto"/>
        </w:rPr>
      </w:pPr>
      <w:r>
        <w:rPr>
          <w:rFonts w:ascii="Arial" w:cs="Arial" w:eastAsia="Arial" w:hAnsi="Arial"/>
          <w:sz w:val="15"/>
          <w:szCs w:val="15"/>
          <w:color w:val="auto"/>
        </w:rPr>
        <w:t>CDX-014 is a fully-human monoclonal ADC that targets T-cell immunoglobulin and mucin domain 1, or TIM-1, a molecule that is upregulated in several cancers, including renal cell and ovarian carcinomas. TIM-1 is associated with kidney injury and the shedding of its ectodomain is a predictive biomarker for tumor progression. TIM-1 has very restricted expression in healthy tissues, making it a promising target for antibody mediated therapy. The TIM-1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expect to complete manufacturing and IND-enabling studies by the end of 2015 to support the initiation of Phase 1 clinical studies in renal cell carcinoma and potentially other TIM-1 expressing tumors in 2016.</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20" w:lineRule="exact"/>
        <w:rPr>
          <w:sz w:val="20"/>
          <w:szCs w:val="20"/>
          <w:color w:val="auto"/>
        </w:rPr>
      </w:pPr>
    </w:p>
    <w:p>
      <w:pPr>
        <w:ind w:right="120" w:firstLine="325"/>
        <w:spacing w:after="0" w:line="366" w:lineRule="auto"/>
        <w:rPr>
          <w:sz w:val="20"/>
          <w:szCs w:val="20"/>
          <w:color w:val="auto"/>
        </w:rPr>
      </w:pPr>
      <w:r>
        <w:rPr>
          <w:rFonts w:ascii="Arial" w:cs="Arial" w:eastAsia="Arial" w:hAnsi="Arial"/>
          <w:sz w:val="14"/>
          <w:szCs w:val="14"/>
          <w:color w:val="auto"/>
        </w:rPr>
        <w:t>Our significant accounting policies are described in Note 2 to the consolidated financial statements included in Item 8 of this Form 10-K. We believe our most critical accounting policies include accounting for revenue recognition, impairment of long-lived assets, research and development expenses and stock-based compensation expense.</w:t>
      </w:r>
    </w:p>
    <w:p>
      <w:pPr>
        <w:spacing w:after="0" w:line="109" w:lineRule="exact"/>
        <w:rPr>
          <w:sz w:val="20"/>
          <w:szCs w:val="20"/>
          <w:color w:val="auto"/>
        </w:rPr>
      </w:pPr>
    </w:p>
    <w:p>
      <w:pPr>
        <w:ind w:right="80" w:firstLine="322"/>
        <w:spacing w:after="0" w:line="287" w:lineRule="auto"/>
        <w:rPr>
          <w:sz w:val="20"/>
          <w:szCs w:val="20"/>
          <w:color w:val="auto"/>
        </w:rPr>
      </w:pPr>
      <w:r>
        <w:rPr>
          <w:rFonts w:ascii="Arial" w:cs="Arial" w:eastAsia="Arial" w:hAnsi="Arial"/>
          <w:sz w:val="15"/>
          <w:szCs w:val="15"/>
          <w:color w:val="auto"/>
        </w:rPr>
        <w:t>The methods, estimates and judgments we use in applying our most critical accounting policies have a significant impact on the results we report in our consolidated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16" w:lineRule="exact"/>
        <w:rPr>
          <w:sz w:val="20"/>
          <w:szCs w:val="20"/>
          <w:color w:val="auto"/>
        </w:rPr>
      </w:pPr>
    </w:p>
    <w:p>
      <w:pPr>
        <w:ind w:right="100" w:firstLine="322"/>
        <w:spacing w:after="0" w:line="290" w:lineRule="auto"/>
        <w:rPr>
          <w:sz w:val="20"/>
          <w:szCs w:val="20"/>
          <w:color w:val="auto"/>
        </w:rPr>
      </w:pPr>
      <w:r>
        <w:rPr>
          <w:rFonts w:ascii="Arial" w:cs="Arial" w:eastAsia="Arial" w:hAnsi="Arial"/>
          <w:sz w:val="16"/>
          <w:szCs w:val="16"/>
          <w:color w:val="auto"/>
        </w:rPr>
        <w:t>We recognize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56" w:lineRule="exact"/>
        <w:rPr>
          <w:sz w:val="20"/>
          <w:szCs w:val="20"/>
          <w:color w:val="auto"/>
        </w:rPr>
      </w:pPr>
    </w:p>
    <w:p>
      <w:pPr>
        <w:ind w:firstLine="322"/>
        <w:spacing w:after="0" w:line="311" w:lineRule="auto"/>
        <w:rPr>
          <w:sz w:val="20"/>
          <w:szCs w:val="20"/>
          <w:color w:val="auto"/>
        </w:rPr>
      </w:pPr>
      <w:r>
        <w:rPr>
          <w:rFonts w:ascii="Arial" w:cs="Arial" w:eastAsia="Arial" w:hAnsi="Arial"/>
          <w:sz w:val="14"/>
          <w:szCs w:val="14"/>
          <w:color w:val="auto"/>
        </w:rPr>
        <w:t>We have entered into and in the future may enter into biopharmaceutical product development agreements with collaborative partners for the research and development of therapeutic drug products. The terms of the agreements may include nonrefundable signing and licensing fees, funding for 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we allocate revenue to the various elements based on their relative fair value. The fair value of a revenue generating element can be based on current selling prices offered by us or another party for current products or our best estimate of a selling price for future products. Revenue allocated to an individual element is recognized when all other revenue recognition criteria are met for that element.</w:t>
      </w:r>
    </w:p>
    <w:p>
      <w:pPr>
        <w:spacing w:after="0" w:line="149" w:lineRule="exact"/>
        <w:rPr>
          <w:sz w:val="20"/>
          <w:szCs w:val="20"/>
          <w:color w:val="auto"/>
        </w:rPr>
      </w:pPr>
    </w:p>
    <w:p>
      <w:pPr>
        <w:jc w:val="both"/>
        <w:ind w:firstLine="322"/>
        <w:spacing w:after="0" w:line="275" w:lineRule="auto"/>
        <w:rPr>
          <w:sz w:val="20"/>
          <w:szCs w:val="20"/>
          <w:color w:val="auto"/>
        </w:rPr>
      </w:pPr>
      <w:r>
        <w:rPr>
          <w:rFonts w:ascii="Arial" w:cs="Arial" w:eastAsia="Arial" w:hAnsi="Arial"/>
          <w:sz w:val="16"/>
          <w:szCs w:val="16"/>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our involvement in achieving the milestones and whether the amount of the payment is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commensurate to our performance. If not considered substantive, milestones are initially deferred and recognized over the remaining period of the performance obligation.</w:t>
      </w:r>
    </w:p>
    <w:p>
      <w:pPr>
        <w:spacing w:after="0" w:line="228" w:lineRule="exact"/>
        <w:rPr>
          <w:sz w:val="20"/>
          <w:szCs w:val="20"/>
          <w:color w:val="auto"/>
        </w:rPr>
      </w:pPr>
    </w:p>
    <w:p>
      <w:pPr>
        <w:ind w:right="40" w:firstLine="325"/>
        <w:spacing w:after="0" w:line="302" w:lineRule="auto"/>
        <w:rPr>
          <w:sz w:val="20"/>
          <w:szCs w:val="20"/>
          <w:color w:val="auto"/>
        </w:rPr>
      </w:pPr>
      <w:r>
        <w:rPr>
          <w:rFonts w:ascii="Arial" w:cs="Arial" w:eastAsia="Arial" w:hAnsi="Arial"/>
          <w:sz w:val="15"/>
          <w:szCs w:val="15"/>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our contractual partner. Payments received in advance that are related to future performance are deferred and recognized as revenue when the research projects are performed.</w:t>
      </w:r>
    </w:p>
    <w:p>
      <w:pPr>
        <w:spacing w:after="0" w:line="149" w:lineRule="exact"/>
        <w:rPr>
          <w:sz w:val="20"/>
          <w:szCs w:val="20"/>
          <w:color w:val="auto"/>
        </w:rPr>
      </w:pPr>
    </w:p>
    <w:p>
      <w:pPr>
        <w:ind w:right="120" w:firstLine="325"/>
        <w:spacing w:after="0" w:line="366" w:lineRule="auto"/>
        <w:rPr>
          <w:sz w:val="20"/>
          <w:szCs w:val="20"/>
          <w:color w:val="auto"/>
        </w:rPr>
      </w:pPr>
      <w:r>
        <w:rPr>
          <w:rFonts w:ascii="Arial" w:cs="Arial" w:eastAsia="Arial" w:hAnsi="Arial"/>
          <w:sz w:val="14"/>
          <w:szCs w:val="14"/>
          <w:color w:val="auto"/>
        </w:rPr>
        <w:t>Product royalty revenue consists of payments received from licensees for a portion of sales proceeds from products that utilize our licensed technologies and are recognized when the amount of and basis for such royalty payments are reported to us in accurate and appropriate form and in accordance with the related license agreement.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Long-Lived Assets</w:t>
      </w:r>
    </w:p>
    <w:p>
      <w:pPr>
        <w:spacing w:after="0" w:line="216" w:lineRule="exact"/>
        <w:rPr>
          <w:sz w:val="20"/>
          <w:szCs w:val="20"/>
          <w:color w:val="auto"/>
        </w:rPr>
      </w:pPr>
    </w:p>
    <w:p>
      <w:pPr>
        <w:ind w:right="100" w:firstLine="322"/>
        <w:spacing w:after="0" w:line="270" w:lineRule="auto"/>
        <w:rPr>
          <w:sz w:val="20"/>
          <w:szCs w:val="20"/>
          <w:color w:val="auto"/>
        </w:rPr>
      </w:pPr>
      <w:r>
        <w:rPr>
          <w:rFonts w:ascii="Arial" w:cs="Arial" w:eastAsia="Arial" w:hAnsi="Arial"/>
          <w:sz w:val="16"/>
          <w:szCs w:val="16"/>
          <w:color w:val="auto"/>
        </w:rPr>
        <w:t>We evaluate the recoverability of our long-lived assets, including property and equipment, and finite-lived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72" w:lineRule="exact"/>
        <w:rPr>
          <w:sz w:val="20"/>
          <w:szCs w:val="20"/>
          <w:color w:val="auto"/>
        </w:rPr>
      </w:pPr>
    </w:p>
    <w:p>
      <w:pPr>
        <w:ind w:firstLine="325"/>
        <w:spacing w:after="0" w:line="266" w:lineRule="auto"/>
        <w:rPr>
          <w:sz w:val="20"/>
          <w:szCs w:val="20"/>
          <w:color w:val="auto"/>
        </w:rPr>
      </w:pPr>
      <w:r>
        <w:rPr>
          <w:rFonts w:ascii="Arial" w:cs="Arial" w:eastAsia="Arial" w:hAnsi="Arial"/>
          <w:sz w:val="16"/>
          <w:szCs w:val="16"/>
          <w:color w:val="auto"/>
        </w:rPr>
        <w:t>IPR&amp;D assets acquired in a business combination initially are recorded at fair value and accounted for as indefinite-lived intangible assets. These assets are maintained on our consolidated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IPR&amp;D assets are tested for impairment on an annual basis during the third quarter, or earlier if impairment indicators are present. We performed an annual impairment test of the IPR&amp;D assets as of July 1, 2014 and concluded that the IPR&amp;D assets were not impaired.</w:t>
      </w:r>
    </w:p>
    <w:p>
      <w:pPr>
        <w:spacing w:after="0" w:line="177" w:lineRule="exact"/>
        <w:rPr>
          <w:sz w:val="20"/>
          <w:szCs w:val="20"/>
          <w:color w:val="auto"/>
        </w:rPr>
      </w:pPr>
    </w:p>
    <w:p>
      <w:pPr>
        <w:ind w:right="100" w:firstLine="325"/>
        <w:spacing w:after="0" w:line="290" w:lineRule="auto"/>
        <w:rPr>
          <w:sz w:val="20"/>
          <w:szCs w:val="20"/>
          <w:color w:val="auto"/>
        </w:rPr>
      </w:pPr>
      <w:r>
        <w:rPr>
          <w:rFonts w:ascii="Arial" w:cs="Arial" w:eastAsia="Arial" w:hAnsi="Arial"/>
          <w:sz w:val="16"/>
          <w:szCs w:val="16"/>
          <w:color w:val="auto"/>
        </w:rPr>
        <w:t>Intangible assets acquired in a business combination with a finite life are recorded at fair value and amortized over the greater of economic consumption or on a straight-line basis over their estimated useful life.</w:t>
      </w:r>
    </w:p>
    <w:p>
      <w:pPr>
        <w:spacing w:after="0" w:line="156" w:lineRule="exact"/>
        <w:rPr>
          <w:sz w:val="20"/>
          <w:szCs w:val="20"/>
          <w:color w:val="auto"/>
        </w:rPr>
      </w:pPr>
    </w:p>
    <w:p>
      <w:pPr>
        <w:ind w:right="180" w:firstLine="322"/>
        <w:spacing w:after="0" w:line="275" w:lineRule="auto"/>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recorded to goodwill. Goodwill is evaluated for impairment on an annual basis during the third quarter, or earlier if impairment indicators are present. We performed an annual impairment test of the goodwill asset as of July 1, 2014 and concluded that goodwill was not impaired.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216" w:lineRule="exact"/>
        <w:rPr>
          <w:sz w:val="20"/>
          <w:szCs w:val="20"/>
          <w:color w:val="auto"/>
        </w:rPr>
      </w:pPr>
    </w:p>
    <w:p>
      <w:pPr>
        <w:ind w:right="120" w:firstLine="325"/>
        <w:spacing w:after="0" w:line="366" w:lineRule="auto"/>
        <w:rPr>
          <w:sz w:val="20"/>
          <w:szCs w:val="20"/>
          <w:color w:val="auto"/>
        </w:rPr>
      </w:pPr>
      <w:r>
        <w:rPr>
          <w:rFonts w:ascii="Arial" w:cs="Arial" w:eastAsia="Arial" w:hAnsi="Arial"/>
          <w:sz w:val="14"/>
          <w:szCs w:val="14"/>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09" w:lineRule="exact"/>
        <w:rPr>
          <w:sz w:val="20"/>
          <w:szCs w:val="20"/>
          <w:color w:val="auto"/>
        </w:rPr>
      </w:pPr>
    </w:p>
    <w:p>
      <w:pPr>
        <w:ind w:right="120" w:firstLine="325"/>
        <w:spacing w:after="0" w:line="332" w:lineRule="auto"/>
        <w:rPr>
          <w:sz w:val="20"/>
          <w:szCs w:val="20"/>
          <w:color w:val="auto"/>
        </w:rPr>
      </w:pPr>
      <w:r>
        <w:rPr>
          <w:rFonts w:ascii="Arial" w:cs="Arial" w:eastAsia="Arial" w:hAnsi="Arial"/>
          <w:sz w:val="14"/>
          <w:szCs w:val="14"/>
          <w:color w:val="auto"/>
        </w:rPr>
        <w:t>Clinical trial expenses include expenses associated with clinical research organizations, or CRO, services. Contract manufacturing expenses include expenses associated with contract manufacturing organizations, or CMO, services. The invoicing from CROs and CMOs for services rendered can lag several months. We accrue the cost of services rendered in connection with CRO and CMO activities based on our estimate of costs incurred. We maintain regular communication with our CROs and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CMOs to assess the reasonableness of our estimates. Differences between actual expenses and estimated expenses recorded have not been material and are adjusted for in the period in which they become known.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216" w:lineRule="exact"/>
        <w:rPr>
          <w:sz w:val="20"/>
          <w:szCs w:val="20"/>
          <w:color w:val="auto"/>
        </w:rPr>
      </w:pPr>
    </w:p>
    <w:p>
      <w:pPr>
        <w:ind w:right="80" w:firstLine="322"/>
        <w:spacing w:after="0" w:line="275" w:lineRule="auto"/>
        <w:rPr>
          <w:sz w:val="20"/>
          <w:szCs w:val="20"/>
          <w:color w:val="auto"/>
        </w:rPr>
      </w:pPr>
      <w:r>
        <w:rPr>
          <w:rFonts w:ascii="Arial" w:cs="Arial" w:eastAsia="Arial" w:hAnsi="Arial"/>
          <w:sz w:val="16"/>
          <w:szCs w:val="16"/>
          <w:color w:val="auto"/>
        </w:rPr>
        <w:t>We record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68" w:lineRule="exact"/>
        <w:rPr>
          <w:sz w:val="20"/>
          <w:szCs w:val="20"/>
          <w:color w:val="auto"/>
        </w:rPr>
      </w:pPr>
    </w:p>
    <w:p>
      <w:pPr>
        <w:ind w:right="280" w:firstLine="322"/>
        <w:spacing w:after="0" w:line="290" w:lineRule="auto"/>
        <w:rPr>
          <w:sz w:val="20"/>
          <w:szCs w:val="20"/>
          <w:color w:val="auto"/>
        </w:rPr>
      </w:pPr>
      <w:r>
        <w:rPr>
          <w:rFonts w:ascii="Arial" w:cs="Arial" w:eastAsia="Arial" w:hAnsi="Arial"/>
          <w:sz w:val="16"/>
          <w:szCs w:val="16"/>
          <w:color w:val="auto"/>
        </w:rPr>
        <w:t>We record stock-based compensation expense for stock options granted to non-employees based on the fair value of the stock options which is re-measured over the vesting term resulting in periodic adjustments to stock-based compensation expense.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 Ended December 31, 2014 compared with Year Ended December 31, 2013</w:t>
      </w: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 Ended</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Increase/</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Increase/</w:t>
            </w:r>
          </w:p>
        </w:tc>
        <w:tc>
          <w:tcPr>
            <w:tcW w:w="0" w:type="dxa"/>
            <w:vAlign w:val="bottom"/>
          </w:tcPr>
          <w:p>
            <w:pPr>
              <w:spacing w:after="0"/>
              <w:rPr>
                <w:sz w:val="1"/>
                <w:szCs w:val="1"/>
                <w:color w:val="auto"/>
              </w:rPr>
            </w:pPr>
          </w:p>
        </w:tc>
      </w:tr>
      <w:tr>
        <w:trPr>
          <w:trHeight w:val="88"/>
        </w:trPr>
        <w:tc>
          <w:tcPr>
            <w:tcW w:w="4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gridSpan w:val="6"/>
            <w:vMerge w:val="restart"/>
          </w:tcPr>
          <w:p>
            <w:pPr>
              <w:jc w:val="right"/>
              <w:ind w:right="62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6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center"/>
              <w:ind w:right="220"/>
              <w:spacing w:after="0" w:line="138" w:lineRule="exact"/>
              <w:rPr>
                <w:sz w:val="20"/>
                <w:szCs w:val="20"/>
                <w:color w:val="auto"/>
              </w:rPr>
            </w:pPr>
            <w:r>
              <w:rPr>
                <w:rFonts w:ascii="Arial" w:cs="Arial" w:eastAsia="Arial" w:hAnsi="Arial"/>
                <w:sz w:val="13"/>
                <w:szCs w:val="13"/>
                <w:b w:val="1"/>
                <w:bCs w:val="1"/>
                <w:color w:val="auto"/>
                <w:w w:val="84"/>
              </w:rPr>
              <w:t>(Decrease)</w:t>
            </w:r>
          </w:p>
        </w:tc>
        <w:tc>
          <w:tcPr>
            <w:tcW w:w="980" w:type="dxa"/>
            <w:vAlign w:val="bottom"/>
            <w:gridSpan w:val="2"/>
            <w:vMerge w:val="restart"/>
          </w:tcPr>
          <w:p>
            <w:pPr>
              <w:jc w:val="center"/>
              <w:ind w:right="220"/>
              <w:spacing w:after="0" w:line="138" w:lineRule="exact"/>
              <w:rPr>
                <w:sz w:val="20"/>
                <w:szCs w:val="20"/>
                <w:color w:val="auto"/>
              </w:rPr>
            </w:pPr>
            <w:r>
              <w:rPr>
                <w:rFonts w:ascii="Arial" w:cs="Arial" w:eastAsia="Arial" w:hAnsi="Arial"/>
                <w:sz w:val="13"/>
                <w:szCs w:val="13"/>
                <w:b w:val="1"/>
                <w:bCs w:val="1"/>
                <w:color w:val="auto"/>
                <w:w w:val="84"/>
              </w:rPr>
              <w:t>(Decrease)</w:t>
            </w:r>
          </w:p>
        </w:tc>
        <w:tc>
          <w:tcPr>
            <w:tcW w:w="0" w:type="dxa"/>
            <w:vAlign w:val="bottom"/>
          </w:tcPr>
          <w:p>
            <w:pPr>
              <w:spacing w:after="0"/>
              <w:rPr>
                <w:sz w:val="1"/>
                <w:szCs w:val="1"/>
                <w:color w:val="auto"/>
              </w:rPr>
            </w:pPr>
          </w:p>
        </w:tc>
      </w:tr>
      <w:tr>
        <w:trPr>
          <w:trHeight w:val="55"/>
        </w:trPr>
        <w:tc>
          <w:tcPr>
            <w:tcW w:w="43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4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spacing w:after="0" w:line="130" w:lineRule="exact"/>
              <w:rPr>
                <w:sz w:val="20"/>
                <w:szCs w:val="20"/>
                <w:color w:val="auto"/>
              </w:rPr>
            </w:pPr>
            <w:r>
              <w:rPr>
                <w:rFonts w:ascii="Arial" w:cs="Arial" w:eastAsia="Arial" w:hAnsi="Arial"/>
                <w:sz w:val="13"/>
                <w:szCs w:val="13"/>
                <w:b w:val="1"/>
                <w:bCs w:val="1"/>
                <w:color w:val="auto"/>
                <w:w w:val="84"/>
              </w:rPr>
              <w:t>(In thousands)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40" w:type="dxa"/>
            <w:vAlign w:val="bottom"/>
          </w:tcPr>
          <w:p>
            <w:pPr>
              <w:ind w:left="160"/>
              <w:spacing w:after="0"/>
              <w:rPr>
                <w:sz w:val="20"/>
                <w:szCs w:val="20"/>
                <w:color w:val="auto"/>
              </w:rPr>
            </w:pPr>
            <w:r>
              <w:rPr>
                <w:rFonts w:ascii="Arial" w:cs="Arial" w:eastAsia="Arial" w:hAnsi="Arial"/>
                <w:sz w:val="16"/>
                <w:szCs w:val="16"/>
                <w:color w:val="auto"/>
              </w:rPr>
              <w:t>Product Development and Licensing Agreements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838</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160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678</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00"/>
        </w:trPr>
        <w:tc>
          <w:tcPr>
            <w:tcW w:w="4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Contracts and Grants</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2,748</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1,617</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1,131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0"/>
        </w:trPr>
        <w:tc>
          <w:tcPr>
            <w:tcW w:w="4340" w:type="dxa"/>
            <w:vAlign w:val="bottom"/>
          </w:tcPr>
          <w:p>
            <w:pPr>
              <w:ind w:left="160"/>
              <w:spacing w:after="0"/>
              <w:rPr>
                <w:sz w:val="20"/>
                <w:szCs w:val="20"/>
                <w:color w:val="auto"/>
              </w:rPr>
            </w:pPr>
            <w:r>
              <w:rPr>
                <w:rFonts w:ascii="Arial" w:cs="Arial" w:eastAsia="Arial" w:hAnsi="Arial"/>
                <w:sz w:val="16"/>
                <w:szCs w:val="16"/>
                <w:color w:val="auto"/>
              </w:rPr>
              <w:t>Product Royalties</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2,334</w:t>
            </w: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(2,334)</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3,586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6"/>
                <w:szCs w:val="16"/>
                <w:color w:val="auto"/>
              </w:rPr>
              <w:t>Operating Expense: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104,381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67,401</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36,980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0"/>
        </w:trPr>
        <w:tc>
          <w:tcPr>
            <w:tcW w:w="4340" w:type="dxa"/>
            <w:vAlign w:val="bottom"/>
          </w:tcPr>
          <w:p>
            <w:pPr>
              <w:ind w:left="160"/>
              <w:spacing w:after="0"/>
              <w:rPr>
                <w:sz w:val="20"/>
                <w:szCs w:val="20"/>
                <w:color w:val="auto"/>
              </w:rPr>
            </w:pPr>
            <w:r>
              <w:rPr>
                <w:rFonts w:ascii="Arial" w:cs="Arial" w:eastAsia="Arial" w:hAnsi="Arial"/>
                <w:sz w:val="16"/>
                <w:szCs w:val="16"/>
                <w:color w:val="auto"/>
              </w:rPr>
              <w:t>Royalty</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2,334</w:t>
            </w: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(2,334)</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0"/>
        </w:trPr>
        <w:tc>
          <w:tcPr>
            <w:tcW w:w="4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20,622</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14,805</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5,817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0"/>
        </w:trPr>
        <w:tc>
          <w:tcPr>
            <w:tcW w:w="4340" w:type="dxa"/>
            <w:vAlign w:val="bottom"/>
          </w:tcPr>
          <w:p>
            <w:pPr>
              <w:ind w:left="160"/>
              <w:spacing w:after="0"/>
              <w:rPr>
                <w:sz w:val="20"/>
                <w:szCs w:val="20"/>
                <w:color w:val="auto"/>
              </w:rPr>
            </w:pPr>
            <w:r>
              <w:rPr>
                <w:rFonts w:ascii="Arial" w:cs="Arial" w:eastAsia="Arial" w:hAnsi="Arial"/>
                <w:sz w:val="16"/>
                <w:szCs w:val="16"/>
                <w:color w:val="auto"/>
              </w:rPr>
              <w:t>Amortization of Acquired Intangible Assets</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1,013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1,013</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126,016</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85,553</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40,463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3"/>
        </w:trPr>
        <w:tc>
          <w:tcPr>
            <w:tcW w:w="4340" w:type="dxa"/>
            <w:vAlign w:val="bottom"/>
          </w:tcPr>
          <w:p>
            <w:pPr>
              <w:spacing w:after="0"/>
              <w:rPr>
                <w:sz w:val="20"/>
                <w:szCs w:val="20"/>
                <w:color w:val="auto"/>
              </w:rPr>
            </w:pPr>
            <w:r>
              <w:rPr>
                <w:rFonts w:ascii="Arial" w:cs="Arial" w:eastAsia="Arial" w:hAnsi="Arial"/>
                <w:sz w:val="16"/>
                <w:szCs w:val="16"/>
                <w:color w:val="auto"/>
              </w:rPr>
              <w:t>Operating Loss</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(122,430)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0"/>
              </w:rPr>
              <w:t>(81,442)</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40,988</w:t>
            </w:r>
          </w:p>
        </w:tc>
        <w:tc>
          <w:tcPr>
            <w:tcW w:w="1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0"/>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Investment and Other Income, Net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4,350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819</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3,531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00"/>
        </w:trPr>
        <w:tc>
          <w:tcPr>
            <w:tcW w:w="4340" w:type="dxa"/>
            <w:vAlign w:val="bottom"/>
          </w:tcPr>
          <w:p>
            <w:pPr>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(927)</w:t>
            </w: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(927)</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9"/>
              </w:rPr>
              <w:t>(118,080)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0"/>
              </w:rPr>
              <w:t>(81,550)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36,530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Loss</w:t>
      </w:r>
    </w:p>
    <w:p>
      <w:pPr>
        <w:spacing w:after="0" w:line="216" w:lineRule="exact"/>
        <w:rPr>
          <w:sz w:val="20"/>
          <w:szCs w:val="20"/>
          <w:color w:val="auto"/>
        </w:rPr>
      </w:pPr>
    </w:p>
    <w:p>
      <w:pPr>
        <w:ind w:right="140" w:firstLine="322"/>
        <w:spacing w:after="0" w:line="290" w:lineRule="auto"/>
        <w:rPr>
          <w:sz w:val="20"/>
          <w:szCs w:val="20"/>
          <w:color w:val="auto"/>
        </w:rPr>
      </w:pPr>
      <w:r>
        <w:rPr>
          <w:rFonts w:ascii="Arial" w:cs="Arial" w:eastAsia="Arial" w:hAnsi="Arial"/>
          <w:sz w:val="16"/>
          <w:szCs w:val="16"/>
          <w:color w:val="auto"/>
        </w:rPr>
        <w:t>The $36.5 million increase in net loss for the year ended December 31, 2014 compared to the year ended December 31, 2013 was primarily the result of an increase in research and development and general and administrative expenses, partially offset by an increase in investment and other income.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216" w:lineRule="exact"/>
        <w:rPr>
          <w:sz w:val="20"/>
          <w:szCs w:val="20"/>
          <w:color w:val="auto"/>
        </w:rPr>
      </w:pPr>
    </w:p>
    <w:p>
      <w:pPr>
        <w:ind w:right="140" w:firstLine="322"/>
        <w:spacing w:after="0" w:line="290" w:lineRule="auto"/>
        <w:rPr>
          <w:sz w:val="20"/>
          <w:szCs w:val="20"/>
          <w:color w:val="auto"/>
        </w:rPr>
      </w:pPr>
      <w:r>
        <w:rPr>
          <w:rFonts w:ascii="Arial" w:cs="Arial" w:eastAsia="Arial" w:hAnsi="Arial"/>
          <w:sz w:val="16"/>
          <w:szCs w:val="16"/>
          <w:color w:val="auto"/>
        </w:rPr>
        <w:t>The $0.7 million increase in product development and licensing agreements revenue for the year ended December 31, 2014 compared to the year ended December 31, 2013 was primarily related to our BMS agreement. In May 2014, we entered into a clinical trial collaboration with BMS whereby BMS</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made a one-time payment to us of $5.0 million which we are recognizing as revenue over our estimated performance period of five years. The $1.1 million increase in contracts and grants revenue for the year ended December 31, 2014 compared to the year ended December 31, 2013 was primarily related to our Rockefeller University agreement pursuant to which we perform research and development services for Rockefeller. The agreement includes an approved project plan for the development services of $4.8 million and a term of three years. The $2.3 million decrease in product royalty revenue for the year ended December 31, 2014 compared to the year ended December 31, 2013 was due to the termination of our agreement with GlaxoSmithKline plc which occurred upon the expiration of the last relevant patent right covered by the agreement. The terminated retained interests in Rotarix® net royalties which were not sold to Paul Royalty Fund II, L.P. had been equal to the amount payable to Cincinnati Children's Hospital Medical Center and recognized as royalty expense by us.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w:t>
      </w:r>
    </w:p>
    <w:p>
      <w:pPr>
        <w:spacing w:after="0" w:line="216" w:lineRule="exact"/>
        <w:rPr>
          <w:sz w:val="20"/>
          <w:szCs w:val="20"/>
          <w:color w:val="auto"/>
        </w:rPr>
      </w:pPr>
    </w:p>
    <w:p>
      <w:pPr>
        <w:ind w:right="720" w:firstLine="325"/>
        <w:spacing w:after="0" w:line="290"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drug candidates as follows:</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160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Year Ended</w:t>
            </w:r>
          </w:p>
        </w:tc>
        <w:tc>
          <w:tcPr>
            <w:tcW w:w="8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Increase/</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5"/>
              </w:rPr>
              <w:t>Increase/</w:t>
            </w:r>
          </w:p>
        </w:tc>
        <w:tc>
          <w:tcPr>
            <w:tcW w:w="0" w:type="dxa"/>
            <w:vAlign w:val="bottom"/>
          </w:tcPr>
          <w:p>
            <w:pPr>
              <w:spacing w:after="0"/>
              <w:rPr>
                <w:sz w:val="1"/>
                <w:szCs w:val="1"/>
                <w:color w:val="auto"/>
              </w:rPr>
            </w:pPr>
          </w:p>
        </w:tc>
      </w:tr>
      <w:tr>
        <w:trPr>
          <w:trHeight w:val="88"/>
        </w:trPr>
        <w:tc>
          <w:tcPr>
            <w:tcW w:w="4640" w:type="dxa"/>
            <w:vAlign w:val="bottom"/>
          </w:tcPr>
          <w:p>
            <w:pPr>
              <w:spacing w:after="0"/>
              <w:rPr>
                <w:sz w:val="7"/>
                <w:szCs w:val="7"/>
                <w:color w:val="auto"/>
              </w:rPr>
            </w:pPr>
          </w:p>
        </w:tc>
        <w:tc>
          <w:tcPr>
            <w:tcW w:w="1600" w:type="dxa"/>
            <w:vAlign w:val="bottom"/>
            <w:gridSpan w:val="5"/>
            <w:vMerge w:val="restart"/>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6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center"/>
              <w:ind w:right="220"/>
              <w:spacing w:after="0" w:line="138" w:lineRule="exact"/>
              <w:rPr>
                <w:sz w:val="20"/>
                <w:szCs w:val="20"/>
                <w:color w:val="auto"/>
              </w:rPr>
            </w:pPr>
            <w:r>
              <w:rPr>
                <w:rFonts w:ascii="Arial" w:cs="Arial" w:eastAsia="Arial" w:hAnsi="Arial"/>
                <w:sz w:val="13"/>
                <w:szCs w:val="13"/>
                <w:b w:val="1"/>
                <w:bCs w:val="1"/>
                <w:color w:val="auto"/>
                <w:w w:val="84"/>
              </w:rPr>
              <w:t>(Decrease)</w:t>
            </w:r>
          </w:p>
        </w:tc>
        <w:tc>
          <w:tcPr>
            <w:tcW w:w="880" w:type="dxa"/>
            <w:vAlign w:val="bottom"/>
            <w:gridSpan w:val="2"/>
            <w:vMerge w:val="restart"/>
          </w:tcPr>
          <w:p>
            <w:pPr>
              <w:jc w:val="center"/>
              <w:ind w:right="120"/>
              <w:spacing w:after="0" w:line="138" w:lineRule="exact"/>
              <w:rPr>
                <w:sz w:val="20"/>
                <w:szCs w:val="20"/>
                <w:color w:val="auto"/>
              </w:rPr>
            </w:pPr>
            <w:r>
              <w:rPr>
                <w:rFonts w:ascii="Arial" w:cs="Arial" w:eastAsia="Arial" w:hAnsi="Arial"/>
                <w:sz w:val="13"/>
                <w:szCs w:val="13"/>
                <w:b w:val="1"/>
                <w:bCs w:val="1"/>
                <w:color w:val="auto"/>
                <w:w w:val="84"/>
              </w:rPr>
              <w:t>(Decrease)</w:t>
            </w:r>
          </w:p>
        </w:tc>
        <w:tc>
          <w:tcPr>
            <w:tcW w:w="0" w:type="dxa"/>
            <w:vAlign w:val="bottom"/>
          </w:tcPr>
          <w:p>
            <w:pPr>
              <w:spacing w:after="0"/>
              <w:rPr>
                <w:sz w:val="1"/>
                <w:szCs w:val="1"/>
                <w:color w:val="auto"/>
              </w:rPr>
            </w:pPr>
          </w:p>
        </w:tc>
      </w:tr>
      <w:tr>
        <w:trPr>
          <w:trHeight w:val="55"/>
        </w:trPr>
        <w:tc>
          <w:tcPr>
            <w:tcW w:w="46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4640" w:type="dxa"/>
            <w:vAlign w:val="bottom"/>
          </w:tcPr>
          <w:p>
            <w:pPr>
              <w:spacing w:after="0"/>
              <w:rPr>
                <w:sz w:val="13"/>
                <w:szCs w:val="13"/>
                <w:color w:val="auto"/>
              </w:rPr>
            </w:pPr>
          </w:p>
        </w:tc>
        <w:tc>
          <w:tcPr>
            <w:tcW w:w="640" w:type="dxa"/>
            <w:vAlign w:val="bottom"/>
          </w:tcPr>
          <w:p>
            <w:pPr>
              <w:jc w:val="right"/>
              <w:ind w:right="126"/>
              <w:spacing w:after="0"/>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3"/>
                <w:szCs w:val="13"/>
                <w:color w:val="auto"/>
              </w:rPr>
            </w:pPr>
          </w:p>
        </w:tc>
        <w:tc>
          <w:tcPr>
            <w:tcW w:w="720" w:type="dxa"/>
            <w:vAlign w:val="bottom"/>
            <w:gridSpan w:val="2"/>
          </w:tcPr>
          <w:p>
            <w:pPr>
              <w:jc w:val="right"/>
              <w:ind w:right="143"/>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6"/>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6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1"/>
              </w:rPr>
              <w:t>(In thousands)</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Personnel</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  20,666</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17,040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0"/>
        </w:trPr>
        <w:tc>
          <w:tcPr>
            <w:tcW w:w="4640" w:type="dxa"/>
            <w:vAlign w:val="bottom"/>
          </w:tcPr>
          <w:p>
            <w:pPr>
              <w:spacing w:after="0"/>
              <w:rPr>
                <w:sz w:val="20"/>
                <w:szCs w:val="20"/>
                <w:color w:val="auto"/>
              </w:rPr>
            </w:pPr>
            <w:r>
              <w:rPr>
                <w:rFonts w:ascii="Arial" w:cs="Arial" w:eastAsia="Arial" w:hAnsi="Arial"/>
                <w:sz w:val="16"/>
                <w:szCs w:val="16"/>
                <w:color w:val="auto"/>
              </w:rPr>
              <w:t>Laboratory Supplies</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3,598</w:t>
            </w: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3,247</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351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0"/>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Facility</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5,062</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4,526</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0"/>
        </w:trPr>
        <w:tc>
          <w:tcPr>
            <w:tcW w:w="4640" w:type="dxa"/>
            <w:vAlign w:val="bottom"/>
          </w:tcPr>
          <w:p>
            <w:pPr>
              <w:spacing w:after="0"/>
              <w:rPr>
                <w:sz w:val="20"/>
                <w:szCs w:val="20"/>
                <w:color w:val="auto"/>
              </w:rPr>
            </w:pPr>
            <w:r>
              <w:rPr>
                <w:rFonts w:ascii="Arial" w:cs="Arial" w:eastAsia="Arial" w:hAnsi="Arial"/>
                <w:sz w:val="16"/>
                <w:szCs w:val="16"/>
                <w:color w:val="auto"/>
              </w:rPr>
              <w:t>License Fees</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3,150</w:t>
            </w: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700</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2,450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0"/>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Product Development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67,205</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39,343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27,862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00" w:firstLine="325"/>
        <w:spacing w:after="0" w:line="270" w:lineRule="auto"/>
        <w:rPr>
          <w:sz w:val="20"/>
          <w:szCs w:val="20"/>
          <w:color w:val="auto"/>
        </w:rPr>
      </w:pPr>
      <w:r>
        <w:rPr>
          <w:rFonts w:ascii="Arial" w:cs="Arial" w:eastAsia="Arial" w:hAnsi="Arial"/>
          <w:sz w:val="16"/>
          <w:szCs w:val="16"/>
          <w:color w:val="auto"/>
        </w:rPr>
        <w:t>Personnel expenses primarily include salary, benefits, stock-based compensation and payroll taxes. The $3.6 million increase in personnel expenses for the year ended December 31, 2014 compared to the year ended December 31, 2013 was primarily due to increased headcount and higher stock-based compensation of $0.8 million. We expect personnel expenses to increase over the next twelve months as we plan to continue to increase our headcount, primarily to support our rindopepimut, glembatumumab vedotin and varlilumab programs.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Laboratory supply expenses include laboratory materials and supplies, services, and other related expenses incurred in the development of our technology.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$0.4 million increase in laboratory supply expenses for the year ended December 31, 2014 compared to the year ended December 31, 2013 was primarily due to higher</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manufacturing supply purchases. We expect supply expenses to remain relatively consistent over the next twelve months, although there may be fluctuations on a quarterly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basis.</w:t>
      </w:r>
    </w:p>
    <w:p>
      <w:pPr>
        <w:spacing w:after="0" w:line="209" w:lineRule="exact"/>
        <w:rPr>
          <w:sz w:val="20"/>
          <w:szCs w:val="20"/>
          <w:color w:val="auto"/>
        </w:rPr>
      </w:pPr>
    </w:p>
    <w:p>
      <w:pPr>
        <w:ind w:right="40" w:firstLine="325"/>
        <w:spacing w:after="0" w:line="270" w:lineRule="auto"/>
        <w:rPr>
          <w:sz w:val="20"/>
          <w:szCs w:val="20"/>
          <w:color w:val="auto"/>
        </w:rPr>
      </w:pPr>
      <w:r>
        <w:rPr>
          <w:rFonts w:ascii="Arial" w:cs="Arial" w:eastAsia="Arial" w:hAnsi="Arial"/>
          <w:sz w:val="16"/>
          <w:szCs w:val="16"/>
          <w:color w:val="auto"/>
        </w:rPr>
        <w:t>Facility expenses include depreciation, amortization, utilities, rent, maintenance, and other related expenses incurred at our facilities. The $0.5 million increase in facility expenses for the year ended December 31, 2014 compared to the year ended December 31, 2013 was primarily due to an increase in amortization expense related to the leasehold improvements made at our headquarters facility in Hampton, New Jersey. We expect facility expenses to remain relatively consistent over the next twelve months, although there may be fluctuations on a quarterly basis.</w:t>
      </w:r>
    </w:p>
    <w:p>
      <w:pPr>
        <w:spacing w:after="0" w:line="172" w:lineRule="exact"/>
        <w:rPr>
          <w:sz w:val="20"/>
          <w:szCs w:val="20"/>
          <w:color w:val="auto"/>
        </w:rPr>
      </w:pPr>
    </w:p>
    <w:p>
      <w:pPr>
        <w:ind w:right="100" w:firstLine="325"/>
        <w:spacing w:after="0" w:line="270" w:lineRule="auto"/>
        <w:rPr>
          <w:sz w:val="20"/>
          <w:szCs w:val="20"/>
          <w:color w:val="auto"/>
        </w:rPr>
      </w:pPr>
      <w:r>
        <w:rPr>
          <w:rFonts w:ascii="Arial" w:cs="Arial" w:eastAsia="Arial" w:hAnsi="Arial"/>
          <w:sz w:val="16"/>
          <w:szCs w:val="16"/>
          <w:color w:val="auto"/>
        </w:rPr>
        <w:t>License fee expenses include annual license maintenance fees and milestone payments due upon the achievement of certain development, regulatory and/or commercial milestones. The $2.5 million increase in license fee expenses for the year ended December 31, 2014 compared to the year ended December 31, 2013 was primarily due to the one-time $2.5 million milestone incurred and paid to Seattle Genetics as a result of the METRIC initiation. We expect license fee expense to decrease over the next twelve months without this one-time milestone payment.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20" w:firstLine="325"/>
        <w:spacing w:after="0" w:line="315" w:lineRule="auto"/>
        <w:rPr>
          <w:sz w:val="20"/>
          <w:szCs w:val="20"/>
          <w:color w:val="auto"/>
        </w:rPr>
      </w:pPr>
      <w:r>
        <w:rPr>
          <w:rFonts w:ascii="Arial" w:cs="Arial" w:eastAsia="Arial" w:hAnsi="Arial"/>
          <w:sz w:val="14"/>
          <w:szCs w:val="14"/>
          <w:color w:val="auto"/>
        </w:rPr>
        <w:t>Product development expenses include clinical investigator site fees, external trial monitoring costs, data accumulation costs, contracted research and outside clinical drug product manufacturing. The $27.9 million increase in product development expenses for the year ended December 31, 2014 compared to the year ended December 31, 2013 was primarily the result of an increase in clinical trial costs and contract manufacturing of $13.2 million and $14.3 million, respectively, primarily related to our rindopepimut and glembatumumab vedotin programs. We expect product development expenses to increase over the next twelve months primarily due to the increase in clinical trial and contract manufacturing expenses related to our rindopepimut, glembatumumab vedotin and varlilumab programs, although there may be fluctuations on a quarterly basis.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Expense</w:t>
      </w:r>
    </w:p>
    <w:p>
      <w:pPr>
        <w:spacing w:after="0" w:line="216" w:lineRule="exact"/>
        <w:rPr>
          <w:sz w:val="20"/>
          <w:szCs w:val="20"/>
          <w:color w:val="auto"/>
        </w:rPr>
      </w:pPr>
    </w:p>
    <w:p>
      <w:pPr>
        <w:ind w:right="220" w:firstLine="322"/>
        <w:spacing w:after="0" w:line="290" w:lineRule="auto"/>
        <w:rPr>
          <w:sz w:val="20"/>
          <w:szCs w:val="20"/>
          <w:color w:val="auto"/>
        </w:rPr>
      </w:pPr>
      <w:r>
        <w:rPr>
          <w:rFonts w:ascii="Arial" w:cs="Arial" w:eastAsia="Arial" w:hAnsi="Arial"/>
          <w:sz w:val="16"/>
          <w:szCs w:val="16"/>
          <w:color w:val="auto"/>
        </w:rPr>
        <w:t>The $2.3 million decrease in royalty expenses for the year ended December 31, 2014 compared to the year ended December 31, 2013 was due to the termination of our agreement with GlaxoSmithKline plc which occurred upon the expiration of the last relevant patent right covered by the agreement.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w:t>
      </w:r>
    </w:p>
    <w:p>
      <w:pPr>
        <w:spacing w:after="0" w:line="216" w:lineRule="exact"/>
        <w:rPr>
          <w:sz w:val="20"/>
          <w:szCs w:val="20"/>
          <w:color w:val="auto"/>
        </w:rPr>
      </w:pPr>
    </w:p>
    <w:p>
      <w:pPr>
        <w:ind w:right="240" w:firstLine="322"/>
        <w:spacing w:after="0" w:line="270" w:lineRule="auto"/>
        <w:rPr>
          <w:sz w:val="20"/>
          <w:szCs w:val="20"/>
          <w:color w:val="auto"/>
        </w:rPr>
      </w:pPr>
      <w:r>
        <w:rPr>
          <w:rFonts w:ascii="Arial" w:cs="Arial" w:eastAsia="Arial" w:hAnsi="Arial"/>
          <w:sz w:val="16"/>
          <w:szCs w:val="16"/>
          <w:color w:val="auto"/>
        </w:rPr>
        <w:t>The $5.8 million increase in general and administrative expenses for the year ended December 31, 2014 compared to the year ended December 31, 2013 was primarily due to higher stock-based compensation of $1.5 million, increased headcount and rindopepimut and glembatumumab vedotin commercialization planning costs. We expect general and administrative expense to increase over the next twelve months primarily due to increased commercial planning efforts for rindopepimut and glembatumumab vedotin, although there may be fluctuations on a quarterly basis.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Amortization Expense</w:t>
      </w:r>
    </w:p>
    <w:p>
      <w:pPr>
        <w:spacing w:after="0" w:line="216" w:lineRule="exact"/>
        <w:rPr>
          <w:sz w:val="20"/>
          <w:szCs w:val="20"/>
          <w:color w:val="auto"/>
        </w:rPr>
      </w:pPr>
    </w:p>
    <w:p>
      <w:pPr>
        <w:ind w:right="40" w:firstLine="316"/>
        <w:spacing w:after="0" w:line="290" w:lineRule="auto"/>
        <w:rPr>
          <w:sz w:val="20"/>
          <w:szCs w:val="20"/>
          <w:color w:val="auto"/>
        </w:rPr>
      </w:pPr>
      <w:r>
        <w:rPr>
          <w:rFonts w:ascii="Arial" w:cs="Arial" w:eastAsia="Arial" w:hAnsi="Arial"/>
          <w:sz w:val="16"/>
          <w:szCs w:val="16"/>
          <w:color w:val="auto"/>
        </w:rPr>
        <w:t>Amortization expenses for the year ended December 31, 2014 were relatively consistent compared to the year ended December 31, 2013. We expect amortization expense of acquired intangible assets to remain relatively consistent over the next twelve months.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and Other Income, Net</w:t>
      </w:r>
    </w:p>
    <w:p>
      <w:pPr>
        <w:spacing w:after="0" w:line="216" w:lineRule="exact"/>
        <w:rPr>
          <w:sz w:val="20"/>
          <w:szCs w:val="20"/>
          <w:color w:val="auto"/>
        </w:rPr>
      </w:pPr>
    </w:p>
    <w:p>
      <w:pPr>
        <w:ind w:firstLine="322"/>
        <w:spacing w:after="0" w:line="270" w:lineRule="auto"/>
        <w:rPr>
          <w:sz w:val="20"/>
          <w:szCs w:val="20"/>
          <w:color w:val="auto"/>
        </w:rPr>
      </w:pPr>
      <w:r>
        <w:rPr>
          <w:rFonts w:ascii="Arial" w:cs="Arial" w:eastAsia="Arial" w:hAnsi="Arial"/>
          <w:sz w:val="16"/>
          <w:szCs w:val="16"/>
          <w:color w:val="auto"/>
        </w:rPr>
        <w:t>The $3.5 million increase in investment and other income, net for the year ended December 31, 2014 compared to the year ended December 31, 2013 was primarily due to other income in 2014 of $3.0 million related to TopoTarget milestone payments. These payments are the last milestone payments we were owed from TopoTarget. Excluding the impact of the TopoTarget milestone payments, we anticipate investment income to remain relatively consistent over the next twelve months, although there may be fluctuations on a quarterly basis.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16" w:lineRule="exact"/>
        <w:rPr>
          <w:sz w:val="20"/>
          <w:szCs w:val="20"/>
          <w:color w:val="auto"/>
        </w:rPr>
      </w:pPr>
    </w:p>
    <w:p>
      <w:pPr>
        <w:ind w:right="100" w:firstLine="322"/>
        <w:spacing w:after="0" w:line="290" w:lineRule="auto"/>
        <w:rPr>
          <w:sz w:val="20"/>
          <w:szCs w:val="20"/>
          <w:color w:val="auto"/>
        </w:rPr>
      </w:pPr>
      <w:r>
        <w:rPr>
          <w:rFonts w:ascii="Arial" w:cs="Arial" w:eastAsia="Arial" w:hAnsi="Arial"/>
          <w:sz w:val="16"/>
          <w:szCs w:val="16"/>
          <w:color w:val="auto"/>
        </w:rPr>
        <w:t>The $0.9 million decrease in interest expense for the year ended December 31, 2014 compared to the year ended December 31, 2013 was primarily due to our election in May 2013 to prepay the Term Loan in full, pursuant to the terms of our loan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 Ended December 31, 2013 compared with Year Ended December 31, 2012</w:t>
      </w: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rPr>
              <w:t>Year Ended</w:t>
            </w:r>
          </w:p>
        </w:tc>
        <w:tc>
          <w:tcPr>
            <w:tcW w:w="8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Increase/</w:t>
            </w: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5"/>
              </w:rPr>
              <w:t>Increase/</w:t>
            </w:r>
          </w:p>
        </w:tc>
        <w:tc>
          <w:tcPr>
            <w:tcW w:w="0" w:type="dxa"/>
            <w:vAlign w:val="bottom"/>
          </w:tcPr>
          <w:p>
            <w:pPr>
              <w:spacing w:after="0"/>
              <w:rPr>
                <w:sz w:val="1"/>
                <w:szCs w:val="1"/>
                <w:color w:val="auto"/>
              </w:rPr>
            </w:pPr>
          </w:p>
        </w:tc>
      </w:tr>
      <w:tr>
        <w:trPr>
          <w:trHeight w:val="88"/>
        </w:trPr>
        <w:tc>
          <w:tcPr>
            <w:tcW w:w="4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80" w:type="dxa"/>
            <w:vAlign w:val="bottom"/>
            <w:gridSpan w:val="6"/>
            <w:vMerge w:val="restart"/>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jc w:val="center"/>
              <w:ind w:right="240"/>
              <w:spacing w:after="0" w:line="138" w:lineRule="exact"/>
              <w:rPr>
                <w:sz w:val="20"/>
                <w:szCs w:val="20"/>
                <w:color w:val="auto"/>
              </w:rPr>
            </w:pPr>
            <w:r>
              <w:rPr>
                <w:rFonts w:ascii="Arial" w:cs="Arial" w:eastAsia="Arial" w:hAnsi="Arial"/>
                <w:sz w:val="13"/>
                <w:szCs w:val="13"/>
                <w:b w:val="1"/>
                <w:bCs w:val="1"/>
                <w:color w:val="auto"/>
                <w:w w:val="84"/>
              </w:rPr>
              <w:t>(Decrease)</w:t>
            </w:r>
          </w:p>
        </w:tc>
        <w:tc>
          <w:tcPr>
            <w:tcW w:w="980" w:type="dxa"/>
            <w:vAlign w:val="bottom"/>
            <w:gridSpan w:val="2"/>
            <w:vMerge w:val="restart"/>
          </w:tcPr>
          <w:p>
            <w:pPr>
              <w:jc w:val="center"/>
              <w:ind w:right="260"/>
              <w:spacing w:after="0" w:line="138" w:lineRule="exact"/>
              <w:rPr>
                <w:sz w:val="20"/>
                <w:szCs w:val="20"/>
                <w:color w:val="auto"/>
              </w:rPr>
            </w:pPr>
            <w:r>
              <w:rPr>
                <w:rFonts w:ascii="Arial" w:cs="Arial" w:eastAsia="Arial" w:hAnsi="Arial"/>
                <w:sz w:val="13"/>
                <w:szCs w:val="13"/>
                <w:b w:val="1"/>
                <w:bCs w:val="1"/>
                <w:color w:val="auto"/>
                <w:w w:val="84"/>
              </w:rPr>
              <w:t>(Decrease)</w:t>
            </w:r>
          </w:p>
        </w:tc>
        <w:tc>
          <w:tcPr>
            <w:tcW w:w="0" w:type="dxa"/>
            <w:vAlign w:val="bottom"/>
          </w:tcPr>
          <w:p>
            <w:pPr>
              <w:spacing w:after="0"/>
              <w:rPr>
                <w:sz w:val="1"/>
                <w:szCs w:val="1"/>
                <w:color w:val="auto"/>
              </w:rPr>
            </w:pPr>
          </w:p>
        </w:tc>
      </w:tr>
      <w:tr>
        <w:trPr>
          <w:trHeight w:val="55"/>
        </w:trPr>
        <w:tc>
          <w:tcPr>
            <w:tcW w:w="44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4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w w:val="75"/>
              </w:rPr>
              <w:t>(In thousands)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00" w:type="dxa"/>
            <w:vAlign w:val="bottom"/>
          </w:tcPr>
          <w:p>
            <w:pPr>
              <w:ind w:left="160"/>
              <w:spacing w:after="0"/>
              <w:rPr>
                <w:sz w:val="20"/>
                <w:szCs w:val="20"/>
                <w:color w:val="auto"/>
              </w:rPr>
            </w:pPr>
            <w:r>
              <w:rPr>
                <w:rFonts w:ascii="Arial" w:cs="Arial" w:eastAsia="Arial" w:hAnsi="Arial"/>
                <w:sz w:val="16"/>
                <w:szCs w:val="16"/>
                <w:color w:val="auto"/>
              </w:rPr>
              <w:t>Product Development and Licensing Agreements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160</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Contracts and Grants</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1,617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1,336</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00"/>
        </w:trPr>
        <w:tc>
          <w:tcPr>
            <w:tcW w:w="4400" w:type="dxa"/>
            <w:vAlign w:val="bottom"/>
          </w:tcPr>
          <w:p>
            <w:pPr>
              <w:ind w:left="160"/>
              <w:spacing w:after="0"/>
              <w:rPr>
                <w:sz w:val="20"/>
                <w:szCs w:val="20"/>
                <w:color w:val="auto"/>
              </w:rPr>
            </w:pPr>
            <w:r>
              <w:rPr>
                <w:rFonts w:ascii="Arial" w:cs="Arial" w:eastAsia="Arial" w:hAnsi="Arial"/>
                <w:sz w:val="16"/>
                <w:szCs w:val="16"/>
                <w:color w:val="auto"/>
              </w:rPr>
              <w:t>Product Royalties</w:t>
            </w: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2,334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10,775</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(8,441)</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4,111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(7,091)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6"/>
                <w:szCs w:val="16"/>
                <w:color w:val="auto"/>
              </w:rPr>
              <w:t>Operating Expense: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67,401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47,398</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20,003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0"/>
        </w:trPr>
        <w:tc>
          <w:tcPr>
            <w:tcW w:w="4400" w:type="dxa"/>
            <w:vAlign w:val="bottom"/>
          </w:tcPr>
          <w:p>
            <w:pPr>
              <w:ind w:left="160"/>
              <w:spacing w:after="0"/>
              <w:rPr>
                <w:sz w:val="20"/>
                <w:szCs w:val="20"/>
                <w:color w:val="auto"/>
              </w:rPr>
            </w:pPr>
            <w:r>
              <w:rPr>
                <w:rFonts w:ascii="Arial" w:cs="Arial" w:eastAsia="Arial" w:hAnsi="Arial"/>
                <w:sz w:val="16"/>
                <w:szCs w:val="16"/>
                <w:color w:val="auto"/>
              </w:rPr>
              <w:t>Royalty</w:t>
            </w: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2,334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10,775</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(8,441)</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14,805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10,016</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4,789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0"/>
        </w:trPr>
        <w:tc>
          <w:tcPr>
            <w:tcW w:w="4400" w:type="dxa"/>
            <w:vAlign w:val="bottom"/>
          </w:tcPr>
          <w:p>
            <w:pPr>
              <w:ind w:left="160"/>
              <w:spacing w:after="0"/>
              <w:rPr>
                <w:sz w:val="20"/>
                <w:szCs w:val="20"/>
                <w:color w:val="auto"/>
              </w:rPr>
            </w:pPr>
            <w:r>
              <w:rPr>
                <w:rFonts w:ascii="Arial" w:cs="Arial" w:eastAsia="Arial" w:hAnsi="Arial"/>
                <w:sz w:val="16"/>
                <w:szCs w:val="16"/>
                <w:color w:val="auto"/>
              </w:rPr>
              <w:t>Amortization of Acquired Intangible Assets</w:t>
            </w: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1,013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1,090</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(77)</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85,553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69,279</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16,274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3"/>
        </w:trPr>
        <w:tc>
          <w:tcPr>
            <w:tcW w:w="4400" w:type="dxa"/>
            <w:vAlign w:val="bottom"/>
          </w:tcPr>
          <w:p>
            <w:pPr>
              <w:spacing w:after="0"/>
              <w:rPr>
                <w:sz w:val="20"/>
                <w:szCs w:val="20"/>
                <w:color w:val="auto"/>
              </w:rPr>
            </w:pPr>
            <w:r>
              <w:rPr>
                <w:rFonts w:ascii="Arial" w:cs="Arial" w:eastAsia="Arial" w:hAnsi="Arial"/>
                <w:sz w:val="16"/>
                <w:szCs w:val="16"/>
                <w:color w:val="auto"/>
              </w:rPr>
              <w:t>Operating Loss</w:t>
            </w: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(81,442)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(58,077)</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23,365</w:t>
            </w:r>
          </w:p>
        </w:tc>
        <w:tc>
          <w:tcPr>
            <w:tcW w:w="16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Investment and Other Income, Net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(927)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(1,576)</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(649)</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(81,550)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(59,123)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22,427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Loss</w:t>
      </w:r>
    </w:p>
    <w:p>
      <w:pPr>
        <w:spacing w:after="0" w:line="216" w:lineRule="exact"/>
        <w:rPr>
          <w:sz w:val="20"/>
          <w:szCs w:val="20"/>
          <w:color w:val="auto"/>
        </w:rPr>
      </w:pPr>
    </w:p>
    <w:p>
      <w:pPr>
        <w:ind w:right="280" w:firstLine="322"/>
        <w:spacing w:after="0" w:line="290" w:lineRule="auto"/>
        <w:rPr>
          <w:sz w:val="20"/>
          <w:szCs w:val="20"/>
          <w:color w:val="auto"/>
        </w:rPr>
      </w:pPr>
      <w:r>
        <w:rPr>
          <w:rFonts w:ascii="Arial" w:cs="Arial" w:eastAsia="Arial" w:hAnsi="Arial"/>
          <w:sz w:val="16"/>
          <w:szCs w:val="16"/>
          <w:color w:val="auto"/>
        </w:rPr>
        <w:t>The $22.4 million increase in net loss for the year ended December 31, 2013 compared to the year ended December 31, 2012 was primarily the result of an increase in research and development and general and administrative expenses.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216" w:lineRule="exact"/>
        <w:rPr>
          <w:sz w:val="20"/>
          <w:szCs w:val="20"/>
          <w:color w:val="auto"/>
        </w:rPr>
      </w:pPr>
    </w:p>
    <w:p>
      <w:pPr>
        <w:ind w:right="100" w:firstLine="322"/>
        <w:spacing w:after="0" w:line="270" w:lineRule="auto"/>
        <w:rPr>
          <w:sz w:val="20"/>
          <w:szCs w:val="20"/>
          <w:color w:val="auto"/>
        </w:rPr>
      </w:pPr>
      <w:r>
        <w:rPr>
          <w:rFonts w:ascii="Arial" w:cs="Arial" w:eastAsia="Arial" w:hAnsi="Arial"/>
          <w:sz w:val="16"/>
          <w:szCs w:val="16"/>
          <w:color w:val="auto"/>
        </w:rPr>
        <w:t>The $1.3 million increase in contracts and grants revenue for the year ended December 31, 2013 compared to the year ended December 31, 2012 was primarily related to our Rockefeller University agreement pursuant to which we perform research and development services for Rockefeller. The $8.4 million decrease in product royalty revenue for the year ended December 31, 2013 compared to the year ended December 31, 2012 was due to the termination of our agreement with GlaxoSmithKline plc upon the expiration of the last relevant patent right covered by the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0" w:type="dxa"/>
            <w:vAlign w:val="bottom"/>
            <w:gridSpan w:val="5"/>
            <w:vMerge w:val="restart"/>
          </w:tcPr>
          <w:p>
            <w:pPr>
              <w:jc w:val="right"/>
              <w:ind w:right="180"/>
              <w:spacing w:after="0"/>
              <w:rPr>
                <w:sz w:val="20"/>
                <w:szCs w:val="20"/>
                <w:color w:val="auto"/>
              </w:rPr>
            </w:pPr>
            <w:r>
              <w:rPr>
                <w:rFonts w:ascii="Arial" w:cs="Arial" w:eastAsia="Arial" w:hAnsi="Arial"/>
                <w:sz w:val="13"/>
                <w:szCs w:val="13"/>
                <w:b w:val="1"/>
                <w:bCs w:val="1"/>
                <w:color w:val="auto"/>
                <w:w w:val="87"/>
              </w:rPr>
              <w:t>Year Ended December 31,</w:t>
            </w:r>
          </w:p>
        </w:tc>
        <w:tc>
          <w:tcPr>
            <w:tcW w:w="8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Increase/</w:t>
            </w:r>
          </w:p>
        </w:tc>
        <w:tc>
          <w:tcPr>
            <w:tcW w:w="2600" w:type="dxa"/>
            <w:vAlign w:val="bottom"/>
            <w:gridSpan w:val="3"/>
          </w:tcPr>
          <w:p>
            <w:pPr>
              <w:jc w:val="center"/>
              <w:ind w:right="1840"/>
              <w:spacing w:after="0"/>
              <w:rPr>
                <w:sz w:val="20"/>
                <w:szCs w:val="20"/>
                <w:color w:val="auto"/>
              </w:rPr>
            </w:pPr>
            <w:r>
              <w:rPr>
                <w:rFonts w:ascii="Arial" w:cs="Arial" w:eastAsia="Arial" w:hAnsi="Arial"/>
                <w:sz w:val="13"/>
                <w:szCs w:val="13"/>
                <w:b w:val="1"/>
                <w:bCs w:val="1"/>
                <w:color w:val="auto"/>
                <w:w w:val="85"/>
              </w:rPr>
              <w:t>Increase/</w:t>
            </w:r>
          </w:p>
        </w:tc>
        <w:tc>
          <w:tcPr>
            <w:tcW w:w="0" w:type="dxa"/>
            <w:vAlign w:val="bottom"/>
          </w:tcPr>
          <w:p>
            <w:pPr>
              <w:spacing w:after="0"/>
              <w:rPr>
                <w:sz w:val="1"/>
                <w:szCs w:val="1"/>
                <w:color w:val="auto"/>
              </w:rPr>
            </w:pPr>
          </w:p>
        </w:tc>
      </w:tr>
      <w:tr>
        <w:trPr>
          <w:trHeight w:val="63"/>
        </w:trPr>
        <w:tc>
          <w:tcPr>
            <w:tcW w:w="17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restart"/>
          </w:tcPr>
          <w:p>
            <w:pPr>
              <w:jc w:val="center"/>
              <w:ind w:right="220"/>
              <w:spacing w:after="0" w:line="138" w:lineRule="exact"/>
              <w:rPr>
                <w:sz w:val="20"/>
                <w:szCs w:val="20"/>
                <w:color w:val="auto"/>
              </w:rPr>
            </w:pPr>
            <w:r>
              <w:rPr>
                <w:rFonts w:ascii="Arial" w:cs="Arial" w:eastAsia="Arial" w:hAnsi="Arial"/>
                <w:sz w:val="13"/>
                <w:szCs w:val="13"/>
                <w:b w:val="1"/>
                <w:bCs w:val="1"/>
                <w:color w:val="auto"/>
                <w:w w:val="84"/>
              </w:rPr>
              <w:t>(Decrease)</w:t>
            </w:r>
          </w:p>
        </w:tc>
        <w:tc>
          <w:tcPr>
            <w:tcW w:w="2600" w:type="dxa"/>
            <w:vAlign w:val="bottom"/>
            <w:gridSpan w:val="3"/>
            <w:vMerge w:val="restart"/>
          </w:tcPr>
          <w:p>
            <w:pPr>
              <w:jc w:val="center"/>
              <w:ind w:right="1840"/>
              <w:spacing w:after="0" w:line="138" w:lineRule="exact"/>
              <w:rPr>
                <w:sz w:val="20"/>
                <w:szCs w:val="20"/>
                <w:color w:val="auto"/>
              </w:rPr>
            </w:pPr>
            <w:r>
              <w:rPr>
                <w:rFonts w:ascii="Arial" w:cs="Arial" w:eastAsia="Arial" w:hAnsi="Arial"/>
                <w:sz w:val="13"/>
                <w:szCs w:val="13"/>
                <w:b w:val="1"/>
                <w:bCs w:val="1"/>
                <w:color w:val="auto"/>
                <w:w w:val="84"/>
              </w:rPr>
              <w:t>(Decrease)</w:t>
            </w:r>
          </w:p>
        </w:tc>
        <w:tc>
          <w:tcPr>
            <w:tcW w:w="0" w:type="dxa"/>
            <w:vAlign w:val="bottom"/>
          </w:tcPr>
          <w:p>
            <w:pPr>
              <w:spacing w:after="0"/>
              <w:rPr>
                <w:sz w:val="1"/>
                <w:szCs w:val="1"/>
                <w:color w:val="auto"/>
              </w:rPr>
            </w:pPr>
          </w:p>
        </w:tc>
      </w:tr>
      <w:tr>
        <w:trPr>
          <w:trHeight w:val="55"/>
        </w:trPr>
        <w:tc>
          <w:tcPr>
            <w:tcW w:w="17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6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1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62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rPr>
              <w:t>2013</w:t>
            </w:r>
          </w:p>
        </w:tc>
        <w:tc>
          <w:tcPr>
            <w:tcW w:w="80" w:type="dxa"/>
            <w:vAlign w:val="bottom"/>
          </w:tcPr>
          <w:p>
            <w:pPr>
              <w:spacing w:after="0"/>
              <w:rPr>
                <w:sz w:val="13"/>
                <w:szCs w:val="13"/>
                <w:color w:val="auto"/>
              </w:rPr>
            </w:pPr>
          </w:p>
        </w:tc>
        <w:tc>
          <w:tcPr>
            <w:tcW w:w="720" w:type="dxa"/>
            <w:vAlign w:val="bottom"/>
            <w:gridSpan w:val="2"/>
          </w:tcPr>
          <w:p>
            <w:pPr>
              <w:jc w:val="right"/>
              <w:ind w:right="143"/>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7"/>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1"/>
              </w:rPr>
              <w:t>(In thousands)</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Personnel</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  17,040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13,465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3,575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Laboratory Supplies</w:t>
            </w:r>
          </w:p>
        </w:tc>
        <w:tc>
          <w:tcPr>
            <w:tcW w:w="2700" w:type="dxa"/>
            <w:vAlign w:val="bottom"/>
            <w:gridSpan w:val="3"/>
          </w:tcPr>
          <w:p>
            <w:pPr>
              <w:jc w:val="right"/>
              <w:ind w:right="80"/>
              <w:spacing w:after="0"/>
              <w:rPr>
                <w:sz w:val="20"/>
                <w:szCs w:val="20"/>
                <w:color w:val="auto"/>
              </w:rPr>
            </w:pPr>
            <w:r>
              <w:rPr>
                <w:rFonts w:ascii="Arial" w:cs="Arial" w:eastAsia="Arial" w:hAnsi="Arial"/>
                <w:sz w:val="16"/>
                <w:szCs w:val="16"/>
                <w:color w:val="auto"/>
              </w:rPr>
              <w:t>3,247</w:t>
            </w: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2,062</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1,185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Facility</w:t>
            </w:r>
          </w:p>
        </w:tc>
        <w:tc>
          <w:tcPr>
            <w:tcW w:w="27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4,526</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4,457</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2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Product Development</w:t>
            </w:r>
          </w:p>
        </w:tc>
        <w:tc>
          <w:tcPr>
            <w:tcW w:w="2700" w:type="dxa"/>
            <w:vAlign w:val="bottom"/>
            <w:gridSpan w:val="3"/>
          </w:tcPr>
          <w:p>
            <w:pPr>
              <w:jc w:val="right"/>
              <w:ind w:right="80"/>
              <w:spacing w:after="0"/>
              <w:rPr>
                <w:sz w:val="20"/>
                <w:szCs w:val="20"/>
                <w:color w:val="auto"/>
              </w:rPr>
            </w:pPr>
            <w:r>
              <w:rPr>
                <w:rFonts w:ascii="Arial" w:cs="Arial" w:eastAsia="Arial" w:hAnsi="Arial"/>
                <w:sz w:val="16"/>
                <w:szCs w:val="16"/>
                <w:color w:val="auto"/>
              </w:rPr>
              <w:t>39,343</w:t>
            </w: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24,426</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14,917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1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80" w:type="dxa"/>
            <w:vAlign w:val="bottom"/>
          </w:tcPr>
          <w:p>
            <w:pPr>
              <w:jc w:val="right"/>
              <w:ind w:right="482"/>
              <w:spacing w:after="0"/>
              <w:rPr>
                <w:sz w:val="20"/>
                <w:szCs w:val="20"/>
                <w:color w:val="auto"/>
              </w:rPr>
            </w:pPr>
            <w:r>
              <w:rPr>
                <w:rFonts w:ascii="Arial" w:cs="Arial" w:eastAsia="Arial" w:hAnsi="Arial"/>
                <w:sz w:val="16"/>
                <w:szCs w:val="16"/>
                <w:color w:val="auto"/>
              </w:rPr>
              <w:t>62</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2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firstLine="322"/>
        <w:spacing w:after="0" w:line="290" w:lineRule="auto"/>
        <w:rPr>
          <w:sz w:val="20"/>
          <w:szCs w:val="20"/>
          <w:color w:val="auto"/>
        </w:rPr>
      </w:pPr>
      <w:r>
        <w:rPr>
          <w:rFonts w:ascii="Arial" w:cs="Arial" w:eastAsia="Arial" w:hAnsi="Arial"/>
          <w:sz w:val="16"/>
          <w:szCs w:val="16"/>
          <w:color w:val="auto"/>
        </w:rPr>
        <w:t>The $3.6 million increase in personnel expenses for the year ended December 31, 2013 compared to the year ended December 31, 2012 was primarily due to higher stock-based compensation of $1.2 million and increased headcount.</w:t>
      </w:r>
    </w:p>
    <w:p>
      <w:pPr>
        <w:spacing w:after="0" w:line="156" w:lineRule="exact"/>
        <w:rPr>
          <w:sz w:val="20"/>
          <w:szCs w:val="20"/>
          <w:color w:val="auto"/>
        </w:rPr>
      </w:pPr>
    </w:p>
    <w:p>
      <w:pPr>
        <w:ind w:right="380" w:firstLine="322"/>
        <w:spacing w:after="0" w:line="290" w:lineRule="auto"/>
        <w:rPr>
          <w:sz w:val="20"/>
          <w:szCs w:val="20"/>
          <w:color w:val="auto"/>
        </w:rPr>
      </w:pPr>
      <w:r>
        <w:rPr>
          <w:rFonts w:ascii="Arial" w:cs="Arial" w:eastAsia="Arial" w:hAnsi="Arial"/>
          <w:sz w:val="16"/>
          <w:szCs w:val="16"/>
          <w:color w:val="auto"/>
        </w:rPr>
        <w:t>The $1.2 million increase in laboratory supply expenses for the year ended December 31, 2013 compared to the year ended December 31, 2012 was primarily due to higher manufacturing supply purchases.</w:t>
      </w:r>
    </w:p>
    <w:p>
      <w:pPr>
        <w:spacing w:after="0" w:line="156" w:lineRule="exact"/>
        <w:rPr>
          <w:sz w:val="20"/>
          <w:szCs w:val="20"/>
          <w:color w:val="auto"/>
        </w:rPr>
      </w:pPr>
    </w:p>
    <w:p>
      <w:pPr>
        <w:ind w:right="180" w:firstLine="322"/>
        <w:spacing w:after="0" w:line="290" w:lineRule="auto"/>
        <w:rPr>
          <w:sz w:val="20"/>
          <w:szCs w:val="20"/>
          <w:color w:val="auto"/>
        </w:rPr>
      </w:pPr>
      <w:r>
        <w:rPr>
          <w:rFonts w:ascii="Arial" w:cs="Arial" w:eastAsia="Arial" w:hAnsi="Arial"/>
          <w:sz w:val="16"/>
          <w:szCs w:val="16"/>
          <w:color w:val="auto"/>
        </w:rPr>
        <w:t>The $0.1 million increase in facility expenses for the year ended December 31, 2013 compared to the year ended December 31, 2012 was primarily due to higher utility and maintenance expenses.</w:t>
      </w:r>
    </w:p>
    <w:p>
      <w:pPr>
        <w:spacing w:after="0" w:line="156" w:lineRule="exact"/>
        <w:rPr>
          <w:sz w:val="20"/>
          <w:szCs w:val="20"/>
          <w:color w:val="auto"/>
        </w:rPr>
      </w:pPr>
    </w:p>
    <w:p>
      <w:pPr>
        <w:ind w:right="40" w:firstLine="322"/>
        <w:spacing w:after="0" w:line="275" w:lineRule="auto"/>
        <w:rPr>
          <w:sz w:val="20"/>
          <w:szCs w:val="20"/>
          <w:color w:val="auto"/>
        </w:rPr>
      </w:pPr>
      <w:r>
        <w:rPr>
          <w:rFonts w:ascii="Arial" w:cs="Arial" w:eastAsia="Arial" w:hAnsi="Arial"/>
          <w:sz w:val="16"/>
          <w:szCs w:val="16"/>
          <w:color w:val="auto"/>
        </w:rPr>
        <w:t>The $14.9 million increase in product development expenses for the year ended December 31, 2013 compared to the year ended December 31, 2012 was primarily the result of an increase in clinical trial costs and contract manufacturing of $9.0 million and $5.6 million, respectively, primarily related to our rindopepimut and glembatumumab vedotin programs.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Expense</w:t>
      </w:r>
    </w:p>
    <w:p>
      <w:pPr>
        <w:spacing w:after="0" w:line="216" w:lineRule="exact"/>
        <w:rPr>
          <w:sz w:val="20"/>
          <w:szCs w:val="20"/>
          <w:color w:val="auto"/>
        </w:rPr>
      </w:pPr>
    </w:p>
    <w:p>
      <w:pPr>
        <w:ind w:right="220" w:firstLine="322"/>
        <w:spacing w:after="0" w:line="290" w:lineRule="auto"/>
        <w:rPr>
          <w:sz w:val="20"/>
          <w:szCs w:val="20"/>
          <w:color w:val="auto"/>
        </w:rPr>
      </w:pPr>
      <w:r>
        <w:rPr>
          <w:rFonts w:ascii="Arial" w:cs="Arial" w:eastAsia="Arial" w:hAnsi="Arial"/>
          <w:sz w:val="16"/>
          <w:szCs w:val="16"/>
          <w:color w:val="auto"/>
        </w:rPr>
        <w:t>The $8.4 million decrease in royalty expenses for the year ended December 31, 2013 compared to the year ended December 31, 2012 was due to the termination of our agreement with GlaxoSmithKline plc upon the expiration of the last relevant patent right covered by the agreement.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w:t>
      </w:r>
    </w:p>
    <w:p>
      <w:pPr>
        <w:spacing w:after="0" w:line="216" w:lineRule="exact"/>
        <w:rPr>
          <w:sz w:val="20"/>
          <w:szCs w:val="20"/>
          <w:color w:val="auto"/>
        </w:rPr>
      </w:pPr>
    </w:p>
    <w:p>
      <w:pPr>
        <w:ind w:right="240" w:firstLine="322"/>
        <w:spacing w:after="0" w:line="290" w:lineRule="auto"/>
        <w:rPr>
          <w:sz w:val="20"/>
          <w:szCs w:val="20"/>
          <w:color w:val="auto"/>
        </w:rPr>
      </w:pPr>
      <w:r>
        <w:rPr>
          <w:rFonts w:ascii="Arial" w:cs="Arial" w:eastAsia="Arial" w:hAnsi="Arial"/>
          <w:sz w:val="16"/>
          <w:szCs w:val="16"/>
          <w:color w:val="auto"/>
        </w:rPr>
        <w:t>The $4.8 million increase in general and administrative expenses for the year ended December 31, 2013 compared to the year ended December 31, 2012 was primarily due to higher stock-based compensation of $1.0 million, increased headcount and rindopepimut-related commercialization planning costs.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Amortization Expense</w:t>
      </w:r>
    </w:p>
    <w:p>
      <w:pPr>
        <w:spacing w:after="0" w:line="216" w:lineRule="exact"/>
        <w:rPr>
          <w:sz w:val="20"/>
          <w:szCs w:val="20"/>
          <w:color w:val="auto"/>
        </w:rPr>
      </w:pPr>
    </w:p>
    <w:p>
      <w:pPr>
        <w:ind w:right="160" w:firstLine="322"/>
        <w:spacing w:after="0" w:line="290" w:lineRule="auto"/>
        <w:rPr>
          <w:sz w:val="20"/>
          <w:szCs w:val="20"/>
          <w:color w:val="auto"/>
        </w:rPr>
      </w:pPr>
      <w:r>
        <w:rPr>
          <w:rFonts w:ascii="Arial" w:cs="Arial" w:eastAsia="Arial" w:hAnsi="Arial"/>
          <w:sz w:val="16"/>
          <w:szCs w:val="16"/>
          <w:color w:val="auto"/>
        </w:rPr>
        <w:t>The $0.1 million decrease in amortization expenses for the year ended December 31, 2013 compared to the year ended December 31, 2012 was due to certain intangible assets becoming fully amortized during 2012.</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and Other Income, Net</w:t>
      </w:r>
    </w:p>
    <w:p>
      <w:pPr>
        <w:spacing w:after="0" w:line="216" w:lineRule="exact"/>
        <w:rPr>
          <w:sz w:val="20"/>
          <w:szCs w:val="20"/>
          <w:color w:val="auto"/>
        </w:rPr>
      </w:pPr>
    </w:p>
    <w:p>
      <w:pPr>
        <w:ind w:firstLine="322"/>
        <w:spacing w:after="0" w:line="275" w:lineRule="auto"/>
        <w:rPr>
          <w:sz w:val="20"/>
          <w:szCs w:val="20"/>
          <w:color w:val="auto"/>
        </w:rPr>
      </w:pPr>
      <w:r>
        <w:rPr>
          <w:rFonts w:ascii="Arial" w:cs="Arial" w:eastAsia="Arial" w:hAnsi="Arial"/>
          <w:sz w:val="16"/>
          <w:szCs w:val="16"/>
          <w:color w:val="auto"/>
        </w:rPr>
        <w:t>The $0.3 million increase in investment and other income, net for the year ended December 31, 2013 compared to the year ended December 31, 2012 was primarily due to higher levels of cash and investment balances compared to prior year and us recognizing $0.2 million and $0.1 million in other income related to our sale of New Jersey tax benefits during the years ended December 31, 2013 and 2012,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16" w:lineRule="exact"/>
        <w:rPr>
          <w:sz w:val="20"/>
          <w:szCs w:val="20"/>
          <w:color w:val="auto"/>
        </w:rPr>
      </w:pPr>
    </w:p>
    <w:p>
      <w:pPr>
        <w:ind w:right="100" w:firstLine="322"/>
        <w:spacing w:after="0" w:line="290" w:lineRule="auto"/>
        <w:rPr>
          <w:sz w:val="20"/>
          <w:szCs w:val="20"/>
          <w:color w:val="auto"/>
        </w:rPr>
      </w:pPr>
      <w:r>
        <w:rPr>
          <w:rFonts w:ascii="Arial" w:cs="Arial" w:eastAsia="Arial" w:hAnsi="Arial"/>
          <w:sz w:val="16"/>
          <w:szCs w:val="16"/>
          <w:color w:val="auto"/>
        </w:rPr>
        <w:t>The $0.6 million decrease in interest expense for the year ended December 31, 2013 compared to the year ended December 31, 2012 was primarily due to our election in May 2013 to prepay the Term Loan in full, pursuant to the terms of our loan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0" w:lineRule="exact"/>
        <w:rPr>
          <w:sz w:val="20"/>
          <w:szCs w:val="20"/>
          <w:color w:val="auto"/>
        </w:rPr>
      </w:pPr>
    </w:p>
    <w:p>
      <w:pPr>
        <w:ind w:right="60" w:firstLine="325"/>
        <w:spacing w:after="0" w:line="268"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73" w:lineRule="exact"/>
        <w:rPr>
          <w:sz w:val="20"/>
          <w:szCs w:val="20"/>
          <w:color w:val="auto"/>
        </w:rPr>
      </w:pPr>
    </w:p>
    <w:p>
      <w:pPr>
        <w:ind w:firstLine="322"/>
        <w:spacing w:after="0" w:line="268"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At December 31, 2014, our principal sources of liquidity consisted of cash, cash equivalents and marketable securities of $201.0 million. We incurred a loss of</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$118.1 million for the year ended December 31, 2014. Net cash used in operations for the year ended December 31, 2014 was $101.5 million. We believe that the cash, cash</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equivalents and marketable securities at December 31, 2014 are sufficient to meet estimated working capital requirements and fund planned operations through 2016, however,</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this could be impacted by our clinical data results from our rindopepimut program and their impact on our pace of commercial manufacturing and the rate of expansion of our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commercial operations.</w:t>
      </w:r>
    </w:p>
    <w:p>
      <w:pPr>
        <w:spacing w:after="0" w:line="209" w:lineRule="exact"/>
        <w:rPr>
          <w:sz w:val="20"/>
          <w:szCs w:val="20"/>
          <w:color w:val="auto"/>
        </w:rPr>
      </w:pPr>
    </w:p>
    <w:p>
      <w:pPr>
        <w:ind w:right="140" w:firstLine="325"/>
        <w:spacing w:after="0" w:line="286" w:lineRule="auto"/>
        <w:rPr>
          <w:sz w:val="20"/>
          <w:szCs w:val="20"/>
          <w:color w:val="auto"/>
        </w:rPr>
      </w:pPr>
      <w:r>
        <w:rPr>
          <w:rFonts w:ascii="Arial" w:cs="Arial" w:eastAsia="Arial" w:hAnsi="Arial"/>
          <w:sz w:val="15"/>
          <w:szCs w:val="15"/>
          <w:color w:val="auto"/>
        </w:rPr>
        <w:t>During the next twelve months, we may take further steps to raise additional capital to fund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16" w:lineRule="exact"/>
        <w:rPr>
          <w:sz w:val="20"/>
          <w:szCs w:val="20"/>
          <w:color w:val="auto"/>
        </w:rPr>
      </w:pPr>
    </w:p>
    <w:p>
      <w:pPr>
        <w:jc w:val="both"/>
        <w:ind w:right="200" w:firstLine="325"/>
        <w:spacing w:after="0" w:line="302" w:lineRule="auto"/>
        <w:rPr>
          <w:sz w:val="20"/>
          <w:szCs w:val="20"/>
          <w:color w:val="auto"/>
        </w:rPr>
      </w:pPr>
      <w:r>
        <w:rPr>
          <w:rFonts w:ascii="Arial" w:cs="Arial" w:eastAsia="Arial" w:hAnsi="Arial"/>
          <w:sz w:val="15"/>
          <w:szCs w:val="15"/>
          <w:color w:val="auto"/>
        </w:rPr>
        <w:t>Net cash used in operating activities was $101.5 million for the year ended December 31, 2014 compared to $67.7 million for the year ended December 31, 2013. The increase in net cash used in operating activities was primarily due to an increase in net loss of $36.5 million. We expect that cash used in operating activities will continue to increase over the next twelve months primarily related to costs incurred on our rindopepimut, glembatumumab vedotin and varlilumab programs.</w:t>
      </w:r>
    </w:p>
    <w:p>
      <w:pPr>
        <w:spacing w:after="0" w:line="149" w:lineRule="exact"/>
        <w:rPr>
          <w:sz w:val="20"/>
          <w:szCs w:val="20"/>
          <w:color w:val="auto"/>
        </w:rPr>
      </w:pPr>
    </w:p>
    <w:p>
      <w:pPr>
        <w:ind w:right="260" w:firstLine="322"/>
        <w:spacing w:after="0" w:line="275" w:lineRule="auto"/>
        <w:rPr>
          <w:sz w:val="20"/>
          <w:szCs w:val="20"/>
          <w:color w:val="auto"/>
        </w:rPr>
      </w:pPr>
      <w:r>
        <w:rPr>
          <w:rFonts w:ascii="Arial" w:cs="Arial" w:eastAsia="Arial" w:hAnsi="Arial"/>
          <w:sz w:val="16"/>
          <w:szCs w:val="16"/>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and commercialization processes as well as to develop additional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drug candidates. As our drug candidates progress through the clinical trial process, we may be obligated to make significant milestone payments.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16" w:lineRule="exact"/>
        <w:rPr>
          <w:sz w:val="20"/>
          <w:szCs w:val="20"/>
          <w:color w:val="auto"/>
        </w:rPr>
      </w:pPr>
    </w:p>
    <w:p>
      <w:pPr>
        <w:ind w:right="40" w:firstLine="325"/>
        <w:spacing w:after="0" w:line="268" w:lineRule="auto"/>
        <w:rPr>
          <w:sz w:val="20"/>
          <w:szCs w:val="20"/>
          <w:color w:val="auto"/>
        </w:rPr>
      </w:pPr>
      <w:r>
        <w:rPr>
          <w:rFonts w:ascii="Arial" w:cs="Arial" w:eastAsia="Arial" w:hAnsi="Arial"/>
          <w:sz w:val="16"/>
          <w:szCs w:val="16"/>
          <w:color w:val="auto"/>
        </w:rPr>
        <w:t>Net cash used in investing activities was $41.0 million for the year ended December 31, 2014 compared to $77.4 million for the year ended December 31, 2013. The decrease in net cash used in investing activities was primarily due to net purchases of marketable securities for the year ended December 31, 2014 of $39.1 million as compared to $73.2 million for the year ended December 31, 2013. We expect that cash provided by investing activities will increase over the next twelve months as we fund our operations through the net proceeds from the sale and maturity of marketable securities, cash provided by financing activities and/or new partnerships, although there may be significant fluctuations on a quarterly basis.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16" w:lineRule="exact"/>
        <w:rPr>
          <w:sz w:val="20"/>
          <w:szCs w:val="20"/>
          <w:color w:val="auto"/>
        </w:rPr>
      </w:pPr>
    </w:p>
    <w:p>
      <w:pPr>
        <w:ind w:right="20" w:firstLine="325"/>
        <w:spacing w:after="0" w:line="302" w:lineRule="auto"/>
        <w:rPr>
          <w:sz w:val="20"/>
          <w:szCs w:val="20"/>
          <w:color w:val="auto"/>
        </w:rPr>
      </w:pPr>
      <w:r>
        <w:rPr>
          <w:rFonts w:ascii="Arial" w:cs="Arial" w:eastAsia="Arial" w:hAnsi="Arial"/>
          <w:sz w:val="15"/>
          <w:szCs w:val="15"/>
          <w:color w:val="auto"/>
        </w:rPr>
        <w:t>Net cash provided by financing activities was $1.2 million for the year ended December 31, 2014 compared to $289.6 million for the year ended December 31, 2013. Net proceeds from stock issuances, including stock issued pursuant to employee benefit plans, were $1.2 million during the year ended December 31, 2014 compared to $301.1 million for the year ended December 31, 2013. We paid $11.0 million in principal payments on our Term Loan during the year ended December 31, 2013.</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Offerings</w:t>
      </w:r>
    </w:p>
    <w:p>
      <w:pPr>
        <w:spacing w:after="0" w:line="216" w:lineRule="exact"/>
        <w:rPr>
          <w:sz w:val="20"/>
          <w:szCs w:val="20"/>
          <w:color w:val="auto"/>
        </w:rPr>
      </w:pPr>
    </w:p>
    <w:p>
      <w:pPr>
        <w:ind w:right="160" w:firstLine="325"/>
        <w:spacing w:after="0" w:line="290" w:lineRule="auto"/>
        <w:rPr>
          <w:sz w:val="20"/>
          <w:szCs w:val="20"/>
          <w:color w:val="auto"/>
        </w:rPr>
      </w:pPr>
      <w:r>
        <w:rPr>
          <w:rFonts w:ascii="Arial" w:cs="Arial" w:eastAsia="Arial" w:hAnsi="Arial"/>
          <w:sz w:val="16"/>
          <w:szCs w:val="16"/>
          <w:color w:val="auto"/>
        </w:rPr>
        <w:t>In December 2013, we filed an automatic shelf registration statement with the Securities and Exchange Commission to register for sale any combination of the types of securities described in the shelf registration statement.</w:t>
      </w:r>
    </w:p>
    <w:p>
      <w:pPr>
        <w:spacing w:after="0" w:line="156" w:lineRule="exact"/>
        <w:rPr>
          <w:sz w:val="20"/>
          <w:szCs w:val="20"/>
          <w:color w:val="auto"/>
        </w:rPr>
      </w:pPr>
    </w:p>
    <w:p>
      <w:pPr>
        <w:ind w:right="40" w:firstLine="325"/>
        <w:spacing w:after="0" w:line="290" w:lineRule="auto"/>
        <w:rPr>
          <w:sz w:val="20"/>
          <w:szCs w:val="20"/>
          <w:color w:val="auto"/>
        </w:rPr>
      </w:pPr>
      <w:r>
        <w:rPr>
          <w:rFonts w:ascii="Arial" w:cs="Arial" w:eastAsia="Arial" w:hAnsi="Arial"/>
          <w:sz w:val="16"/>
          <w:szCs w:val="16"/>
          <w:color w:val="auto"/>
        </w:rPr>
        <w:t>During the years ended December 31, 2013 and 2012, we issued 21,613,483 and 12,075,000 shares of our common stock in underwritten public offerings resulting in net proceeds to us of $278.6 million and $43.5 million, after deducting underwriting fees and offering expenses, respectively.</w:t>
      </w:r>
    </w:p>
    <w:p>
      <w:pPr>
        <w:spacing w:after="0" w:line="156" w:lineRule="exact"/>
        <w:rPr>
          <w:sz w:val="20"/>
          <w:szCs w:val="20"/>
          <w:color w:val="auto"/>
        </w:rPr>
      </w:pPr>
    </w:p>
    <w:p>
      <w:pPr>
        <w:ind w:right="200" w:firstLine="325"/>
        <w:spacing w:after="0" w:line="275" w:lineRule="auto"/>
        <w:rPr>
          <w:sz w:val="20"/>
          <w:szCs w:val="20"/>
          <w:color w:val="auto"/>
        </w:rPr>
      </w:pPr>
      <w:r>
        <w:rPr>
          <w:rFonts w:ascii="Arial" w:cs="Arial" w:eastAsia="Arial" w:hAnsi="Arial"/>
          <w:sz w:val="16"/>
          <w:szCs w:val="16"/>
          <w:color w:val="auto"/>
        </w:rPr>
        <w:t>During the years ended December 31, 2013 and 2012, we issued 2,433,608 and 8,003,290 shares of our common stock under our controlled equity offering sales agreement with Cantor Fitzgerald &amp; Co., as amended, resulting in net proceeds to us of $17.1 million and $40.1 million, after deducting commission and offering expenses,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AGGREGATE CONTRACTUAL OBLIGATIONS</w:t>
      </w:r>
    </w:p>
    <w:p>
      <w:pPr>
        <w:spacing w:after="0" w:line="220" w:lineRule="exact"/>
        <w:rPr>
          <w:sz w:val="20"/>
          <w:szCs w:val="20"/>
          <w:color w:val="auto"/>
        </w:rPr>
      </w:pPr>
    </w:p>
    <w:p>
      <w:pPr>
        <w:ind w:firstLine="322"/>
        <w:spacing w:after="0" w:line="268" w:lineRule="auto"/>
        <w:rPr>
          <w:sz w:val="20"/>
          <w:szCs w:val="20"/>
          <w:color w:val="auto"/>
        </w:rPr>
      </w:pPr>
      <w:r>
        <w:rPr>
          <w:rFonts w:ascii="Arial" w:cs="Arial" w:eastAsia="Arial" w:hAnsi="Arial"/>
          <w:sz w:val="16"/>
          <w:szCs w:val="16"/>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Because the achievement of these milestones had not occurred as of December 31, 2014, such contingencies have not been recorded in our financial statements. We expect to incur approximately $0.5 million of license and milestone payments in 2015.</w:t>
      </w:r>
    </w:p>
    <w:p>
      <w:pPr>
        <w:spacing w:after="0" w:line="173" w:lineRule="exact"/>
        <w:rPr>
          <w:sz w:val="20"/>
          <w:szCs w:val="20"/>
          <w:color w:val="auto"/>
        </w:rPr>
      </w:pPr>
    </w:p>
    <w:p>
      <w:pPr>
        <w:ind w:right="60" w:firstLine="322"/>
        <w:spacing w:after="0" w:line="290" w:lineRule="auto"/>
        <w:rPr>
          <w:sz w:val="20"/>
          <w:szCs w:val="20"/>
          <w:color w:val="auto"/>
        </w:rPr>
      </w:pPr>
      <w:r>
        <w:rPr>
          <w:rFonts w:ascii="Arial" w:cs="Arial" w:eastAsia="Arial" w:hAnsi="Arial"/>
          <w:sz w:val="16"/>
          <w:szCs w:val="16"/>
          <w:color w:val="auto"/>
        </w:rPr>
        <w:t>The following table summarizes our contractual obligations (not including contingent royalty and milestone payments as described above) at December 31, 2014 and the effect such obligations and commercial commitments are expected to have on our liquidity and cash flow in future years. These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obligations, commitments and supporting arrangements represent expected payments based on current operating forecasts, which are subject to change:</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24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500" w:type="dxa"/>
            <w:vAlign w:val="bottom"/>
          </w:tcPr>
          <w:p>
            <w:pPr>
              <w:jc w:val="right"/>
              <w:ind w:right="123"/>
              <w:spacing w:after="0"/>
              <w:rPr>
                <w:sz w:val="20"/>
                <w:szCs w:val="20"/>
                <w:color w:val="auto"/>
              </w:rPr>
            </w:pPr>
            <w:r>
              <w:rPr>
                <w:rFonts w:ascii="Arial" w:cs="Arial" w:eastAsia="Arial" w:hAnsi="Arial"/>
                <w:sz w:val="13"/>
                <w:szCs w:val="13"/>
                <w:b w:val="1"/>
                <w:bCs w:val="1"/>
                <w:color w:val="auto"/>
                <w:w w:val="96"/>
              </w:rPr>
              <w:t>2015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3"/>
                <w:szCs w:val="13"/>
                <w:b w:val="1"/>
                <w:bCs w:val="1"/>
                <w:color w:val="auto"/>
                <w:w w:val="83"/>
              </w:rPr>
              <w:t>2016 - 2017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3"/>
                <w:szCs w:val="13"/>
                <w:b w:val="1"/>
                <w:bCs w:val="1"/>
                <w:color w:val="auto"/>
                <w:w w:val="83"/>
              </w:rPr>
              <w:t>2018 - 2019</w:t>
            </w:r>
          </w:p>
        </w:tc>
        <w:tc>
          <w:tcPr>
            <w:tcW w:w="160" w:type="dxa"/>
            <w:vAlign w:val="bottom"/>
          </w:tcPr>
          <w:p>
            <w:pPr>
              <w:spacing w:after="0"/>
              <w:rPr>
                <w:sz w:val="13"/>
                <w:szCs w:val="13"/>
                <w:color w:val="auto"/>
              </w:rPr>
            </w:pPr>
          </w:p>
        </w:tc>
        <w:tc>
          <w:tcPr>
            <w:tcW w:w="860" w:type="dxa"/>
            <w:vAlign w:val="bottom"/>
            <w:gridSpan w:val="3"/>
          </w:tcPr>
          <w:p>
            <w:pPr>
              <w:ind w:left="80"/>
              <w:spacing w:after="0"/>
              <w:rPr>
                <w:sz w:val="20"/>
                <w:szCs w:val="20"/>
                <w:color w:val="auto"/>
              </w:rPr>
            </w:pPr>
            <w:r>
              <w:rPr>
                <w:rFonts w:ascii="Arial" w:cs="Arial" w:eastAsia="Arial" w:hAnsi="Arial"/>
                <w:sz w:val="13"/>
                <w:szCs w:val="13"/>
                <w:b w:val="1"/>
                <w:bCs w:val="1"/>
                <w:color w:val="auto"/>
              </w:rPr>
              <w:t>Thereafter</w:t>
            </w:r>
          </w:p>
        </w:tc>
      </w:tr>
      <w:tr>
        <w:trPr>
          <w:trHeight w:val="130"/>
        </w:trPr>
        <w:tc>
          <w:tcPr>
            <w:tcW w:w="24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w w:val="73"/>
              </w:rPr>
              <w:t>(In thousands)</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00"/>
        </w:trPr>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Contractual obligations: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Operating lease obligations(1)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8,720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2,793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4,875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1,052</w:t>
            </w:r>
          </w:p>
        </w:tc>
        <w:tc>
          <w:tcPr>
            <w:tcW w:w="320" w:type="dxa"/>
            <w:vAlign w:val="bottom"/>
          </w:tcPr>
          <w:p>
            <w:pPr>
              <w:jc w:val="right"/>
              <w:ind w:right="168"/>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240"/>
              <w:spacing w:after="0"/>
              <w:rPr>
                <w:sz w:val="20"/>
                <w:szCs w:val="20"/>
                <w:color w:val="auto"/>
              </w:rPr>
            </w:pPr>
            <w:r>
              <w:rPr>
                <w:rFonts w:ascii="Arial" w:cs="Arial" w:eastAsia="Arial" w:hAnsi="Arial"/>
                <w:sz w:val="16"/>
                <w:szCs w:val="16"/>
                <w:color w:val="auto"/>
              </w:rPr>
              <w:t>—</w:t>
            </w:r>
          </w:p>
        </w:tc>
      </w:tr>
      <w:tr>
        <w:trPr>
          <w:trHeight w:val="200"/>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contractual obligations(2)</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15,352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13,251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2,101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r>
      <w:tr>
        <w:trPr>
          <w:trHeight w:val="193"/>
        </w:trPr>
        <w:tc>
          <w:tcPr>
            <w:tcW w:w="4820" w:type="dxa"/>
            <w:vAlign w:val="bottom"/>
            <w:gridSpan w:val="2"/>
          </w:tcPr>
          <w:p>
            <w:pPr>
              <w:spacing w:after="0"/>
              <w:rPr>
                <w:sz w:val="20"/>
                <w:szCs w:val="20"/>
                <w:color w:val="auto"/>
              </w:rPr>
            </w:pPr>
            <w:r>
              <w:rPr>
                <w:rFonts w:ascii="Arial" w:cs="Arial" w:eastAsia="Arial" w:hAnsi="Arial"/>
                <w:sz w:val="16"/>
                <w:szCs w:val="16"/>
                <w:color w:val="auto"/>
              </w:rPr>
              <w:t>Total contractual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24,072</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16,044</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6,976</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1,052</w:t>
            </w:r>
          </w:p>
        </w:tc>
        <w:tc>
          <w:tcPr>
            <w:tcW w:w="16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6"/>
                <w:szCs w:val="16"/>
                <w:color w:val="auto"/>
              </w:rPr>
            </w:pPr>
          </w:p>
        </w:tc>
      </w:tr>
      <w:tr>
        <w:trPr>
          <w:trHeight w:val="20"/>
        </w:trPr>
        <w:tc>
          <w:tcPr>
            <w:tcW w:w="2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8"/>
        </w:trPr>
        <w:tc>
          <w:tcPr>
            <w:tcW w:w="2400" w:type="dxa"/>
            <w:vAlign w:val="bottom"/>
            <w:tcBorders>
              <w:bottom w:val="single" w:sz="8" w:color="auto"/>
            </w:tcBorders>
          </w:tcPr>
          <w:p>
            <w:pPr>
              <w:spacing w:after="0"/>
              <w:rPr>
                <w:sz w:val="6"/>
                <w:szCs w:val="6"/>
                <w:color w:val="auto"/>
              </w:rPr>
            </w:pPr>
          </w:p>
        </w:tc>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204" w:lineRule="exact"/>
        <w:rPr>
          <w:sz w:val="20"/>
          <w:szCs w:val="20"/>
          <w:color w:val="auto"/>
        </w:rPr>
      </w:pPr>
    </w:p>
    <w:p>
      <w:pPr>
        <w:ind w:left="1640" w:hanging="497"/>
        <w:spacing w:after="0"/>
        <w:tabs>
          <w:tab w:leader="none" w:pos="1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Such amounts primarily consist of payments for our facility leases and do not assume the exercise of renewal terms or early termination provisions.</w:t>
      </w:r>
    </w:p>
    <w:p>
      <w:pPr>
        <w:spacing w:after="0" w:line="252" w:lineRule="exact"/>
        <w:rPr>
          <w:rFonts w:ascii="Arial" w:cs="Arial" w:eastAsia="Arial" w:hAnsi="Arial"/>
          <w:sz w:val="15"/>
          <w:szCs w:val="15"/>
          <w:color w:val="auto"/>
        </w:rPr>
      </w:pPr>
    </w:p>
    <w:p>
      <w:pPr>
        <w:ind w:left="1640" w:right="280" w:hanging="497"/>
        <w:spacing w:after="0" w:line="302" w:lineRule="auto"/>
        <w:tabs>
          <w:tab w:leader="none" w:pos="1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enter into agreements in the normal course of business with contract research organizations for clinical trials, contract manufacturing organizations, vendors for preclinical research studies and other services and products for operating purposes. We have included obligations in the table above if the contracts are not cancelable at any time by us, generally upon 30 days prior written notice to the vendor.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0" w:lineRule="exact"/>
        <w:rPr>
          <w:sz w:val="20"/>
          <w:szCs w:val="20"/>
          <w:color w:val="auto"/>
        </w:rPr>
      </w:pPr>
    </w:p>
    <w:p>
      <w:pPr>
        <w:ind w:right="100" w:firstLine="325"/>
        <w:spacing w:after="0" w:line="290" w:lineRule="auto"/>
        <w:rPr>
          <w:sz w:val="20"/>
          <w:szCs w:val="20"/>
          <w:color w:val="auto"/>
        </w:rPr>
      </w:pPr>
      <w:r>
        <w:rPr>
          <w:rFonts w:ascii="Arial" w:cs="Arial" w:eastAsia="Arial" w:hAnsi="Arial"/>
          <w:sz w:val="16"/>
          <w:szCs w:val="16"/>
          <w:color w:val="auto"/>
        </w:rPr>
        <w:t>Refer to Note 2, "Summary of Significant Accounting Policies," in the accompanying notes to the consolidated financial statements for a discussion of recent accounting pronouncements.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7A.</w:t>
        <w:tab/>
        <w:t>QUANTITATIVE AND QUALITATIVE DISCLOSURES ABOUT MARKET RISK</w:t>
      </w:r>
    </w:p>
    <w:p>
      <w:pPr>
        <w:spacing w:after="0" w:line="220" w:lineRule="exact"/>
        <w:rPr>
          <w:sz w:val="20"/>
          <w:szCs w:val="20"/>
          <w:color w:val="auto"/>
        </w:rPr>
      </w:pPr>
    </w:p>
    <w:p>
      <w:pPr>
        <w:ind w:firstLine="322"/>
        <w:spacing w:after="0" w:line="265" w:lineRule="auto"/>
        <w:rPr>
          <w:sz w:val="20"/>
          <w:szCs w:val="20"/>
          <w:color w:val="auto"/>
        </w:rPr>
      </w:pPr>
      <w:r>
        <w:rPr>
          <w:rFonts w:ascii="Arial" w:cs="Arial" w:eastAsia="Arial" w:hAnsi="Arial"/>
          <w:sz w:val="16"/>
          <w:szCs w:val="16"/>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78" w:lineRule="exact"/>
        <w:rPr>
          <w:sz w:val="20"/>
          <w:szCs w:val="20"/>
          <w:color w:val="auto"/>
        </w:rPr>
      </w:pPr>
    </w:p>
    <w:p>
      <w:pPr>
        <w:ind w:firstLine="322"/>
        <w:spacing w:after="0" w:line="290"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December 31, 2014 due to the short-term maturities of these instruments.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Item 8.</w:t>
        <w:tab/>
        <w:t>FINANCIAL STATEMENTS AND SUPPLEMENTARY DATA</w:t>
      </w:r>
    </w:p>
    <w:p>
      <w:pPr>
        <w:spacing w:after="0" w:line="216"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Celldex Therapeutics, Inc.</w:t>
      </w:r>
    </w:p>
    <w:p>
      <w:pPr>
        <w:spacing w:after="0" w:line="216" w:lineRule="exact"/>
        <w:rPr>
          <w:sz w:val="20"/>
          <w:szCs w:val="20"/>
          <w:color w:val="auto"/>
        </w:rPr>
      </w:pPr>
    </w:p>
    <w:p>
      <w:pPr>
        <w:ind w:right="60" w:firstLine="325"/>
        <w:spacing w:after="0" w:line="303" w:lineRule="auto"/>
        <w:rPr>
          <w:sz w:val="20"/>
          <w:szCs w:val="20"/>
          <w:color w:val="auto"/>
        </w:rPr>
      </w:pPr>
      <w:r>
        <w:rPr>
          <w:rFonts w:ascii="Arial" w:cs="Arial" w:eastAsia="Arial" w:hAnsi="Arial"/>
          <w:sz w:val="14"/>
          <w:szCs w:val="14"/>
          <w:color w:val="auto"/>
        </w:rPr>
        <w:t xml:space="preserve">In our opinion, the accompanying consolidated balance sheets and the related consolidated statements of operations and comprehensive loss, of stockholders' equity, and of cash flows, present fairly, in all material respects, the financial position of Celldex Therapeutics, Inc. and its subsidiary at December 31, 2014 and December 31,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w:t>
      </w:r>
      <w:r>
        <w:rPr>
          <w:rFonts w:ascii="Arial" w:cs="Arial" w:eastAsia="Arial" w:hAnsi="Arial"/>
          <w:sz w:val="14"/>
          <w:szCs w:val="14"/>
          <w:i w:val="1"/>
          <w:iCs w:val="1"/>
          <w:color w:val="auto"/>
        </w:rPr>
        <w:t>Internal Control—Integrated Framework (2013)</w:t>
      </w:r>
      <w:r>
        <w:rPr>
          <w:rFonts w:ascii="Arial" w:cs="Arial" w:eastAsia="Arial" w:hAnsi="Arial"/>
          <w:sz w:val="14"/>
          <w:szCs w:val="14"/>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2" w:lineRule="exact"/>
        <w:rPr>
          <w:sz w:val="20"/>
          <w:szCs w:val="20"/>
          <w:color w:val="auto"/>
        </w:rPr>
      </w:pPr>
    </w:p>
    <w:p>
      <w:pPr>
        <w:ind w:right="120" w:firstLine="316"/>
        <w:spacing w:after="0" w:line="26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ind w:firstLine="325"/>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CONSOLIDATED BALANCE SHEETS</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6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3"/>
              </w:rPr>
              <w:t>December 31, 2014</w:t>
            </w:r>
          </w:p>
        </w:tc>
        <w:tc>
          <w:tcPr>
            <w:tcW w:w="10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3"/>
              </w:rPr>
              <w:t>December 31, 2013</w:t>
            </w:r>
          </w:p>
        </w:tc>
      </w:tr>
      <w:tr>
        <w:trPr>
          <w:trHeight w:val="193"/>
        </w:trPr>
        <w:tc>
          <w:tcPr>
            <w:tcW w:w="6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0"/>
        </w:trPr>
        <w:tc>
          <w:tcPr>
            <w:tcW w:w="646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6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169,402</w:t>
            </w:r>
          </w:p>
        </w:tc>
      </w:tr>
      <w:tr>
        <w:trPr>
          <w:trHeight w:val="200"/>
        </w:trPr>
        <w:tc>
          <w:tcPr>
            <w:tcW w:w="6460" w:type="dxa"/>
            <w:vAlign w:val="bottom"/>
          </w:tcPr>
          <w:p>
            <w:pPr>
              <w:ind w:left="180"/>
              <w:spacing w:after="0"/>
              <w:rPr>
                <w:sz w:val="20"/>
                <w:szCs w:val="20"/>
                <w:color w:val="auto"/>
              </w:rPr>
            </w:pPr>
            <w:r>
              <w:rPr>
                <w:rFonts w:ascii="Arial" w:cs="Arial" w:eastAsia="Arial" w:hAnsi="Arial"/>
                <w:sz w:val="16"/>
                <w:szCs w:val="16"/>
                <w:color w:val="auto"/>
              </w:rPr>
              <w:t>Marketable Securities</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173,023</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133,581</w:t>
            </w:r>
          </w:p>
        </w:tc>
      </w:tr>
      <w:tr>
        <w:trPr>
          <w:trHeight w:val="200"/>
        </w:trPr>
        <w:tc>
          <w:tcPr>
            <w:tcW w:w="6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and Other Receivables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489</w:t>
            </w:r>
          </w:p>
        </w:tc>
      </w:tr>
      <w:tr>
        <w:trPr>
          <w:trHeight w:val="200"/>
        </w:trPr>
        <w:tc>
          <w:tcPr>
            <w:tcW w:w="6460" w:type="dxa"/>
            <w:vAlign w:val="bottom"/>
          </w:tcPr>
          <w:p>
            <w:pPr>
              <w:ind w:left="180"/>
              <w:spacing w:after="0"/>
              <w:rPr>
                <w:sz w:val="20"/>
                <w:szCs w:val="20"/>
                <w:color w:val="auto"/>
              </w:rPr>
            </w:pPr>
            <w:r>
              <w:rPr>
                <w:rFonts w:ascii="Arial" w:cs="Arial" w:eastAsia="Arial" w:hAnsi="Arial"/>
                <w:sz w:val="16"/>
                <w:szCs w:val="16"/>
                <w:color w:val="auto"/>
              </w:rPr>
              <w:t>Prepaid and Other Current Assets</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3,515</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1,717</w:t>
            </w:r>
          </w:p>
        </w:tc>
      </w:tr>
      <w:tr>
        <w:trPr>
          <w:trHeight w:val="20"/>
        </w:trPr>
        <w:tc>
          <w:tcPr>
            <w:tcW w:w="6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204,985</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305,189</w:t>
            </w:r>
          </w:p>
        </w:tc>
      </w:tr>
      <w:tr>
        <w:trPr>
          <w:trHeight w:val="193"/>
        </w:trPr>
        <w:tc>
          <w:tcPr>
            <w:tcW w:w="64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10,535</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9,973</w:t>
            </w:r>
          </w:p>
        </w:tc>
        <w:tc>
          <w:tcPr>
            <w:tcW w:w="160" w:type="dxa"/>
            <w:vAlign w:val="bottom"/>
          </w:tcPr>
          <w:p>
            <w:pPr>
              <w:spacing w:after="0"/>
              <w:rPr>
                <w:sz w:val="16"/>
                <w:szCs w:val="16"/>
                <w:color w:val="auto"/>
              </w:rPr>
            </w:pPr>
          </w:p>
        </w:tc>
      </w:tr>
      <w:tr>
        <w:trPr>
          <w:trHeight w:val="200"/>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21,807</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22,820</w:t>
            </w:r>
          </w:p>
        </w:tc>
      </w:tr>
      <w:tr>
        <w:trPr>
          <w:trHeight w:val="200"/>
        </w:trPr>
        <w:tc>
          <w:tcPr>
            <w:tcW w:w="6460" w:type="dxa"/>
            <w:vAlign w:val="bottom"/>
          </w:tcPr>
          <w:p>
            <w:pPr>
              <w:spacing w:after="0"/>
              <w:rPr>
                <w:sz w:val="20"/>
                <w:szCs w:val="20"/>
                <w:color w:val="auto"/>
              </w:rPr>
            </w:pPr>
            <w:r>
              <w:rPr>
                <w:rFonts w:ascii="Arial" w:cs="Arial" w:eastAsia="Arial" w:hAnsi="Arial"/>
                <w:sz w:val="16"/>
                <w:szCs w:val="16"/>
                <w:color w:val="auto"/>
              </w:rPr>
              <w:t>Other Assets</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1,722</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148</w:t>
            </w:r>
          </w:p>
        </w:tc>
      </w:tr>
      <w:tr>
        <w:trPr>
          <w:trHeight w:val="200"/>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8,965</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8,965</w:t>
            </w:r>
          </w:p>
        </w:tc>
      </w:tr>
      <w:tr>
        <w:trPr>
          <w:trHeight w:val="193"/>
        </w:trPr>
        <w:tc>
          <w:tcPr>
            <w:tcW w:w="646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248,014</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347,095</w:t>
            </w:r>
          </w:p>
        </w:tc>
        <w:tc>
          <w:tcPr>
            <w:tcW w:w="160" w:type="dxa"/>
            <w:vAlign w:val="bottom"/>
          </w:tcPr>
          <w:p>
            <w:pPr>
              <w:spacing w:after="0"/>
              <w:rPr>
                <w:sz w:val="16"/>
                <w:szCs w:val="16"/>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8"/>
        </w:trPr>
        <w:tc>
          <w:tcPr>
            <w:tcW w:w="646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0"/>
        </w:trPr>
        <w:tc>
          <w:tcPr>
            <w:tcW w:w="646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6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2,243</w:t>
            </w:r>
          </w:p>
        </w:tc>
      </w:tr>
      <w:tr>
        <w:trPr>
          <w:trHeight w:val="200"/>
        </w:trPr>
        <w:tc>
          <w:tcPr>
            <w:tcW w:w="64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19,296</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17,179</w:t>
            </w:r>
          </w:p>
        </w:tc>
      </w:tr>
      <w:tr>
        <w:trPr>
          <w:trHeight w:val="200"/>
        </w:trPr>
        <w:tc>
          <w:tcPr>
            <w:tcW w:w="6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Liabilities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2,592</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928</w:t>
            </w:r>
          </w:p>
        </w:tc>
      </w:tr>
      <w:tr>
        <w:trPr>
          <w:trHeight w:val="193"/>
        </w:trPr>
        <w:tc>
          <w:tcPr>
            <w:tcW w:w="646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24,491</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20,350</w:t>
            </w:r>
          </w:p>
        </w:tc>
        <w:tc>
          <w:tcPr>
            <w:tcW w:w="160" w:type="dxa"/>
            <w:vAlign w:val="bottom"/>
          </w:tcPr>
          <w:p>
            <w:pPr>
              <w:spacing w:after="0"/>
              <w:rPr>
                <w:sz w:val="16"/>
                <w:szCs w:val="16"/>
                <w:color w:val="auto"/>
              </w:rPr>
            </w:pPr>
          </w:p>
        </w:tc>
      </w:tr>
      <w:tr>
        <w:trPr>
          <w:trHeight w:val="193"/>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11,863</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6,950</w:t>
            </w:r>
          </w:p>
        </w:tc>
      </w:tr>
      <w:tr>
        <w:trPr>
          <w:trHeight w:val="193"/>
        </w:trPr>
        <w:tc>
          <w:tcPr>
            <w:tcW w:w="64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36,354</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27,300</w:t>
            </w:r>
          </w:p>
        </w:tc>
        <w:tc>
          <w:tcPr>
            <w:tcW w:w="160" w:type="dxa"/>
            <w:vAlign w:val="bottom"/>
          </w:tcPr>
          <w:p>
            <w:pPr>
              <w:spacing w:after="0"/>
              <w:rPr>
                <w:sz w:val="16"/>
                <w:szCs w:val="16"/>
                <w:color w:val="auto"/>
              </w:rPr>
            </w:pPr>
          </w:p>
        </w:tc>
      </w:tr>
      <w:tr>
        <w:trPr>
          <w:trHeight w:val="193"/>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Contingent Liabilities (Notes 14 and 16)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0"/>
        </w:trPr>
        <w:tc>
          <w:tcPr>
            <w:tcW w:w="6460" w:type="dxa"/>
            <w:vAlign w:val="bottom"/>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1"/>
        </w:trPr>
        <w:tc>
          <w:tcPr>
            <w:tcW w:w="64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Convertible Preferred Stock, $.01 Par Value; 3,000,000 Shares Authorized; No Shares Issued</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9"/>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Outstanding at December 31, 2014 and 2013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1"/>
        </w:trPr>
        <w:tc>
          <w:tcPr>
            <w:tcW w:w="6460" w:type="dxa"/>
            <w:vAlign w:val="bottom"/>
          </w:tcPr>
          <w:p>
            <w:pPr>
              <w:ind w:left="180"/>
              <w:spacing w:after="0"/>
              <w:rPr>
                <w:sz w:val="20"/>
                <w:szCs w:val="20"/>
                <w:color w:val="auto"/>
              </w:rPr>
            </w:pPr>
            <w:r>
              <w:rPr>
                <w:rFonts w:ascii="Arial" w:cs="Arial" w:eastAsia="Arial" w:hAnsi="Arial"/>
                <w:sz w:val="16"/>
                <w:szCs w:val="16"/>
                <w:color w:val="auto"/>
                <w:w w:val="93"/>
              </w:rPr>
              <w:t>Common Stock, $.001 Par Value; 297,000,000 Shares Authorized; 89,592,779 and 89,246,832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8"/>
        </w:trPr>
        <w:tc>
          <w:tcPr>
            <w:tcW w:w="6460" w:type="dxa"/>
            <w:vAlign w:val="bottom"/>
          </w:tcPr>
          <w:p>
            <w:pPr>
              <w:ind w:left="340"/>
              <w:spacing w:after="0"/>
              <w:rPr>
                <w:sz w:val="20"/>
                <w:szCs w:val="20"/>
                <w:color w:val="auto"/>
              </w:rPr>
            </w:pPr>
            <w:r>
              <w:rPr>
                <w:rFonts w:ascii="Arial" w:cs="Arial" w:eastAsia="Arial" w:hAnsi="Arial"/>
                <w:sz w:val="16"/>
                <w:szCs w:val="16"/>
                <w:color w:val="auto"/>
              </w:rPr>
              <w:t>Shares Issued and Outstanding at December 31, 2014 and 2013, respectively</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89</w:t>
            </w:r>
          </w:p>
        </w:tc>
      </w:tr>
      <w:tr>
        <w:trPr>
          <w:trHeight w:val="201"/>
        </w:trPr>
        <w:tc>
          <w:tcPr>
            <w:tcW w:w="6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672,739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662,717</w:t>
            </w:r>
          </w:p>
        </w:tc>
      </w:tr>
      <w:tr>
        <w:trPr>
          <w:trHeight w:val="200"/>
        </w:trPr>
        <w:tc>
          <w:tcPr>
            <w:tcW w:w="6460" w:type="dxa"/>
            <w:vAlign w:val="bottom"/>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2,590</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2,668</w:t>
            </w:r>
          </w:p>
        </w:tc>
      </w:tr>
      <w:tr>
        <w:trPr>
          <w:trHeight w:val="200"/>
        </w:trPr>
        <w:tc>
          <w:tcPr>
            <w:tcW w:w="6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(463,759)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(345,679)</w:t>
            </w:r>
          </w:p>
        </w:tc>
      </w:tr>
      <w:tr>
        <w:trPr>
          <w:trHeight w:val="193"/>
        </w:trPr>
        <w:tc>
          <w:tcPr>
            <w:tcW w:w="6460" w:type="dxa"/>
            <w:vAlign w:val="bottom"/>
          </w:tcPr>
          <w:p>
            <w:pPr>
              <w:ind w:left="34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211,660</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319,795</w:t>
            </w:r>
          </w:p>
        </w:tc>
        <w:tc>
          <w:tcPr>
            <w:tcW w:w="160" w:type="dxa"/>
            <w:vAlign w:val="bottom"/>
          </w:tcPr>
          <w:p>
            <w:pPr>
              <w:spacing w:after="0"/>
              <w:rPr>
                <w:sz w:val="16"/>
                <w:szCs w:val="16"/>
                <w:color w:val="auto"/>
              </w:rPr>
            </w:pPr>
          </w:p>
        </w:tc>
      </w:tr>
      <w:tr>
        <w:trPr>
          <w:trHeight w:val="193"/>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248,014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347,095</w:t>
            </w: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216"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0"/>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3"/>
              </w:rPr>
              <w:t>December 31, 2014</w:t>
            </w:r>
          </w:p>
        </w:tc>
        <w:tc>
          <w:tcPr>
            <w:tcW w:w="10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3"/>
              </w:rPr>
              <w:t>December 31, 2013</w:t>
            </w:r>
          </w:p>
        </w:tc>
        <w:tc>
          <w:tcPr>
            <w:tcW w:w="10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3"/>
              </w:rPr>
              <w:t>December 31, 2012</w:t>
            </w:r>
          </w:p>
        </w:tc>
        <w:tc>
          <w:tcPr>
            <w:tcW w:w="0" w:type="dxa"/>
            <w:vAlign w:val="bottom"/>
          </w:tcPr>
          <w:p>
            <w:pPr>
              <w:spacing w:after="0"/>
              <w:rPr>
                <w:sz w:val="1"/>
                <w:szCs w:val="1"/>
                <w:color w:val="auto"/>
              </w:rPr>
            </w:pPr>
          </w:p>
        </w:tc>
      </w:tr>
      <w:tr>
        <w:trPr>
          <w:trHeight w:val="193"/>
        </w:trPr>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20" w:type="dxa"/>
            <w:vAlign w:val="bottom"/>
          </w:tcPr>
          <w:p>
            <w:pPr>
              <w:spacing w:after="0"/>
              <w:rPr>
                <w:sz w:val="20"/>
                <w:szCs w:val="20"/>
                <w:color w:val="auto"/>
              </w:rPr>
            </w:pPr>
            <w:r>
              <w:rPr>
                <w:rFonts w:ascii="Arial" w:cs="Arial" w:eastAsia="Arial" w:hAnsi="Arial"/>
                <w:sz w:val="16"/>
                <w:szCs w:val="16"/>
                <w:color w:val="auto"/>
              </w:rPr>
              <w:t>Product Development and Licensing Agreements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838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Contracts and Grants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2,748</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1,617</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0"/>
        </w:trPr>
        <w:tc>
          <w:tcPr>
            <w:tcW w:w="5120" w:type="dxa"/>
            <w:vAlign w:val="bottom"/>
          </w:tcPr>
          <w:p>
            <w:pPr>
              <w:spacing w:after="0"/>
              <w:rPr>
                <w:sz w:val="20"/>
                <w:szCs w:val="20"/>
                <w:color w:val="auto"/>
              </w:rPr>
            </w:pPr>
            <w:r>
              <w:rPr>
                <w:rFonts w:ascii="Arial" w:cs="Arial" w:eastAsia="Arial" w:hAnsi="Arial"/>
                <w:sz w:val="16"/>
                <w:szCs w:val="16"/>
                <w:color w:val="auto"/>
              </w:rPr>
              <w:t>Product Royalties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2,334</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10,775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Revenue</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4,111</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11,202</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20"/>
                <w:szCs w:val="20"/>
                <w:color w:val="auto"/>
              </w:rPr>
            </w:pPr>
            <w:r>
              <w:rPr>
                <w:rFonts w:ascii="Arial" w:cs="Arial" w:eastAsia="Arial" w:hAnsi="Arial"/>
                <w:sz w:val="16"/>
                <w:szCs w:val="16"/>
                <w:b w:val="1"/>
                <w:bCs w:val="1"/>
                <w:color w:val="auto"/>
              </w:rPr>
              <w:t>OPERATING EXPENSE:</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104,381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67,401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47,398</w:t>
            </w:r>
          </w:p>
        </w:tc>
        <w:tc>
          <w:tcPr>
            <w:tcW w:w="0" w:type="dxa"/>
            <w:vAlign w:val="bottom"/>
          </w:tcPr>
          <w:p>
            <w:pPr>
              <w:spacing w:after="0"/>
              <w:rPr>
                <w:sz w:val="1"/>
                <w:szCs w:val="1"/>
                <w:color w:val="auto"/>
              </w:rPr>
            </w:pPr>
          </w:p>
        </w:tc>
      </w:tr>
      <w:tr>
        <w:trPr>
          <w:trHeight w:val="200"/>
        </w:trPr>
        <w:tc>
          <w:tcPr>
            <w:tcW w:w="5120" w:type="dxa"/>
            <w:vAlign w:val="bottom"/>
          </w:tcPr>
          <w:p>
            <w:pPr>
              <w:spacing w:after="0"/>
              <w:rPr>
                <w:sz w:val="20"/>
                <w:szCs w:val="20"/>
                <w:color w:val="auto"/>
              </w:rPr>
            </w:pPr>
            <w:r>
              <w:rPr>
                <w:rFonts w:ascii="Arial" w:cs="Arial" w:eastAsia="Arial" w:hAnsi="Arial"/>
                <w:sz w:val="16"/>
                <w:szCs w:val="16"/>
                <w:color w:val="auto"/>
              </w:rPr>
              <w:t>Royalty</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2,334</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10,775</w:t>
            </w: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20,622</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14,805</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10,016</w:t>
            </w:r>
          </w:p>
        </w:tc>
        <w:tc>
          <w:tcPr>
            <w:tcW w:w="0" w:type="dxa"/>
            <w:vAlign w:val="bottom"/>
          </w:tcPr>
          <w:p>
            <w:pPr>
              <w:spacing w:after="0"/>
              <w:rPr>
                <w:sz w:val="1"/>
                <w:szCs w:val="1"/>
                <w:color w:val="auto"/>
              </w:rPr>
            </w:pPr>
          </w:p>
        </w:tc>
      </w:tr>
      <w:tr>
        <w:trPr>
          <w:trHeight w:val="200"/>
        </w:trPr>
        <w:tc>
          <w:tcPr>
            <w:tcW w:w="5120" w:type="dxa"/>
            <w:vAlign w:val="bottom"/>
          </w:tcPr>
          <w:p>
            <w:pPr>
              <w:spacing w:after="0"/>
              <w:rPr>
                <w:sz w:val="20"/>
                <w:szCs w:val="20"/>
                <w:color w:val="auto"/>
              </w:rPr>
            </w:pPr>
            <w:r>
              <w:rPr>
                <w:rFonts w:ascii="Arial" w:cs="Arial" w:eastAsia="Arial" w:hAnsi="Arial"/>
                <w:sz w:val="16"/>
                <w:szCs w:val="16"/>
                <w:color w:val="auto"/>
              </w:rPr>
              <w:t>Amortization of Acquired Intangible Assets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Operating Expense</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126,016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85,553</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69,279</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20"/>
                <w:szCs w:val="20"/>
                <w:color w:val="auto"/>
              </w:rPr>
            </w:pPr>
            <w:r>
              <w:rPr>
                <w:rFonts w:ascii="Arial" w:cs="Arial" w:eastAsia="Arial" w:hAnsi="Arial"/>
                <w:sz w:val="16"/>
                <w:szCs w:val="16"/>
                <w:color w:val="auto"/>
              </w:rPr>
              <w:t>Operating Loss</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(122,430)</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(81,442)</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(58,077)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Investment and Other Income, Net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4,350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00"/>
        </w:trPr>
        <w:tc>
          <w:tcPr>
            <w:tcW w:w="51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(118,080)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(81,550)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(59,123)</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color w:val="auto"/>
              </w:rPr>
              <w:t>Basic and Diluted 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2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(1.32)</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(1.02)</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Shares Used in Calculating Basic and Diluted Net Loss per Share</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89,399</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79,777</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57,713</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b w:val="1"/>
                <w:bCs w:val="1"/>
                <w:color w:val="auto"/>
              </w:rPr>
              <w:t>COMPREHENSIVE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(118,080)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(81,550)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(59,123)</w:t>
            </w:r>
          </w:p>
        </w:tc>
        <w:tc>
          <w:tcPr>
            <w:tcW w:w="0" w:type="dxa"/>
            <w:vAlign w:val="bottom"/>
          </w:tcPr>
          <w:p>
            <w:pPr>
              <w:spacing w:after="0"/>
              <w:rPr>
                <w:sz w:val="1"/>
                <w:szCs w:val="1"/>
                <w:color w:val="auto"/>
              </w:rPr>
            </w:pPr>
          </w:p>
        </w:tc>
      </w:tr>
      <w:tr>
        <w:trPr>
          <w:trHeight w:val="200"/>
        </w:trPr>
        <w:tc>
          <w:tcPr>
            <w:tcW w:w="51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0"/>
        </w:trPr>
        <w:tc>
          <w:tcPr>
            <w:tcW w:w="5120" w:type="dxa"/>
            <w:vAlign w:val="bottom"/>
          </w:tcPr>
          <w:p>
            <w:pPr>
              <w:ind w:left="180"/>
              <w:spacing w:after="0"/>
              <w:rPr>
                <w:sz w:val="20"/>
                <w:szCs w:val="20"/>
                <w:color w:val="auto"/>
              </w:rPr>
            </w:pPr>
            <w:r>
              <w:rPr>
                <w:rFonts w:ascii="Arial" w:cs="Arial" w:eastAsia="Arial" w:hAnsi="Arial"/>
                <w:sz w:val="16"/>
                <w:szCs w:val="16"/>
                <w:color w:val="auto"/>
              </w:rPr>
              <w:t>Unrealized (Loss) Gain on Marketable Securities</w:t>
            </w: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(118,158)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(81,627)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(59,030)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2" w:lineRule="exact"/>
        <w:rPr>
          <w:sz w:val="20"/>
          <w:szCs w:val="20"/>
          <w:color w:val="auto"/>
        </w:rPr>
      </w:pPr>
    </w:p>
    <w:p>
      <w:pPr>
        <w:jc w:val="center"/>
        <w:ind w:right="-1019"/>
        <w:spacing w:after="0"/>
        <w:rPr>
          <w:sz w:val="20"/>
          <w:szCs w:val="20"/>
          <w:color w:val="auto"/>
        </w:rPr>
      </w:pPr>
      <w:r>
        <w:rPr>
          <w:rFonts w:ascii="Arial" w:cs="Arial" w:eastAsia="Arial" w:hAnsi="Arial"/>
          <w:sz w:val="16"/>
          <w:szCs w:val="16"/>
          <w:b w:val="1"/>
          <w:bCs w:val="1"/>
          <w:color w:val="auto"/>
        </w:rPr>
        <w:t>CELLDEX THERAPEUTICS, INC.</w:t>
      </w:r>
    </w:p>
    <w:p>
      <w:pPr>
        <w:spacing w:after="0" w:line="27" w:lineRule="exact"/>
        <w:rPr>
          <w:sz w:val="20"/>
          <w:szCs w:val="20"/>
          <w:color w:val="auto"/>
        </w:rPr>
      </w:pPr>
    </w:p>
    <w:p>
      <w:pPr>
        <w:jc w:val="center"/>
        <w:ind w:right="-1019"/>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6" w:lineRule="exact"/>
        <w:rPr>
          <w:sz w:val="20"/>
          <w:szCs w:val="20"/>
          <w:color w:val="auto"/>
        </w:rPr>
      </w:pPr>
    </w:p>
    <w:p>
      <w:pPr>
        <w:jc w:val="center"/>
        <w:ind w:right="-1019"/>
        <w:spacing w:after="0"/>
        <w:rPr>
          <w:sz w:val="20"/>
          <w:szCs w:val="20"/>
          <w:color w:val="auto"/>
        </w:rPr>
      </w:pPr>
      <w:r>
        <w:rPr>
          <w:rFonts w:ascii="Arial" w:cs="Arial" w:eastAsia="Arial" w:hAnsi="Arial"/>
          <w:sz w:val="16"/>
          <w:szCs w:val="16"/>
          <w:b w:val="1"/>
          <w:bCs w:val="1"/>
          <w:color w:val="auto"/>
        </w:rPr>
        <w:t>(In thousands, except share amounts)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8"/>
        </w:trPr>
        <w:tc>
          <w:tcPr>
            <w:tcW w:w="3400" w:type="dxa"/>
            <w:vAlign w:val="bottom"/>
          </w:tcPr>
          <w:p>
            <w:pPr>
              <w:spacing w:after="0"/>
              <w:rPr>
                <w:sz w:val="11"/>
                <w:szCs w:val="11"/>
                <w:color w:val="auto"/>
              </w:rPr>
            </w:pPr>
          </w:p>
        </w:tc>
        <w:tc>
          <w:tcPr>
            <w:tcW w:w="100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72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5"/>
              </w:rPr>
              <w:t>Common</w:t>
            </w:r>
          </w:p>
        </w:tc>
        <w:tc>
          <w:tcPr>
            <w:tcW w:w="88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2"/>
              </w:rPr>
              <w:t>Other</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83"/>
              </w:rPr>
              <w:t>Total</w:t>
            </w:r>
          </w:p>
        </w:tc>
      </w:tr>
      <w:tr>
        <w:trPr>
          <w:trHeight w:val="138"/>
        </w:trPr>
        <w:tc>
          <w:tcPr>
            <w:tcW w:w="3400" w:type="dxa"/>
            <w:vAlign w:val="bottom"/>
          </w:tcPr>
          <w:p>
            <w:pPr>
              <w:spacing w:after="0"/>
              <w:rPr>
                <w:sz w:val="11"/>
                <w:szCs w:val="11"/>
                <w:color w:val="auto"/>
              </w:rPr>
            </w:pPr>
          </w:p>
        </w:tc>
        <w:tc>
          <w:tcPr>
            <w:tcW w:w="100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84"/>
              </w:rPr>
              <w:t>Stock</w:t>
            </w:r>
          </w:p>
        </w:tc>
        <w:tc>
          <w:tcPr>
            <w:tcW w:w="82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86"/>
              </w:rPr>
              <w:t>Stock Par</w:t>
            </w:r>
          </w:p>
        </w:tc>
        <w:tc>
          <w:tcPr>
            <w:tcW w:w="8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2"/>
              </w:rPr>
              <w:t>Paid-In</w:t>
            </w:r>
          </w:p>
        </w:tc>
        <w:tc>
          <w:tcPr>
            <w:tcW w:w="114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86"/>
              </w:rPr>
              <w:t>Comprehensive</w:t>
            </w:r>
          </w:p>
        </w:tc>
        <w:tc>
          <w:tcPr>
            <w:tcW w:w="980" w:type="dxa"/>
            <w:vAlign w:val="bottom"/>
            <w:gridSpan w:val="2"/>
          </w:tcPr>
          <w:p>
            <w:pPr>
              <w:jc w:val="right"/>
              <w:ind w:right="119"/>
              <w:spacing w:after="0" w:line="138" w:lineRule="exact"/>
              <w:rPr>
                <w:sz w:val="20"/>
                <w:szCs w:val="20"/>
                <w:color w:val="auto"/>
              </w:rPr>
            </w:pPr>
            <w:r>
              <w:rPr>
                <w:rFonts w:ascii="Arial" w:cs="Arial" w:eastAsia="Arial" w:hAnsi="Arial"/>
                <w:sz w:val="13"/>
                <w:szCs w:val="13"/>
                <w:b w:val="1"/>
                <w:bCs w:val="1"/>
                <w:color w:val="auto"/>
                <w:w w:val="93"/>
              </w:rPr>
              <w:t>Accumulated</w:t>
            </w:r>
          </w:p>
        </w:tc>
        <w:tc>
          <w:tcPr>
            <w:tcW w:w="104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86"/>
              </w:rPr>
              <w:t>Stockholders'</w:t>
            </w:r>
          </w:p>
        </w:tc>
      </w:tr>
      <w:tr>
        <w:trPr>
          <w:trHeight w:val="150"/>
        </w:trPr>
        <w:tc>
          <w:tcPr>
            <w:tcW w:w="340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Capital</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Pr>
          <w:p>
            <w:pPr>
              <w:spacing w:after="0"/>
              <w:rPr>
                <w:sz w:val="13"/>
                <w:szCs w:val="13"/>
                <w:color w:val="auto"/>
              </w:rPr>
            </w:pPr>
          </w:p>
        </w:tc>
      </w:tr>
      <w:tr>
        <w:trPr>
          <w:trHeight w:val="193"/>
        </w:trPr>
        <w:tc>
          <w:tcPr>
            <w:tcW w:w="3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44,210,636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271,032</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2,652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(205,006)</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68,722</w:t>
            </w:r>
          </w:p>
        </w:tc>
      </w:tr>
      <w:tr>
        <w:trPr>
          <w:trHeight w:val="191"/>
        </w:trPr>
        <w:tc>
          <w:tcPr>
            <w:tcW w:w="3400" w:type="dxa"/>
            <w:vAlign w:val="bottom"/>
          </w:tcPr>
          <w:p>
            <w:pPr>
              <w:spacing w:after="0"/>
              <w:rPr>
                <w:sz w:val="20"/>
                <w:szCs w:val="20"/>
                <w:color w:val="auto"/>
              </w:rPr>
            </w:pPr>
            <w:r>
              <w:rPr>
                <w:rFonts w:ascii="Arial" w:cs="Arial" w:eastAsia="Arial" w:hAnsi="Arial"/>
                <w:sz w:val="16"/>
                <w:szCs w:val="16"/>
                <w:color w:val="auto"/>
                <w:w w:val="96"/>
              </w:rPr>
              <w:t>Shares Issued under Stock Option and Employee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8"/>
        </w:trPr>
        <w:tc>
          <w:tcPr>
            <w:tcW w:w="3400" w:type="dxa"/>
            <w:vAlign w:val="bottom"/>
          </w:tcPr>
          <w:p>
            <w:pPr>
              <w:ind w:left="160"/>
              <w:spacing w:after="0"/>
              <w:rPr>
                <w:sz w:val="20"/>
                <w:szCs w:val="20"/>
                <w:color w:val="auto"/>
              </w:rPr>
            </w:pPr>
            <w:r>
              <w:rPr>
                <w:rFonts w:ascii="Arial" w:cs="Arial" w:eastAsia="Arial" w:hAnsi="Arial"/>
                <w:sz w:val="16"/>
                <w:szCs w:val="16"/>
                <w:color w:val="auto"/>
              </w:rPr>
              <w:t>Stock Purchase Plans</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70,587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163</w:t>
            </w:r>
          </w:p>
        </w:tc>
      </w:tr>
      <w:tr>
        <w:trPr>
          <w:trHeight w:val="192"/>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Shares Issued in Connection with Cantor</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9"/>
        </w:trPr>
        <w:tc>
          <w:tcPr>
            <w:tcW w:w="3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Agreement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8,003,290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40,130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40,138</w:t>
            </w:r>
          </w:p>
        </w:tc>
      </w:tr>
      <w:tr>
        <w:trPr>
          <w:trHeight w:val="200"/>
        </w:trPr>
        <w:tc>
          <w:tcPr>
            <w:tcW w:w="3400" w:type="dxa"/>
            <w:vAlign w:val="bottom"/>
          </w:tcPr>
          <w:p>
            <w:pPr>
              <w:spacing w:after="0"/>
              <w:rPr>
                <w:sz w:val="20"/>
                <w:szCs w:val="20"/>
                <w:color w:val="auto"/>
              </w:rPr>
            </w:pPr>
            <w:r>
              <w:rPr>
                <w:rFonts w:ascii="Arial" w:cs="Arial" w:eastAsia="Arial" w:hAnsi="Arial"/>
                <w:sz w:val="16"/>
                <w:szCs w:val="16"/>
                <w:color w:val="auto"/>
              </w:rPr>
              <w:t>Shares Issued in Underwritten Offering</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12,075,000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12</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43,471</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43,483</w:t>
            </w:r>
          </w:p>
        </w:tc>
      </w:tr>
      <w:tr>
        <w:trPr>
          <w:trHeight w:val="200"/>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2,298</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2,298</w:t>
            </w:r>
          </w:p>
        </w:tc>
      </w:tr>
      <w:tr>
        <w:trPr>
          <w:trHeight w:val="200"/>
        </w:trPr>
        <w:tc>
          <w:tcPr>
            <w:tcW w:w="340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10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9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r>
      <w:tr>
        <w:trPr>
          <w:trHeight w:val="200"/>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Gains on Marketable Securities</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91</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91</w:t>
            </w:r>
          </w:p>
        </w:tc>
      </w:tr>
      <w:tr>
        <w:trPr>
          <w:trHeight w:val="200"/>
        </w:trPr>
        <w:tc>
          <w:tcPr>
            <w:tcW w:w="340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(59,123)</w:t>
            </w:r>
          </w:p>
        </w:tc>
        <w:tc>
          <w:tcPr>
            <w:tcW w:w="1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(59,123)</w:t>
            </w:r>
          </w:p>
        </w:tc>
      </w:tr>
      <w:tr>
        <w:trPr>
          <w:trHeight w:val="20"/>
        </w:trPr>
        <w:tc>
          <w:tcPr>
            <w:tcW w:w="3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3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64,359,513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357,094</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2,745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(264,129)</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95,774</w:t>
            </w:r>
          </w:p>
        </w:tc>
      </w:tr>
      <w:tr>
        <w:trPr>
          <w:trHeight w:val="191"/>
        </w:trPr>
        <w:tc>
          <w:tcPr>
            <w:tcW w:w="3400" w:type="dxa"/>
            <w:vAlign w:val="bottom"/>
          </w:tcPr>
          <w:p>
            <w:pPr>
              <w:spacing w:after="0"/>
              <w:rPr>
                <w:sz w:val="20"/>
                <w:szCs w:val="20"/>
                <w:color w:val="auto"/>
              </w:rPr>
            </w:pPr>
            <w:r>
              <w:rPr>
                <w:rFonts w:ascii="Arial" w:cs="Arial" w:eastAsia="Arial" w:hAnsi="Arial"/>
                <w:sz w:val="16"/>
                <w:szCs w:val="16"/>
                <w:color w:val="auto"/>
                <w:w w:val="96"/>
              </w:rPr>
              <w:t>Shares Issued under Stock Option and Employee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8"/>
        </w:trPr>
        <w:tc>
          <w:tcPr>
            <w:tcW w:w="3400" w:type="dxa"/>
            <w:vAlign w:val="bottom"/>
          </w:tcPr>
          <w:p>
            <w:pPr>
              <w:ind w:left="160"/>
              <w:spacing w:after="0"/>
              <w:rPr>
                <w:sz w:val="20"/>
                <w:szCs w:val="20"/>
                <w:color w:val="auto"/>
              </w:rPr>
            </w:pPr>
            <w:r>
              <w:rPr>
                <w:rFonts w:ascii="Arial" w:cs="Arial" w:eastAsia="Arial" w:hAnsi="Arial"/>
                <w:sz w:val="16"/>
                <w:szCs w:val="16"/>
                <w:color w:val="auto"/>
              </w:rPr>
              <w:t>Stock Purchase Plans</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840,228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5,402</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5,403</w:t>
            </w:r>
          </w:p>
        </w:tc>
      </w:tr>
      <w:tr>
        <w:trPr>
          <w:trHeight w:val="192"/>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Shares Issued in Connection with Cantor</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9"/>
        </w:trPr>
        <w:tc>
          <w:tcPr>
            <w:tcW w:w="3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Agreement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2,433,608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17,132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17,134</w:t>
            </w:r>
          </w:p>
        </w:tc>
      </w:tr>
      <w:tr>
        <w:trPr>
          <w:trHeight w:val="200"/>
        </w:trPr>
        <w:tc>
          <w:tcPr>
            <w:tcW w:w="3400" w:type="dxa"/>
            <w:vAlign w:val="bottom"/>
          </w:tcPr>
          <w:p>
            <w:pPr>
              <w:spacing w:after="0"/>
              <w:rPr>
                <w:sz w:val="20"/>
                <w:szCs w:val="20"/>
                <w:color w:val="auto"/>
              </w:rPr>
            </w:pPr>
            <w:r>
              <w:rPr>
                <w:rFonts w:ascii="Arial" w:cs="Arial" w:eastAsia="Arial" w:hAnsi="Arial"/>
                <w:sz w:val="16"/>
                <w:szCs w:val="16"/>
                <w:color w:val="auto"/>
              </w:rPr>
              <w:t>Shares Issued in Underwritten Offering</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21,613,483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278,541</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278,563</w:t>
            </w:r>
          </w:p>
        </w:tc>
      </w:tr>
      <w:tr>
        <w:trPr>
          <w:trHeight w:val="200"/>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4,548</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4,548</w:t>
            </w:r>
          </w:p>
        </w:tc>
      </w:tr>
      <w:tr>
        <w:trPr>
          <w:trHeight w:val="200"/>
        </w:trPr>
        <w:tc>
          <w:tcPr>
            <w:tcW w:w="340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10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9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r>
      <w:tr>
        <w:trPr>
          <w:trHeight w:val="200"/>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Losses on Marketable Securities</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w:t>
            </w:r>
          </w:p>
        </w:tc>
      </w:tr>
      <w:tr>
        <w:trPr>
          <w:trHeight w:val="200"/>
        </w:trPr>
        <w:tc>
          <w:tcPr>
            <w:tcW w:w="340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(81,550)</w:t>
            </w:r>
          </w:p>
        </w:tc>
        <w:tc>
          <w:tcPr>
            <w:tcW w:w="1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(81,550)</w:t>
            </w:r>
          </w:p>
        </w:tc>
      </w:tr>
      <w:tr>
        <w:trPr>
          <w:trHeight w:val="20"/>
        </w:trPr>
        <w:tc>
          <w:tcPr>
            <w:tcW w:w="3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3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89,246,832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89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662,717</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2,668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(345,679)</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319,795</w:t>
            </w:r>
          </w:p>
        </w:tc>
      </w:tr>
      <w:tr>
        <w:trPr>
          <w:trHeight w:val="191"/>
        </w:trPr>
        <w:tc>
          <w:tcPr>
            <w:tcW w:w="3400" w:type="dxa"/>
            <w:vAlign w:val="bottom"/>
          </w:tcPr>
          <w:p>
            <w:pPr>
              <w:spacing w:after="0"/>
              <w:rPr>
                <w:sz w:val="20"/>
                <w:szCs w:val="20"/>
                <w:color w:val="auto"/>
              </w:rPr>
            </w:pPr>
            <w:r>
              <w:rPr>
                <w:rFonts w:ascii="Arial" w:cs="Arial" w:eastAsia="Arial" w:hAnsi="Arial"/>
                <w:sz w:val="16"/>
                <w:szCs w:val="16"/>
                <w:color w:val="auto"/>
                <w:w w:val="96"/>
              </w:rPr>
              <w:t>Shares Issued under Stock Option and Employee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8"/>
        </w:trPr>
        <w:tc>
          <w:tcPr>
            <w:tcW w:w="3400" w:type="dxa"/>
            <w:vAlign w:val="bottom"/>
          </w:tcPr>
          <w:p>
            <w:pPr>
              <w:ind w:left="160"/>
              <w:spacing w:after="0"/>
              <w:rPr>
                <w:sz w:val="20"/>
                <w:szCs w:val="20"/>
                <w:color w:val="auto"/>
              </w:rPr>
            </w:pPr>
            <w:r>
              <w:rPr>
                <w:rFonts w:ascii="Arial" w:cs="Arial" w:eastAsia="Arial" w:hAnsi="Arial"/>
                <w:sz w:val="16"/>
                <w:szCs w:val="16"/>
                <w:color w:val="auto"/>
              </w:rPr>
              <w:t>Stock Purchase Plans</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193,775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1,171</w:t>
            </w:r>
          </w:p>
        </w:tc>
      </w:tr>
      <w:tr>
        <w:trPr>
          <w:trHeight w:val="192"/>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Shares Issued in Connection with Supply</w:t>
            </w: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9"/>
        </w:trPr>
        <w:tc>
          <w:tcPr>
            <w:tcW w:w="3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Agreement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152,172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2,000</w:t>
            </w:r>
          </w:p>
        </w:tc>
      </w:tr>
      <w:tr>
        <w:trPr>
          <w:trHeight w:val="200"/>
        </w:trPr>
        <w:tc>
          <w:tcPr>
            <w:tcW w:w="34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6,852</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6,852</w:t>
            </w:r>
          </w:p>
        </w:tc>
      </w:tr>
      <w:tr>
        <w:trPr>
          <w:trHeight w:val="200"/>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r>
      <w:tr>
        <w:trPr>
          <w:trHeight w:val="200"/>
        </w:trPr>
        <w:tc>
          <w:tcPr>
            <w:tcW w:w="3400" w:type="dxa"/>
            <w:vAlign w:val="bottom"/>
          </w:tcPr>
          <w:p>
            <w:pPr>
              <w:spacing w:after="0"/>
              <w:rPr>
                <w:sz w:val="20"/>
                <w:szCs w:val="20"/>
                <w:color w:val="auto"/>
              </w:rPr>
            </w:pPr>
            <w:r>
              <w:rPr>
                <w:rFonts w:ascii="Arial" w:cs="Arial" w:eastAsia="Arial" w:hAnsi="Arial"/>
                <w:sz w:val="16"/>
                <w:szCs w:val="16"/>
                <w:color w:val="auto"/>
              </w:rPr>
              <w:t>Unrealized Losses on Marketable Securities</w:t>
            </w:r>
          </w:p>
        </w:tc>
        <w:tc>
          <w:tcPr>
            <w:tcW w:w="10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(73)</w:t>
            </w:r>
          </w:p>
        </w:tc>
        <w:tc>
          <w:tcPr>
            <w:tcW w:w="9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(73)</w:t>
            </w:r>
          </w:p>
        </w:tc>
      </w:tr>
      <w:tr>
        <w:trPr>
          <w:trHeight w:val="200"/>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(118,080)</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(118,080)</w:t>
            </w:r>
          </w:p>
        </w:tc>
      </w:tr>
      <w:tr>
        <w:trPr>
          <w:trHeight w:val="193"/>
        </w:trPr>
        <w:tc>
          <w:tcPr>
            <w:tcW w:w="3400" w:type="dxa"/>
            <w:vAlign w:val="bottom"/>
          </w:tcPr>
          <w:p>
            <w:pPr>
              <w:spacing w:after="0"/>
              <w:rPr>
                <w:sz w:val="20"/>
                <w:szCs w:val="20"/>
                <w:color w:val="auto"/>
              </w:rPr>
            </w:pPr>
            <w:r>
              <w:rPr>
                <w:rFonts w:ascii="Arial" w:cs="Arial" w:eastAsia="Arial" w:hAnsi="Arial"/>
                <w:sz w:val="16"/>
                <w:szCs w:val="16"/>
                <w:b w:val="1"/>
                <w:bCs w:val="1"/>
                <w:color w:val="auto"/>
              </w:rPr>
              <w:t>Balance at December 31, 2014</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89,592,779</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c>
          <w:tcPr>
            <w:tcW w:w="14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672,739</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2,590</w:t>
            </w:r>
          </w:p>
        </w:tc>
        <w:tc>
          <w:tcPr>
            <w:tcW w:w="1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  (463,759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211,660</w:t>
            </w:r>
          </w:p>
        </w:tc>
        <w:tc>
          <w:tcPr>
            <w:tcW w:w="160" w:type="dxa"/>
            <w:vAlign w:val="bottom"/>
          </w:tcPr>
          <w:p>
            <w:pPr>
              <w:spacing w:after="0"/>
              <w:rPr>
                <w:sz w:val="16"/>
                <w:szCs w:val="16"/>
                <w:color w:val="auto"/>
              </w:rPr>
            </w:pPr>
          </w:p>
        </w:tc>
      </w:tr>
      <w:tr>
        <w:trPr>
          <w:trHeight w:val="20"/>
        </w:trPr>
        <w:tc>
          <w:tcPr>
            <w:tcW w:w="3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01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jc w:val="center"/>
        <w:ind w:right="-109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16"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0"/>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3"/>
              </w:rPr>
              <w:t>December 31, 2014</w:t>
            </w:r>
          </w:p>
        </w:tc>
        <w:tc>
          <w:tcPr>
            <w:tcW w:w="10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3"/>
              </w:rPr>
              <w:t>December 31, 2013</w:t>
            </w:r>
          </w:p>
        </w:tc>
        <w:tc>
          <w:tcPr>
            <w:tcW w:w="10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3"/>
              </w:rPr>
              <w:t>December 31, 2012</w:t>
            </w:r>
          </w:p>
        </w:tc>
        <w:tc>
          <w:tcPr>
            <w:tcW w:w="0" w:type="dxa"/>
            <w:vAlign w:val="bottom"/>
          </w:tcPr>
          <w:p>
            <w:pPr>
              <w:spacing w:after="0"/>
              <w:rPr>
                <w:sz w:val="1"/>
                <w:szCs w:val="1"/>
                <w:color w:val="auto"/>
              </w:rPr>
            </w:pPr>
          </w:p>
        </w:tc>
      </w:tr>
      <w:tr>
        <w:trPr>
          <w:trHeight w:val="193"/>
        </w:trPr>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20" w:type="dxa"/>
            <w:vAlign w:val="bottom"/>
          </w:tcPr>
          <w:p>
            <w:pPr>
              <w:ind w:left="160"/>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(118,080)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(81,550)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(59,123)</w:t>
            </w:r>
          </w:p>
        </w:tc>
        <w:tc>
          <w:tcPr>
            <w:tcW w:w="0" w:type="dxa"/>
            <w:vAlign w:val="bottom"/>
          </w:tcPr>
          <w:p>
            <w:pPr>
              <w:spacing w:after="0"/>
              <w:rPr>
                <w:sz w:val="1"/>
                <w:szCs w:val="1"/>
                <w:color w:val="auto"/>
              </w:rPr>
            </w:pPr>
          </w:p>
        </w:tc>
      </w:tr>
      <w:tr>
        <w:trPr>
          <w:trHeight w:val="191"/>
        </w:trPr>
        <w:tc>
          <w:tcPr>
            <w:tcW w:w="5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Adjustments to Reconcile Net Loss to Net Cash Used in Operating</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Activities: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12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2,388</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1,932</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2,047</w:t>
            </w: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00"/>
        </w:trPr>
        <w:tc>
          <w:tcPr>
            <w:tcW w:w="5120" w:type="dxa"/>
            <w:vAlign w:val="bottom"/>
          </w:tcPr>
          <w:p>
            <w:pPr>
              <w:ind w:left="320"/>
              <w:spacing w:after="0"/>
              <w:rPr>
                <w:sz w:val="20"/>
                <w:szCs w:val="20"/>
                <w:color w:val="auto"/>
              </w:rPr>
            </w:pPr>
            <w:r>
              <w:rPr>
                <w:rFonts w:ascii="Arial" w:cs="Arial" w:eastAsia="Arial" w:hAnsi="Arial"/>
                <w:sz w:val="16"/>
                <w:szCs w:val="16"/>
                <w:color w:val="auto"/>
              </w:rPr>
              <w:t>Amortization and Premium of Marketable Securities</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191"/>
        </w:trPr>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Realized Gain on Sales and Maturities of Marketable</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5120" w:type="dxa"/>
            <w:vAlign w:val="bottom"/>
          </w:tcPr>
          <w:p>
            <w:pPr>
              <w:ind w:left="320"/>
              <w:spacing w:after="0"/>
              <w:rPr>
                <w:sz w:val="20"/>
                <w:szCs w:val="20"/>
                <w:color w:val="auto"/>
              </w:rPr>
            </w:pPr>
            <w:r>
              <w:rPr>
                <w:rFonts w:ascii="Arial" w:cs="Arial" w:eastAsia="Arial" w:hAnsi="Arial"/>
                <w:sz w:val="16"/>
                <w:szCs w:val="16"/>
                <w:color w:val="auto"/>
              </w:rPr>
              <w:t>Loss (Gain) on Sale or Disposal of Assets</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6,852</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4,548</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2,298</w:t>
            </w:r>
          </w:p>
        </w:tc>
        <w:tc>
          <w:tcPr>
            <w:tcW w:w="0" w:type="dxa"/>
            <w:vAlign w:val="bottom"/>
          </w:tcPr>
          <w:p>
            <w:pPr>
              <w:spacing w:after="0"/>
              <w:rPr>
                <w:sz w:val="1"/>
                <w:szCs w:val="1"/>
                <w:color w:val="auto"/>
              </w:rPr>
            </w:pPr>
          </w:p>
        </w:tc>
      </w:tr>
      <w:tr>
        <w:trPr>
          <w:trHeight w:val="200"/>
        </w:trPr>
        <w:tc>
          <w:tcPr>
            <w:tcW w:w="5120" w:type="dxa"/>
            <w:vAlign w:val="bottom"/>
          </w:tcPr>
          <w:p>
            <w:pPr>
              <w:ind w:left="320"/>
              <w:spacing w:after="0"/>
              <w:rPr>
                <w:sz w:val="20"/>
                <w:szCs w:val="20"/>
                <w:color w:val="auto"/>
              </w:rPr>
            </w:pPr>
            <w:r>
              <w:rPr>
                <w:rFonts w:ascii="Arial" w:cs="Arial" w:eastAsia="Arial" w:hAnsi="Arial"/>
                <w:sz w:val="16"/>
                <w:szCs w:val="16"/>
                <w:color w:val="auto"/>
              </w:rPr>
              <w:t>Non-Cash Expense</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20" w:type="dxa"/>
            <w:vAlign w:val="bottom"/>
          </w:tcPr>
          <w:p>
            <w:pPr>
              <w:ind w:left="320"/>
              <w:spacing w:after="0"/>
              <w:rPr>
                <w:sz w:val="20"/>
                <w:szCs w:val="20"/>
                <w:color w:val="auto"/>
              </w:rPr>
            </w:pPr>
            <w:r>
              <w:rPr>
                <w:rFonts w:ascii="Arial" w:cs="Arial" w:eastAsia="Arial" w:hAnsi="Arial"/>
                <w:sz w:val="16"/>
                <w:szCs w:val="16"/>
                <w:color w:val="auto"/>
              </w:rPr>
              <w:t>Accounts and Other Receivables</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and Other Current Assets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0"/>
        </w:trPr>
        <w:tc>
          <w:tcPr>
            <w:tcW w:w="5120" w:type="dxa"/>
            <w:vAlign w:val="bottom"/>
          </w:tcPr>
          <w:p>
            <w:pPr>
              <w:ind w:left="320"/>
              <w:spacing w:after="0"/>
              <w:rPr>
                <w:sz w:val="20"/>
                <w:szCs w:val="20"/>
                <w:color w:val="auto"/>
              </w:rPr>
            </w:pPr>
            <w:r>
              <w:rPr>
                <w:rFonts w:ascii="Arial" w:cs="Arial" w:eastAsia="Arial" w:hAnsi="Arial"/>
                <w:sz w:val="16"/>
                <w:szCs w:val="16"/>
                <w:color w:val="auto"/>
              </w:rPr>
              <w:t>Other Assets</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 and Accrued Expenses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7,236</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3,762</w:t>
            </w:r>
          </w:p>
        </w:tc>
        <w:tc>
          <w:tcPr>
            <w:tcW w:w="0" w:type="dxa"/>
            <w:vAlign w:val="bottom"/>
          </w:tcPr>
          <w:p>
            <w:pPr>
              <w:spacing w:after="0"/>
              <w:rPr>
                <w:sz w:val="1"/>
                <w:szCs w:val="1"/>
                <w:color w:val="auto"/>
              </w:rPr>
            </w:pPr>
          </w:p>
        </w:tc>
      </w:tr>
      <w:tr>
        <w:trPr>
          <w:trHeight w:val="200"/>
        </w:trPr>
        <w:tc>
          <w:tcPr>
            <w:tcW w:w="5120" w:type="dxa"/>
            <w:vAlign w:val="bottom"/>
          </w:tcPr>
          <w:p>
            <w:pPr>
              <w:ind w:left="320"/>
              <w:spacing w:after="0"/>
              <w:rPr>
                <w:sz w:val="20"/>
                <w:szCs w:val="20"/>
                <w:color w:val="auto"/>
              </w:rPr>
            </w:pPr>
            <w:r>
              <w:rPr>
                <w:rFonts w:ascii="Arial" w:cs="Arial" w:eastAsia="Arial" w:hAnsi="Arial"/>
                <w:sz w:val="16"/>
                <w:szCs w:val="16"/>
                <w:color w:val="auto"/>
              </w:rPr>
              <w:t>Other Liabilities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6,577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(101,537)</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(67,669)</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(49,782)</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Sales and Maturities of Marketable Securities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109,232</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38,894</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52,360</w:t>
            </w:r>
          </w:p>
        </w:tc>
        <w:tc>
          <w:tcPr>
            <w:tcW w:w="0" w:type="dxa"/>
            <w:vAlign w:val="bottom"/>
          </w:tcPr>
          <w:p>
            <w:pPr>
              <w:spacing w:after="0"/>
              <w:rPr>
                <w:sz w:val="1"/>
                <w:szCs w:val="1"/>
                <w:color w:val="auto"/>
              </w:rPr>
            </w:pPr>
          </w:p>
        </w:tc>
      </w:tr>
      <w:tr>
        <w:trPr>
          <w:trHeight w:val="200"/>
        </w:trPr>
        <w:tc>
          <w:tcPr>
            <w:tcW w:w="5120" w:type="dxa"/>
            <w:vAlign w:val="bottom"/>
          </w:tcPr>
          <w:p>
            <w:pPr>
              <w:ind w:left="160"/>
              <w:spacing w:after="0"/>
              <w:rPr>
                <w:sz w:val="20"/>
                <w:szCs w:val="20"/>
                <w:color w:val="auto"/>
              </w:rPr>
            </w:pPr>
            <w:r>
              <w:rPr>
                <w:rFonts w:ascii="Arial" w:cs="Arial" w:eastAsia="Arial" w:hAnsi="Arial"/>
                <w:sz w:val="16"/>
                <w:szCs w:val="16"/>
                <w:color w:val="auto"/>
              </w:rPr>
              <w:t>Purchases of Marketable Securities</w:t>
            </w: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(148,314)</w:t>
            </w: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(112,118)</w:t>
            </w: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(69,255)</w:t>
            </w: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Acquisition of Property and Equipment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(1,929)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(4,219)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0"/>
        </w:trPr>
        <w:tc>
          <w:tcPr>
            <w:tcW w:w="5120" w:type="dxa"/>
            <w:vAlign w:val="bottom"/>
          </w:tcPr>
          <w:p>
            <w:pPr>
              <w:ind w:left="160"/>
              <w:spacing w:after="0"/>
              <w:rPr>
                <w:sz w:val="20"/>
                <w:szCs w:val="20"/>
                <w:color w:val="auto"/>
              </w:rPr>
            </w:pPr>
            <w:r>
              <w:rPr>
                <w:rFonts w:ascii="Arial" w:cs="Arial" w:eastAsia="Arial" w:hAnsi="Arial"/>
                <w:sz w:val="16"/>
                <w:szCs w:val="16"/>
                <w:color w:val="auto"/>
              </w:rPr>
              <w:t>Proceeds from Sale or Disposal of Assets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(41,011)</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(77,422)</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(16,980)</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Proceeds from Stock Issuances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295,697</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83,784</w:t>
            </w:r>
          </w:p>
        </w:tc>
        <w:tc>
          <w:tcPr>
            <w:tcW w:w="0" w:type="dxa"/>
            <w:vAlign w:val="bottom"/>
          </w:tcPr>
          <w:p>
            <w:pPr>
              <w:spacing w:after="0"/>
              <w:rPr>
                <w:sz w:val="1"/>
                <w:szCs w:val="1"/>
                <w:color w:val="auto"/>
              </w:rPr>
            </w:pPr>
          </w:p>
        </w:tc>
      </w:tr>
      <w:tr>
        <w:trPr>
          <w:trHeight w:val="200"/>
        </w:trPr>
        <w:tc>
          <w:tcPr>
            <w:tcW w:w="5120" w:type="dxa"/>
            <w:vAlign w:val="bottom"/>
          </w:tcPr>
          <w:p>
            <w:pPr>
              <w:ind w:left="160"/>
              <w:spacing w:after="0"/>
              <w:rPr>
                <w:sz w:val="20"/>
                <w:szCs w:val="20"/>
                <w:color w:val="auto"/>
              </w:rPr>
            </w:pPr>
            <w:r>
              <w:rPr>
                <w:rFonts w:ascii="Arial" w:cs="Arial" w:eastAsia="Arial" w:hAnsi="Arial"/>
                <w:sz w:val="16"/>
                <w:szCs w:val="16"/>
                <w:color w:val="auto"/>
              </w:rPr>
              <w:t>Proceeds from Issuance of Stock from Employee Benefit Plans</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5,403</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Payments of Term Loan</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(11,029)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(3,971)</w:t>
            </w:r>
          </w:p>
        </w:tc>
        <w:tc>
          <w:tcPr>
            <w:tcW w:w="0" w:type="dxa"/>
            <w:vAlign w:val="bottom"/>
          </w:tcPr>
          <w:p>
            <w:pPr>
              <w:spacing w:after="0"/>
              <w:rPr>
                <w:sz w:val="1"/>
                <w:szCs w:val="1"/>
                <w:color w:val="auto"/>
              </w:rPr>
            </w:pPr>
          </w:p>
        </w:tc>
      </w:tr>
      <w:tr>
        <w:trPr>
          <w:trHeight w:val="200"/>
        </w:trPr>
        <w:tc>
          <w:tcPr>
            <w:tcW w:w="5120" w:type="dxa"/>
            <w:vAlign w:val="bottom"/>
          </w:tcPr>
          <w:p>
            <w:pPr>
              <w:ind w:left="160"/>
              <w:spacing w:after="0"/>
              <w:rPr>
                <w:sz w:val="20"/>
                <w:szCs w:val="20"/>
                <w:color w:val="auto"/>
              </w:rPr>
            </w:pPr>
            <w:r>
              <w:rPr>
                <w:rFonts w:ascii="Arial" w:cs="Arial" w:eastAsia="Arial" w:hAnsi="Arial"/>
                <w:sz w:val="16"/>
                <w:szCs w:val="16"/>
                <w:color w:val="auto"/>
              </w:rPr>
              <w:t>Payment of Other Liabilities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289,599</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79,758</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(141,382)</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144,505</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12,998</w:t>
            </w:r>
          </w:p>
        </w:tc>
        <w:tc>
          <w:tcPr>
            <w:tcW w:w="0" w:type="dxa"/>
            <w:vAlign w:val="bottom"/>
          </w:tcPr>
          <w:p>
            <w:pPr>
              <w:spacing w:after="0"/>
              <w:rPr>
                <w:sz w:val="1"/>
                <w:szCs w:val="1"/>
                <w:color w:val="auto"/>
              </w:rPr>
            </w:pPr>
          </w:p>
        </w:tc>
      </w:tr>
      <w:tr>
        <w:trPr>
          <w:trHeight w:val="200"/>
        </w:trPr>
        <w:tc>
          <w:tcPr>
            <w:tcW w:w="512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169,402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24,897</w:t>
            </w: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11,899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169,402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24,897</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1,384</w:t>
            </w:r>
          </w:p>
        </w:tc>
        <w:tc>
          <w:tcPr>
            <w:tcW w:w="0" w:type="dxa"/>
            <w:vAlign w:val="bottom"/>
          </w:tcPr>
          <w:p>
            <w:pPr>
              <w:spacing w:after="0"/>
              <w:rPr>
                <w:sz w:val="1"/>
                <w:szCs w:val="1"/>
                <w:color w:val="auto"/>
              </w:rPr>
            </w:pPr>
          </w:p>
        </w:tc>
      </w:tr>
      <w:tr>
        <w:trPr>
          <w:trHeight w:val="200"/>
        </w:trPr>
        <w:tc>
          <w:tcPr>
            <w:tcW w:w="5120" w:type="dxa"/>
            <w:vAlign w:val="bottom"/>
          </w:tcPr>
          <w:p>
            <w:pPr>
              <w:spacing w:after="0"/>
              <w:rPr>
                <w:sz w:val="20"/>
                <w:szCs w:val="20"/>
                <w:color w:val="auto"/>
              </w:rPr>
            </w:pPr>
            <w:r>
              <w:rPr>
                <w:rFonts w:ascii="Arial" w:cs="Arial" w:eastAsia="Arial" w:hAnsi="Arial"/>
                <w:sz w:val="16"/>
                <w:szCs w:val="16"/>
                <w:i w:val="1"/>
                <w:iCs w:val="1"/>
                <w:color w:val="auto"/>
              </w:rPr>
              <w:t>Non-cash Investing Activities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construction in progress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BUSINESS AND OVERVIEW</w:t>
      </w:r>
    </w:p>
    <w:p>
      <w:pPr>
        <w:spacing w:after="0" w:line="220" w:lineRule="exact"/>
        <w:rPr>
          <w:sz w:val="20"/>
          <w:szCs w:val="20"/>
          <w:color w:val="auto"/>
        </w:rPr>
      </w:pPr>
    </w:p>
    <w:p>
      <w:pPr>
        <w:ind w:firstLine="325"/>
        <w:spacing w:after="0" w:line="309" w:lineRule="auto"/>
        <w:rPr>
          <w:sz w:val="20"/>
          <w:szCs w:val="20"/>
          <w:color w:val="auto"/>
        </w:rPr>
      </w:pPr>
      <w:r>
        <w:rPr>
          <w:rFonts w:ascii="Arial" w:cs="Arial" w:eastAsia="Arial" w:hAnsi="Arial"/>
          <w:sz w:val="14"/>
          <w:szCs w:val="14"/>
          <w:color w:val="auto"/>
        </w:rPr>
        <w:t>Celldex Therapeutics, Inc. (the "Company" or "Celldex") is a biopharmaceutical company focused on the development and commercialization of several immunotherapy technologies for the treatment of cancer and other difficult-to-treat diseases. The Company's lead drug candidates include rindopepimut (also referred to as Rintega® and CDX-110) and glembatumumab vedotin (also referred to as CDX-011). Rindopepimut is a targeted immunotherapeutic in a pivotal Phase 3 study for the treatment of front-line glioblastoma and a Phase 2 study for the treatment of recurrent glioblastoma. Glembatumumab vedotin is a targeted antibody-drug conjugate in a randomized, Phase 2b study for the treatment of triple negative breast cancer and a Phase 2 study for the treatment of metastatic melanoma. The Company has a number of earlier stage candidates in clinical development, including varlilumab (also referred to as CDX-1127), a fully human therapeutic monoclonal antibody for cancer indications, CDX-1401, a targeted immunotherapeutic aimed at antigen presenting cells for cancer indications and CDX-301, an immune cell mobilizing agent and dendritic cell growth factor</w:t>
      </w:r>
    </w:p>
    <w:p>
      <w:pPr>
        <w:spacing w:after="0" w:line="149" w:lineRule="exact"/>
        <w:rPr>
          <w:sz w:val="20"/>
          <w:szCs w:val="20"/>
          <w:color w:val="auto"/>
        </w:rPr>
      </w:pPr>
    </w:p>
    <w:p>
      <w:pPr>
        <w:jc w:val="both"/>
        <w:ind w:right="80" w:firstLine="316"/>
        <w:spacing w:after="0" w:line="332" w:lineRule="auto"/>
        <w:rPr>
          <w:sz w:val="20"/>
          <w:szCs w:val="20"/>
          <w:color w:val="auto"/>
        </w:rPr>
      </w:pPr>
      <w:r>
        <w:rPr>
          <w:rFonts w:ascii="Arial" w:cs="Arial" w:eastAsia="Arial" w:hAnsi="Arial"/>
          <w:sz w:val="14"/>
          <w:szCs w:val="14"/>
          <w:color w:val="auto"/>
        </w:rPr>
        <w:t>At December 31, 2014, the Company had cash, cash equivalents and marketable securities of $201.0 million. The Company incurred a loss of $118.1 million for the year ended December 31, 2014. Net cash used in operations for the year ended December 31, 2014 was $101.5 million. The Company believes that the cash, cash equivalents and marketable securities at December 31, 2014 will be sufficient to meet estimated working capital requirements and fund planned operations for at least the next twelve months.</w:t>
      </w:r>
    </w:p>
    <w:p>
      <w:pPr>
        <w:spacing w:after="0" w:line="132" w:lineRule="exact"/>
        <w:rPr>
          <w:sz w:val="20"/>
          <w:szCs w:val="20"/>
          <w:color w:val="auto"/>
        </w:rPr>
      </w:pPr>
    </w:p>
    <w:p>
      <w:pPr>
        <w:ind w:firstLine="325"/>
        <w:spacing w:after="0" w:line="265" w:lineRule="auto"/>
        <w:rPr>
          <w:sz w:val="20"/>
          <w:szCs w:val="20"/>
          <w:color w:val="auto"/>
        </w:rPr>
      </w:pPr>
      <w:r>
        <w:rPr>
          <w:rFonts w:ascii="Arial" w:cs="Arial" w:eastAsia="Arial" w:hAnsi="Arial"/>
          <w:sz w:val="16"/>
          <w:szCs w:val="16"/>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accompanying consolidated financial statements reflect the operations of the Company and its wholly-owned subsidiary. All intercompany balances and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have been eliminated in consolidation. On December 31, 2014, the Company's wholly-owned subsidiary, Celldex Research Corporation, merged into Celldex</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Therapeutics, Inc. The Company operates in one segment, which is the business of development, manufacturing and commercialization of novel therapeutics for human health</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care.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216" w:lineRule="exact"/>
        <w:rPr>
          <w:sz w:val="20"/>
          <w:szCs w:val="20"/>
          <w:color w:val="auto"/>
        </w:rPr>
      </w:pPr>
    </w:p>
    <w:p>
      <w:pPr>
        <w:ind w:right="160" w:firstLine="322"/>
        <w:spacing w:after="0" w:line="270" w:lineRule="auto"/>
        <w:rPr>
          <w:sz w:val="20"/>
          <w:szCs w:val="20"/>
          <w:color w:val="auto"/>
        </w:rPr>
      </w:pPr>
      <w:r>
        <w:rPr>
          <w:rFonts w:ascii="Arial" w:cs="Arial" w:eastAsia="Arial" w:hAnsi="Arial"/>
          <w:sz w:val="16"/>
          <w:szCs w:val="16"/>
          <w:color w:val="auto"/>
        </w:rPr>
        <w:t>The preparation of the consolidated financial statements in conformity with accounting principles generally accepted in the United States of America (U.S. GAAP) requires management to make estimates and use assumptions that affect the reported amounts of assets and liabilities and the disclosure of contingent assets and liabilities at the dates of the consolidated financial statements and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and Cash Equivalents</w:t>
      </w:r>
    </w:p>
    <w:p>
      <w:pPr>
        <w:spacing w:after="0" w:line="216" w:lineRule="exact"/>
        <w:rPr>
          <w:sz w:val="20"/>
          <w:szCs w:val="20"/>
          <w:color w:val="auto"/>
        </w:rPr>
      </w:pPr>
    </w:p>
    <w:p>
      <w:pPr>
        <w:ind w:right="200" w:firstLine="322"/>
        <w:spacing w:after="0" w:line="290" w:lineRule="auto"/>
        <w:rPr>
          <w:sz w:val="20"/>
          <w:szCs w:val="20"/>
          <w:color w:val="auto"/>
        </w:rPr>
      </w:pPr>
      <w:r>
        <w:rPr>
          <w:rFonts w:ascii="Arial" w:cs="Arial" w:eastAsia="Arial" w:hAnsi="Arial"/>
          <w:sz w:val="16"/>
          <w:szCs w:val="16"/>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Marketable Securities</w:t>
      </w:r>
    </w:p>
    <w:p>
      <w:pPr>
        <w:spacing w:after="0" w:line="216" w:lineRule="exact"/>
        <w:rPr>
          <w:sz w:val="20"/>
          <w:szCs w:val="20"/>
          <w:color w:val="auto"/>
        </w:rPr>
      </w:pPr>
    </w:p>
    <w:p>
      <w:pPr>
        <w:ind w:firstLine="322"/>
        <w:spacing w:after="0" w:line="287" w:lineRule="auto"/>
        <w:rPr>
          <w:sz w:val="20"/>
          <w:szCs w:val="20"/>
          <w:color w:val="auto"/>
        </w:rPr>
      </w:pPr>
      <w:r>
        <w:rPr>
          <w:rFonts w:ascii="Arial" w:cs="Arial" w:eastAsia="Arial" w:hAnsi="Arial"/>
          <w:sz w:val="15"/>
          <w:szCs w:val="15"/>
          <w:color w:val="auto"/>
        </w:rPr>
        <w:t>The Company invests its excess cash balances in marketable securities including municipal bond securities, U.S. government agency securities, and high-grade corporate bonds. The Company classifies all of its marketable securities as current assets on the consolidated balance sheets because they are available-for-sale and available to fund current operations. Marketable securities are stated at fair value with their unrealized gains and losses included as a component of accumulated other comprehensive income (loss), which is a separate component of stockholders' equity, until such gains and losses are realized. If a decline in the fair value is considered other-than-temporary, based on available evidence, the unrealized loss is transferred from other comprehensive income (loss) to the consolidated statements of operations. Realized gains and losses are determined on the specific identification method and are included in investment and other income, net.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 and of Significant Customers and Suppliers</w:t>
      </w:r>
    </w:p>
    <w:p>
      <w:pPr>
        <w:spacing w:after="0" w:line="216" w:lineRule="exact"/>
        <w:rPr>
          <w:sz w:val="20"/>
          <w:szCs w:val="20"/>
          <w:color w:val="auto"/>
        </w:rPr>
      </w:pPr>
    </w:p>
    <w:p>
      <w:pPr>
        <w:ind w:right="40" w:firstLine="325"/>
        <w:spacing w:after="0" w:line="320" w:lineRule="auto"/>
        <w:rPr>
          <w:sz w:val="20"/>
          <w:szCs w:val="20"/>
          <w:color w:val="auto"/>
        </w:rPr>
      </w:pPr>
      <w:r>
        <w:rPr>
          <w:rFonts w:ascii="Arial" w:cs="Arial" w:eastAsia="Arial" w:hAnsi="Arial"/>
          <w:sz w:val="14"/>
          <w:szCs w:val="14"/>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 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42" w:lineRule="exact"/>
        <w:rPr>
          <w:sz w:val="20"/>
          <w:szCs w:val="20"/>
          <w:color w:val="auto"/>
        </w:rPr>
      </w:pPr>
    </w:p>
    <w:p>
      <w:pPr>
        <w:jc w:val="both"/>
        <w:ind w:right="160" w:firstLine="325"/>
        <w:spacing w:after="0" w:line="290" w:lineRule="auto"/>
        <w:rPr>
          <w:sz w:val="20"/>
          <w:szCs w:val="20"/>
          <w:color w:val="auto"/>
        </w:rPr>
      </w:pPr>
      <w:r>
        <w:rPr>
          <w:rFonts w:ascii="Arial" w:cs="Arial" w:eastAsia="Arial" w:hAnsi="Arial"/>
          <w:sz w:val="16"/>
          <w:szCs w:val="16"/>
          <w:color w:val="auto"/>
        </w:rPr>
        <w:t>Revenue from Rockefeller, BMS and Glaxo represented 75%, 20% and 0% for the year ended December 31, 2014, 35%, 0% and 57% for the year ended December 31, 2013, and 0%, 0% and 96% for the year ended December 31, 2012, of total Company revenue, respectively.</w:t>
      </w:r>
    </w:p>
    <w:p>
      <w:pPr>
        <w:spacing w:after="0" w:line="156" w:lineRule="exact"/>
        <w:rPr>
          <w:sz w:val="20"/>
          <w:szCs w:val="20"/>
          <w:color w:val="auto"/>
        </w:rPr>
      </w:pPr>
    </w:p>
    <w:p>
      <w:pPr>
        <w:jc w:val="both"/>
        <w:ind w:right="180" w:firstLine="322"/>
        <w:spacing w:after="0" w:line="332" w:lineRule="auto"/>
        <w:rPr>
          <w:sz w:val="20"/>
          <w:szCs w:val="20"/>
          <w:color w:val="auto"/>
        </w:rPr>
      </w:pPr>
      <w:r>
        <w:rPr>
          <w:rFonts w:ascii="Arial" w:cs="Arial" w:eastAsia="Arial" w:hAnsi="Arial"/>
          <w:sz w:val="14"/>
          <w:szCs w:val="14"/>
          <w:color w:val="auto"/>
        </w:rPr>
        <w:t>The Company relies on contract manufacturing organizations (CMO) to manufacture drug substance and drug product for its late-stage clinical studies of rindopepimut and glembatumumab vedotin as well as for future commercial supplies. The Company also relies on CMOs for supply of raw materials as well as filling, packaging, storage and shipping of drug product. These clinical studies would be adversely affected by a significant interruption in the supply of rindopepimut and glembatumumab vedotin.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Measurements</w:t>
      </w:r>
    </w:p>
    <w:p>
      <w:pPr>
        <w:spacing w:after="0" w:line="216" w:lineRule="exact"/>
        <w:rPr>
          <w:sz w:val="20"/>
          <w:szCs w:val="20"/>
          <w:color w:val="auto"/>
        </w:rPr>
      </w:pPr>
    </w:p>
    <w:p>
      <w:pPr>
        <w:ind w:right="60" w:firstLine="322"/>
        <w:spacing w:after="0" w:line="270" w:lineRule="auto"/>
        <w:rPr>
          <w:sz w:val="20"/>
          <w:szCs w:val="20"/>
          <w:color w:val="auto"/>
        </w:rPr>
      </w:pPr>
      <w:r>
        <w:rPr>
          <w:rFonts w:ascii="Arial" w:cs="Arial" w:eastAsia="Arial" w:hAnsi="Arial"/>
          <w:sz w:val="16"/>
          <w:szCs w:val="16"/>
          <w:color w:val="auto"/>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72" w:lineRule="exact"/>
        <w:rPr>
          <w:sz w:val="20"/>
          <w:szCs w:val="20"/>
          <w:color w:val="auto"/>
        </w:rPr>
      </w:pPr>
    </w:p>
    <w:p>
      <w:pPr>
        <w:ind w:left="500" w:right="100" w:firstLine="325"/>
        <w:spacing w:after="0" w:line="290" w:lineRule="auto"/>
        <w:rPr>
          <w:sz w:val="20"/>
          <w:szCs w:val="20"/>
          <w:color w:val="auto"/>
        </w:rPr>
      </w:pPr>
      <w:r>
        <w:rPr>
          <w:rFonts w:ascii="Arial" w:cs="Arial" w:eastAsia="Arial" w:hAnsi="Arial"/>
          <w:sz w:val="16"/>
          <w:szCs w:val="16"/>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56" w:lineRule="exact"/>
        <w:rPr>
          <w:sz w:val="20"/>
          <w:szCs w:val="20"/>
          <w:color w:val="auto"/>
        </w:rPr>
      </w:pPr>
    </w:p>
    <w:p>
      <w:pPr>
        <w:ind w:left="500" w:right="140" w:firstLine="325"/>
        <w:spacing w:after="0" w:line="290" w:lineRule="auto"/>
        <w:rPr>
          <w:sz w:val="20"/>
          <w:szCs w:val="20"/>
          <w:color w:val="auto"/>
        </w:rPr>
      </w:pPr>
      <w:r>
        <w:rPr>
          <w:rFonts w:ascii="Arial" w:cs="Arial" w:eastAsia="Arial" w:hAnsi="Arial"/>
          <w:sz w:val="16"/>
          <w:szCs w:val="16"/>
          <w:color w:val="auto"/>
        </w:rPr>
        <w:t>Level 2: Observable inputs other than Level 1 prices, such as quoted prices in active markets for similar assets or liabilities and quoted prices for identical assets or liabilities in markets that are not active.</w:t>
      </w:r>
    </w:p>
    <w:p>
      <w:pPr>
        <w:spacing w:after="0" w:line="156" w:lineRule="exact"/>
        <w:rPr>
          <w:sz w:val="20"/>
          <w:szCs w:val="20"/>
          <w:color w:val="auto"/>
        </w:rPr>
      </w:pPr>
    </w:p>
    <w:p>
      <w:pPr>
        <w:ind w:left="820"/>
        <w:spacing w:after="0"/>
        <w:rPr>
          <w:sz w:val="20"/>
          <w:szCs w:val="20"/>
          <w:color w:val="auto"/>
        </w:rPr>
      </w:pPr>
      <w:r>
        <w:rPr>
          <w:rFonts w:ascii="Arial" w:cs="Arial" w:eastAsia="Arial" w:hAnsi="Arial"/>
          <w:sz w:val="15"/>
          <w:szCs w:val="15"/>
          <w:color w:val="auto"/>
        </w:rPr>
        <w:t>Level 3: Unobservable inputs based on the Company's assessment of the assumptions that market participants would use in pricing the asset or liability.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Property and Equipment</w:t>
      </w:r>
    </w:p>
    <w:p>
      <w:pPr>
        <w:spacing w:after="0" w:line="216" w:lineRule="exact"/>
        <w:rPr>
          <w:sz w:val="20"/>
          <w:szCs w:val="20"/>
          <w:color w:val="auto"/>
        </w:rPr>
      </w:pPr>
    </w:p>
    <w:p>
      <w:pPr>
        <w:ind w:right="20" w:firstLine="325"/>
        <w:spacing w:after="0" w:line="286" w:lineRule="auto"/>
        <w:rPr>
          <w:sz w:val="20"/>
          <w:szCs w:val="20"/>
          <w:color w:val="auto"/>
        </w:rPr>
      </w:pPr>
      <w:r>
        <w:rPr>
          <w:rFonts w:ascii="Arial" w:cs="Arial" w:eastAsia="Arial" w:hAnsi="Arial"/>
          <w:sz w:val="15"/>
          <w:szCs w:val="15"/>
          <w:color w:val="auto"/>
        </w:rPr>
        <w:t>Property and equipment is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amortized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consolidated statements of operations and comprehensive loss.</w:t>
      </w:r>
    </w:p>
    <w:p>
      <w:pPr>
        <w:spacing w:after="0" w:line="162" w:lineRule="exact"/>
        <w:rPr>
          <w:sz w:val="20"/>
          <w:szCs w:val="20"/>
          <w:color w:val="auto"/>
        </w:rPr>
      </w:pPr>
    </w:p>
    <w:p>
      <w:pPr>
        <w:ind w:firstLine="322"/>
        <w:spacing w:after="0" w:line="268" w:lineRule="auto"/>
        <w:rPr>
          <w:sz w:val="20"/>
          <w:szCs w:val="20"/>
          <w:color w:val="auto"/>
        </w:rPr>
      </w:pPr>
      <w:r>
        <w:rPr>
          <w:rFonts w:ascii="Arial" w:cs="Arial" w:eastAsia="Arial" w:hAnsi="Arial"/>
          <w:sz w:val="16"/>
          <w:szCs w:val="16"/>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Combinations</w:t>
      </w:r>
    </w:p>
    <w:p>
      <w:pPr>
        <w:spacing w:after="0" w:line="216" w:lineRule="exact"/>
        <w:rPr>
          <w:sz w:val="20"/>
          <w:szCs w:val="20"/>
          <w:color w:val="auto"/>
        </w:rPr>
      </w:pPr>
    </w:p>
    <w:p>
      <w:pPr>
        <w:ind w:right="100" w:firstLine="322"/>
        <w:spacing w:after="0" w:line="265" w:lineRule="auto"/>
        <w:rPr>
          <w:sz w:val="20"/>
          <w:szCs w:val="20"/>
          <w:color w:val="auto"/>
        </w:rPr>
      </w:pPr>
      <w:r>
        <w:rPr>
          <w:rFonts w:ascii="Arial" w:cs="Arial" w:eastAsia="Arial" w:hAnsi="Arial"/>
          <w:sz w:val="16"/>
          <w:szCs w:val="16"/>
          <w:color w:val="auto"/>
        </w:rPr>
        <w:t>The Company records the fair value of the consideration transferred to acquire a business to the tangible assets and identifiable intangible assets acquired and liabilities assumed on the basis of their fair values at the date of acquisition. The Company assesses the fair value of assets, including intangible assets such as in-process research and development (IPR&amp;D), using a variety of methods including present 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Intangible Assets</w:t>
      </w:r>
    </w:p>
    <w:p>
      <w:pPr>
        <w:spacing w:after="0" w:line="216" w:lineRule="exact"/>
        <w:rPr>
          <w:sz w:val="20"/>
          <w:szCs w:val="20"/>
          <w:color w:val="auto"/>
        </w:rPr>
      </w:pPr>
    </w:p>
    <w:p>
      <w:pPr>
        <w:ind w:right="20" w:firstLine="325"/>
        <w:spacing w:after="0" w:line="268" w:lineRule="auto"/>
        <w:rPr>
          <w:sz w:val="20"/>
          <w:szCs w:val="20"/>
          <w:color w:val="auto"/>
        </w:rPr>
      </w:pPr>
      <w:r>
        <w:rPr>
          <w:rFonts w:ascii="Arial" w:cs="Arial" w:eastAsia="Arial" w:hAnsi="Arial"/>
          <w:sz w:val="16"/>
          <w:szCs w:val="16"/>
          <w:color w:val="auto"/>
        </w:rPr>
        <w:t>IPR&amp;D assets acquired in a business combination initially are recorded at fair value and accounted for as indefinite-lived intangible assets. These assets are maintained on the Company's consolidated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spacing w:after="0" w:line="173" w:lineRule="exact"/>
        <w:rPr>
          <w:sz w:val="20"/>
          <w:szCs w:val="20"/>
          <w:color w:val="auto"/>
        </w:rPr>
      </w:pPr>
    </w:p>
    <w:p>
      <w:pPr>
        <w:ind w:firstLine="325"/>
        <w:spacing w:after="0" w:line="275" w:lineRule="auto"/>
        <w:rPr>
          <w:sz w:val="20"/>
          <w:szCs w:val="20"/>
          <w:color w:val="auto"/>
        </w:rPr>
      </w:pPr>
      <w:r>
        <w:rPr>
          <w:rFonts w:ascii="Arial" w:cs="Arial" w:eastAsia="Arial" w:hAnsi="Arial"/>
          <w:sz w:val="16"/>
          <w:szCs w:val="16"/>
          <w:color w:val="auto"/>
        </w:rPr>
        <w:t>IPR&amp;D assets are tested for impairment on an annual basis during the third quarter, or earlier if impairment indicators are present. As part of the annual impairment test of the IPR&amp;D assets as of July 1, 2014, the Company bypassed the optional qualitative assessment and performed a calculation of the fair value of the asset. The Company concluded that the IPR&amp;D assets were not impaired.</w:t>
      </w:r>
    </w:p>
    <w:p>
      <w:pPr>
        <w:spacing w:after="0" w:line="168" w:lineRule="exact"/>
        <w:rPr>
          <w:sz w:val="20"/>
          <w:szCs w:val="20"/>
          <w:color w:val="auto"/>
        </w:rPr>
      </w:pPr>
    </w:p>
    <w:p>
      <w:pPr>
        <w:ind w:right="120" w:firstLine="325"/>
        <w:spacing w:after="0" w:line="290" w:lineRule="auto"/>
        <w:rPr>
          <w:sz w:val="20"/>
          <w:szCs w:val="20"/>
          <w:color w:val="auto"/>
        </w:rPr>
      </w:pPr>
      <w:r>
        <w:rPr>
          <w:rFonts w:ascii="Arial" w:cs="Arial" w:eastAsia="Arial" w:hAnsi="Arial"/>
          <w:sz w:val="16"/>
          <w:szCs w:val="16"/>
          <w:color w:val="auto"/>
        </w:rPr>
        <w:t>Intangible assets acquired in a business combination with a finite life are recorded at fair value and amortized over the greater of economic consumption or on a straight-line basis over their estimated useful life.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216" w:lineRule="exact"/>
        <w:rPr>
          <w:sz w:val="20"/>
          <w:szCs w:val="20"/>
          <w:color w:val="auto"/>
        </w:rPr>
      </w:pPr>
    </w:p>
    <w:p>
      <w:pPr>
        <w:ind w:firstLine="322"/>
        <w:spacing w:after="0" w:line="268" w:lineRule="auto"/>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allocated to goodwill. Goodwill is evaluated for impairment on an annual basis during the third quarter, or earlier if impairment indicators are present. The Company has the option to assess qualitative factors to determine if it is more likely than not that goodwill might be impaired and whether it is necessary to perform the two-step goodwill impairment test required under U.S. GAAP. As part of its annual impairment test of the goodwill asset as of July 1, 2014, the Company bypassed the optional qualitative assessment and performed the two-step impairment test. The Company concluded that goodwill was not impaired.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Long-Lived Assets</w:t>
      </w:r>
    </w:p>
    <w:p>
      <w:pPr>
        <w:spacing w:after="0" w:line="216" w:lineRule="exact"/>
        <w:rPr>
          <w:sz w:val="20"/>
          <w:szCs w:val="20"/>
          <w:color w:val="auto"/>
        </w:rPr>
      </w:pPr>
    </w:p>
    <w:p>
      <w:pPr>
        <w:jc w:val="both"/>
        <w:ind w:right="180" w:firstLine="322"/>
        <w:spacing w:after="0" w:line="270" w:lineRule="auto"/>
        <w:rPr>
          <w:sz w:val="20"/>
          <w:szCs w:val="20"/>
          <w:color w:val="auto"/>
        </w:rPr>
      </w:pPr>
      <w:r>
        <w:rPr>
          <w:rFonts w:ascii="Arial" w:cs="Arial" w:eastAsia="Arial" w:hAnsi="Arial"/>
          <w:sz w:val="16"/>
          <w:szCs w:val="16"/>
          <w:color w:val="auto"/>
        </w:rPr>
        <w:t>The Company evaluates the recoverability of its long-lived assets, including property and equipment,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16" w:lineRule="exact"/>
        <w:rPr>
          <w:sz w:val="20"/>
          <w:szCs w:val="20"/>
          <w:color w:val="auto"/>
        </w:rPr>
      </w:pPr>
    </w:p>
    <w:p>
      <w:pPr>
        <w:ind w:right="220" w:firstLine="322"/>
        <w:spacing w:after="0" w:line="290" w:lineRule="auto"/>
        <w:rPr>
          <w:sz w:val="20"/>
          <w:szCs w:val="20"/>
          <w:color w:val="auto"/>
        </w:rPr>
      </w:pPr>
      <w:r>
        <w:rPr>
          <w:rFonts w:ascii="Arial" w:cs="Arial" w:eastAsia="Arial" w:hAnsi="Arial"/>
          <w:sz w:val="16"/>
          <w:szCs w:val="16"/>
          <w:color w:val="auto"/>
        </w:rPr>
        <w:t>The Company recognizes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56" w:lineRule="exact"/>
        <w:rPr>
          <w:sz w:val="20"/>
          <w:szCs w:val="20"/>
          <w:color w:val="auto"/>
        </w:rPr>
      </w:pPr>
    </w:p>
    <w:p>
      <w:pPr>
        <w:ind w:right="20" w:firstLine="322"/>
        <w:spacing w:after="0" w:line="265" w:lineRule="auto"/>
        <w:rPr>
          <w:sz w:val="20"/>
          <w:szCs w:val="20"/>
          <w:color w:val="auto"/>
        </w:rPr>
      </w:pPr>
      <w:r>
        <w:rPr>
          <w:rFonts w:ascii="Arial" w:cs="Arial" w:eastAsia="Arial" w:hAnsi="Arial"/>
          <w:sz w:val="16"/>
          <w:szCs w:val="16"/>
          <w:color w:val="auto"/>
        </w:rPr>
        <w:t>The Company has entered into and in the future may enter into biopharmaceutical product development agreements with collaborative partners for the research and development of therapeutic drug products. The terms of the agreements may include nonrefundable signing and licensing fees, funding for 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the Company allocates revenue to the various elements based on their relative fair value. The fair value of a revenue generating element can be based on current selling prices offered by the Company or another party for current products or the Company's best estimate of a selling price for future products. Revenue allocated to an individual element is recognized when all other revenue recognition criteria are met for that element.</w:t>
      </w:r>
    </w:p>
    <w:p>
      <w:pPr>
        <w:spacing w:after="0" w:line="178" w:lineRule="exact"/>
        <w:rPr>
          <w:sz w:val="20"/>
          <w:szCs w:val="20"/>
          <w:color w:val="auto"/>
        </w:rPr>
      </w:pPr>
    </w:p>
    <w:p>
      <w:pPr>
        <w:ind w:right="20" w:firstLine="322"/>
        <w:spacing w:after="0" w:line="270" w:lineRule="auto"/>
        <w:rPr>
          <w:sz w:val="20"/>
          <w:szCs w:val="20"/>
          <w:color w:val="auto"/>
        </w:rPr>
      </w:pPr>
      <w:r>
        <w:rPr>
          <w:rFonts w:ascii="Arial" w:cs="Arial" w:eastAsia="Arial" w:hAnsi="Arial"/>
          <w:sz w:val="16"/>
          <w:szCs w:val="16"/>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the Company's involvement in achieving the milestones and whether the amount of the payment is commensurate to the Company's performance. If not considered substantive, milestones are initially deferred and recognized over the period of the remaining performance obligation.</w:t>
      </w:r>
    </w:p>
    <w:p>
      <w:pPr>
        <w:spacing w:after="0" w:line="172" w:lineRule="exact"/>
        <w:rPr>
          <w:sz w:val="20"/>
          <w:szCs w:val="20"/>
          <w:color w:val="auto"/>
        </w:rPr>
      </w:pPr>
    </w:p>
    <w:p>
      <w:pPr>
        <w:ind w:firstLine="325"/>
        <w:spacing w:after="0" w:line="332" w:lineRule="auto"/>
        <w:rPr>
          <w:sz w:val="20"/>
          <w:szCs w:val="20"/>
          <w:color w:val="auto"/>
        </w:rPr>
      </w:pPr>
      <w:r>
        <w:rPr>
          <w:rFonts w:ascii="Arial" w:cs="Arial" w:eastAsia="Arial" w:hAnsi="Arial"/>
          <w:sz w:val="14"/>
          <w:szCs w:val="14"/>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the Company's contractual partner. Payments received in advance that are related to future performance are deferred and recognized as revenue when the research projects are performed.</w:t>
      </w:r>
    </w:p>
    <w:p>
      <w:pPr>
        <w:spacing w:after="0" w:line="132" w:lineRule="exact"/>
        <w:rPr>
          <w:sz w:val="20"/>
          <w:szCs w:val="20"/>
          <w:color w:val="auto"/>
        </w:rPr>
      </w:pPr>
    </w:p>
    <w:p>
      <w:pPr>
        <w:ind w:right="160" w:firstLine="325"/>
        <w:spacing w:after="0" w:line="275" w:lineRule="auto"/>
        <w:rPr>
          <w:sz w:val="20"/>
          <w:szCs w:val="20"/>
          <w:color w:val="auto"/>
        </w:rPr>
      </w:pPr>
      <w:r>
        <w:rPr>
          <w:rFonts w:ascii="Arial" w:cs="Arial" w:eastAsia="Arial" w:hAnsi="Arial"/>
          <w:sz w:val="16"/>
          <w:szCs w:val="16"/>
          <w:color w:val="auto"/>
        </w:rPr>
        <w:t>Product royalty revenue consists of payments received from licensees for a portion of sales proceeds from products that utilize the Company's licensed technologies and are recognized when the amount of and basis for such royalty payments are reported to the Company in accurate and appropriate form and in accordance with the related license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216" w:lineRule="exact"/>
        <w:rPr>
          <w:sz w:val="20"/>
          <w:szCs w:val="20"/>
          <w:color w:val="auto"/>
        </w:rPr>
      </w:pPr>
    </w:p>
    <w:p>
      <w:pPr>
        <w:ind w:right="100" w:firstLine="325"/>
        <w:spacing w:after="0" w:line="366" w:lineRule="auto"/>
        <w:rPr>
          <w:sz w:val="20"/>
          <w:szCs w:val="20"/>
          <w:color w:val="auto"/>
        </w:rPr>
      </w:pPr>
      <w:r>
        <w:rPr>
          <w:rFonts w:ascii="Arial" w:cs="Arial" w:eastAsia="Arial" w:hAnsi="Arial"/>
          <w:sz w:val="14"/>
          <w:szCs w:val="14"/>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09" w:lineRule="exact"/>
        <w:rPr>
          <w:sz w:val="20"/>
          <w:szCs w:val="20"/>
          <w:color w:val="auto"/>
        </w:rPr>
      </w:pPr>
    </w:p>
    <w:p>
      <w:pPr>
        <w:ind w:firstLine="325"/>
        <w:spacing w:after="0" w:line="268" w:lineRule="auto"/>
        <w:rPr>
          <w:sz w:val="20"/>
          <w:szCs w:val="20"/>
          <w:color w:val="auto"/>
        </w:rPr>
      </w:pPr>
      <w:r>
        <w:rPr>
          <w:rFonts w:ascii="Arial" w:cs="Arial" w:eastAsia="Arial" w:hAnsi="Arial"/>
          <w:sz w:val="16"/>
          <w:szCs w:val="16"/>
          <w:color w:val="auto"/>
        </w:rPr>
        <w:t>Clinical trial expenses include expenses associated with clinical research organizations, or CRO, services. Contract manufacturing expenses include expenses associated with contract manufacturing organizations, or CMO, services. The invoicing from CROs and CMOs for services rendered can lag several months. The Company accrues the cost of services rendered in connection with CRO and CMO activities based on our estimate of costs incurred. The Company maintains regular communication with our CROs and CMOs to assess the reasonableness of its estimates. Differences between actual expenses and estimated expenses recorded have not been material and are adjusted for in the period in which they become known.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Patent Costs</w:t>
      </w:r>
    </w:p>
    <w:p>
      <w:pPr>
        <w:spacing w:after="0" w:line="216" w:lineRule="exact"/>
        <w:rPr>
          <w:sz w:val="20"/>
          <w:szCs w:val="20"/>
          <w:color w:val="auto"/>
        </w:rPr>
      </w:pPr>
    </w:p>
    <w:p>
      <w:pPr>
        <w:ind w:firstLine="325"/>
        <w:spacing w:after="0" w:line="290" w:lineRule="auto"/>
        <w:rPr>
          <w:sz w:val="20"/>
          <w:szCs w:val="20"/>
          <w:color w:val="auto"/>
        </w:rPr>
      </w:pPr>
      <w:r>
        <w:rPr>
          <w:rFonts w:ascii="Arial" w:cs="Arial" w:eastAsia="Arial" w:hAnsi="Arial"/>
          <w:sz w:val="16"/>
          <w:szCs w:val="16"/>
          <w:color w:val="auto"/>
        </w:rPr>
        <w:t>Patent costs are expensed as incurred. Certain patent costs are reimbursed by the Company's product development and licensing partners. Any reimbursed patent costs are recorded as product development and licensing agreement revenues in the Company's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w:t>
      </w:r>
    </w:p>
    <w:p>
      <w:pPr>
        <w:spacing w:after="0" w:line="216" w:lineRule="exact"/>
        <w:rPr>
          <w:sz w:val="20"/>
          <w:szCs w:val="20"/>
          <w:color w:val="auto"/>
        </w:rPr>
      </w:pPr>
    </w:p>
    <w:p>
      <w:pPr>
        <w:ind w:right="180" w:firstLine="322"/>
        <w:spacing w:after="0" w:line="275" w:lineRule="auto"/>
        <w:rPr>
          <w:sz w:val="20"/>
          <w:szCs w:val="20"/>
          <w:color w:val="auto"/>
        </w:rPr>
      </w:pPr>
      <w:r>
        <w:rPr>
          <w:rFonts w:ascii="Arial" w:cs="Arial" w:eastAsia="Arial" w:hAnsi="Arial"/>
          <w:sz w:val="16"/>
          <w:szCs w:val="16"/>
          <w:color w:val="auto"/>
        </w:rPr>
        <w:t>The Company records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68" w:lineRule="exact"/>
        <w:rPr>
          <w:sz w:val="20"/>
          <w:szCs w:val="20"/>
          <w:color w:val="auto"/>
        </w:rPr>
      </w:pPr>
    </w:p>
    <w:p>
      <w:pPr>
        <w:ind w:right="180" w:firstLine="322"/>
        <w:spacing w:after="0" w:line="290" w:lineRule="auto"/>
        <w:rPr>
          <w:sz w:val="20"/>
          <w:szCs w:val="20"/>
          <w:color w:val="auto"/>
        </w:rPr>
      </w:pPr>
      <w:r>
        <w:rPr>
          <w:rFonts w:ascii="Arial" w:cs="Arial" w:eastAsia="Arial" w:hAnsi="Arial"/>
          <w:sz w:val="16"/>
          <w:szCs w:val="16"/>
          <w:color w:val="auto"/>
        </w:rPr>
        <w:t>The Company records stock-based compensation expense for stock options granted to non-employees based on the fair value of the stock options which is re-measured over the graded vesting term resulting in periodic adjustments to stock-based compensation expense.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Translation</w:t>
      </w:r>
    </w:p>
    <w:p>
      <w:pPr>
        <w:spacing w:after="0" w:line="216" w:lineRule="exact"/>
        <w:rPr>
          <w:sz w:val="20"/>
          <w:szCs w:val="20"/>
          <w:color w:val="auto"/>
        </w:rPr>
      </w:pPr>
    </w:p>
    <w:p>
      <w:pPr>
        <w:ind w:right="80" w:firstLine="325"/>
        <w:spacing w:after="0" w:line="290" w:lineRule="auto"/>
        <w:rPr>
          <w:sz w:val="20"/>
          <w:szCs w:val="20"/>
          <w:color w:val="auto"/>
        </w:rPr>
      </w:pPr>
      <w:r>
        <w:rPr>
          <w:rFonts w:ascii="Arial" w:cs="Arial" w:eastAsia="Arial" w:hAnsi="Arial"/>
          <w:sz w:val="16"/>
          <w:szCs w:val="16"/>
          <w:color w:val="auto"/>
        </w:rPr>
        <w:t>Net unrealized gains and losses resulting from foreign currency translation are included in other comprehensive income (loss). At December 31, 2014 and December 31, 2013, accumulated other comprehensive income includes a net unrealized gain related to foreign currency translation of $2.6 million.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16" w:lineRule="exact"/>
        <w:rPr>
          <w:sz w:val="20"/>
          <w:szCs w:val="20"/>
          <w:color w:val="auto"/>
        </w:rPr>
      </w:pPr>
    </w:p>
    <w:p>
      <w:pPr>
        <w:ind w:right="20" w:firstLine="322"/>
        <w:spacing w:after="0" w:line="302" w:lineRule="auto"/>
        <w:rPr>
          <w:sz w:val="20"/>
          <w:szCs w:val="20"/>
          <w:color w:val="auto"/>
        </w:rPr>
      </w:pPr>
      <w:r>
        <w:rPr>
          <w:rFonts w:ascii="Arial" w:cs="Arial" w:eastAsia="Arial" w:hAnsi="Arial"/>
          <w:sz w:val="15"/>
          <w:szCs w:val="15"/>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not be realized. Changes in valuation allowances from period to period are included in the Company's tax provision in the period of change.</w:t>
      </w:r>
    </w:p>
    <w:p>
      <w:pPr>
        <w:spacing w:after="0" w:line="216" w:lineRule="exact"/>
        <w:rPr>
          <w:sz w:val="20"/>
          <w:szCs w:val="20"/>
          <w:color w:val="auto"/>
        </w:rPr>
      </w:pPr>
    </w:p>
    <w:p>
      <w:pPr>
        <w:ind w:right="800" w:firstLine="322"/>
        <w:spacing w:after="0" w:line="326" w:lineRule="auto"/>
        <w:rPr>
          <w:sz w:val="20"/>
          <w:szCs w:val="20"/>
          <w:color w:val="auto"/>
        </w:rPr>
      </w:pPr>
      <w:r>
        <w:rPr>
          <w:rFonts w:ascii="Arial" w:cs="Arial" w:eastAsia="Arial" w:hAnsi="Arial"/>
          <w:sz w:val="15"/>
          <w:szCs w:val="15"/>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Comprehensive Loss</w:t>
      </w:r>
    </w:p>
    <w:p>
      <w:pPr>
        <w:spacing w:after="0" w:line="216" w:lineRule="exact"/>
        <w:rPr>
          <w:sz w:val="20"/>
          <w:szCs w:val="20"/>
          <w:color w:val="auto"/>
        </w:rPr>
      </w:pPr>
    </w:p>
    <w:p>
      <w:pPr>
        <w:ind w:right="220" w:firstLine="325"/>
        <w:spacing w:after="0" w:line="275" w:lineRule="auto"/>
        <w:rPr>
          <w:sz w:val="20"/>
          <w:szCs w:val="20"/>
          <w:color w:val="auto"/>
        </w:rPr>
      </w:pPr>
      <w:r>
        <w:rPr>
          <w:rFonts w:ascii="Arial" w:cs="Arial" w:eastAsia="Arial" w:hAnsi="Arial"/>
          <w:sz w:val="16"/>
          <w:szCs w:val="16"/>
          <w:color w:val="auto"/>
        </w:rPr>
        <w:t>Comprehensive loss is comprised of net loss and certain changes in stockholders' equity that are excluded from net loss. The Company includes foreign currency translation adjustments and unrealized gains and losses on marketable securities in other comprehensive loss. The consolidated statements of operations and comprehensive loss reflect total comprehensive loss for the years ended December 31, 2014, 2013 and 2012.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Loss Per Share</w:t>
      </w:r>
    </w:p>
    <w:p>
      <w:pPr>
        <w:spacing w:after="0" w:line="216" w:lineRule="exact"/>
        <w:rPr>
          <w:sz w:val="20"/>
          <w:szCs w:val="20"/>
          <w:color w:val="auto"/>
        </w:rPr>
      </w:pPr>
    </w:p>
    <w:p>
      <w:pPr>
        <w:ind w:right="200" w:firstLine="325"/>
        <w:spacing w:after="0" w:line="294" w:lineRule="auto"/>
        <w:rPr>
          <w:sz w:val="20"/>
          <w:szCs w:val="20"/>
          <w:color w:val="auto"/>
        </w:rPr>
      </w:pPr>
      <w:r>
        <w:rPr>
          <w:rFonts w:ascii="Arial" w:cs="Arial" w:eastAsia="Arial" w:hAnsi="Arial"/>
          <w:sz w:val="15"/>
          <w:szCs w:val="15"/>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150"/>
        </w:trPr>
        <w:tc>
          <w:tcPr>
            <w:tcW w:w="5200" w:type="dxa"/>
            <w:vAlign w:val="bottom"/>
          </w:tcPr>
          <w:p>
            <w:pPr>
              <w:spacing w:after="0"/>
              <w:rPr>
                <w:sz w:val="13"/>
                <w:szCs w:val="13"/>
                <w:color w:val="auto"/>
              </w:rPr>
            </w:pPr>
          </w:p>
        </w:tc>
        <w:tc>
          <w:tcPr>
            <w:tcW w:w="278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86"/>
              </w:rPr>
              <w:t>Year Ended December 31,</w:t>
            </w:r>
          </w:p>
        </w:tc>
      </w:tr>
      <w:tr>
        <w:trPr>
          <w:trHeight w:val="130"/>
        </w:trPr>
        <w:tc>
          <w:tcPr>
            <w:tcW w:w="520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86"/>
              <w:spacing w:after="0" w:line="130"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63"/>
              <w:spacing w:after="0" w:line="130" w:lineRule="exact"/>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83"/>
              <w:spacing w:after="0" w:line="130"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r>
      <w:tr>
        <w:trPr>
          <w:trHeight w:val="19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Stock options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7,015,350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5,770,544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5,349,810</w:t>
            </w:r>
          </w:p>
        </w:tc>
      </w:tr>
      <w:tr>
        <w:trPr>
          <w:trHeight w:val="200"/>
        </w:trPr>
        <w:tc>
          <w:tcPr>
            <w:tcW w:w="5200" w:type="dxa"/>
            <w:vAlign w:val="bottom"/>
          </w:tcPr>
          <w:p>
            <w:pPr>
              <w:spacing w:after="0"/>
              <w:rPr>
                <w:sz w:val="20"/>
                <w:szCs w:val="20"/>
                <w:color w:val="auto"/>
              </w:rPr>
            </w:pPr>
            <w:r>
              <w:rPr>
                <w:rFonts w:ascii="Arial" w:cs="Arial" w:eastAsia="Arial" w:hAnsi="Arial"/>
                <w:sz w:val="16"/>
                <w:szCs w:val="16"/>
                <w:color w:val="auto"/>
              </w:rPr>
              <w:t>Restricted stock</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7,000</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6,000</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6,000</w:t>
            </w:r>
          </w:p>
        </w:tc>
      </w:tr>
      <w:tr>
        <w:trPr>
          <w:trHeight w:val="20"/>
        </w:trPr>
        <w:tc>
          <w:tcPr>
            <w:tcW w:w="5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5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7,022,350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5,776,544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5,355,810</w:t>
            </w:r>
          </w:p>
        </w:tc>
      </w:tr>
      <w:tr>
        <w:trPr>
          <w:trHeight w:val="20"/>
        </w:trPr>
        <w:tc>
          <w:tcPr>
            <w:tcW w:w="5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pacing w:after="0" w:line="216" w:lineRule="exact"/>
        <w:rPr>
          <w:sz w:val="20"/>
          <w:szCs w:val="20"/>
          <w:color w:val="auto"/>
        </w:rPr>
      </w:pPr>
    </w:p>
    <w:p>
      <w:pPr>
        <w:jc w:val="both"/>
        <w:ind w:firstLine="325"/>
        <w:spacing w:after="0" w:line="275"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 (Continued)</w:t>
      </w:r>
    </w:p>
    <w:p>
      <w:pPr>
        <w:spacing w:after="0" w:line="220" w:lineRule="exact"/>
        <w:rPr>
          <w:sz w:val="20"/>
          <w:szCs w:val="20"/>
          <w:color w:val="auto"/>
        </w:rPr>
      </w:pPr>
    </w:p>
    <w:p>
      <w:pPr>
        <w:ind w:right="100" w:firstLine="325"/>
        <w:spacing w:after="0" w:line="290" w:lineRule="auto"/>
        <w:rPr>
          <w:sz w:val="20"/>
          <w:szCs w:val="20"/>
          <w:color w:val="auto"/>
        </w:rPr>
      </w:pPr>
      <w:r>
        <w:rPr>
          <w:rFonts w:ascii="Arial" w:cs="Arial" w:eastAsia="Arial" w:hAnsi="Arial"/>
          <w:sz w:val="15"/>
          <w:szCs w:val="15"/>
          <w:color w:val="auto"/>
        </w:rPr>
        <w:t>In May 2014, the FASB issued a new U.S. GAAP accounting standard that creates modifications to various other revenue accounting standards for specialized transactions and industries. The new U.S. GAAP accounting standard is intended to conform revenue accounting principles with a concurrently issued new standard under International Financial Reporting Standards, as well as, to enhance disclosures related to disaggregated revenue information. The updated guidance is effective for annual reporting periods beginning on or after December 15, 2016, and interim periods within those annual periods. The Company will further study the implications of this standard in order to evaluate the method of adoption and the expected impact on the consolidated financial statements.</w:t>
      </w:r>
    </w:p>
    <w:p>
      <w:pPr>
        <w:spacing w:after="0" w:line="158" w:lineRule="exact"/>
        <w:rPr>
          <w:sz w:val="20"/>
          <w:szCs w:val="20"/>
          <w:color w:val="auto"/>
        </w:rPr>
      </w:pPr>
    </w:p>
    <w:p>
      <w:pPr>
        <w:ind w:right="280" w:firstLine="325"/>
        <w:spacing w:after="0" w:line="290" w:lineRule="auto"/>
        <w:rPr>
          <w:sz w:val="20"/>
          <w:szCs w:val="20"/>
          <w:color w:val="auto"/>
        </w:rPr>
      </w:pPr>
      <w:r>
        <w:rPr>
          <w:rFonts w:ascii="Arial" w:cs="Arial" w:eastAsia="Arial" w:hAnsi="Arial"/>
          <w:sz w:val="15"/>
          <w:szCs w:val="15"/>
          <w:color w:val="auto"/>
        </w:rPr>
        <w:t>In August 2014, the FASB issued a new U.S. GAAP accounting standard that provides guidance about management's responsibility to evaluate whether there is substantial doubt about an entity's ability to continue as a going concern and to provide related footnote disclosures. The new accounting standard requires management to assess an entity's ability to continue as a going concern by incorporating and expanding upon certain principles that are currently in U.S. auditing standards. The new accounting standard is effective for the annual period ending after December 15, 2016, and for annual periods and interim periods thereafter. Early application is permitted. The Company does not expect the adoption of this standard to have a material impact on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COMPREHENSIVE LOSS</w:t>
      </w:r>
    </w:p>
    <w:p>
      <w:pPr>
        <w:spacing w:after="0" w:line="220" w:lineRule="exact"/>
        <w:rPr>
          <w:sz w:val="20"/>
          <w:szCs w:val="20"/>
          <w:color w:val="auto"/>
        </w:rPr>
      </w:pPr>
    </w:p>
    <w:p>
      <w:pPr>
        <w:ind w:firstLine="322"/>
        <w:spacing w:after="0" w:line="290" w:lineRule="auto"/>
        <w:rPr>
          <w:sz w:val="20"/>
          <w:szCs w:val="20"/>
          <w:color w:val="auto"/>
        </w:rPr>
      </w:pPr>
      <w:r>
        <w:rPr>
          <w:rFonts w:ascii="Arial" w:cs="Arial" w:eastAsia="Arial" w:hAnsi="Arial"/>
          <w:sz w:val="16"/>
          <w:szCs w:val="16"/>
          <w:color w:val="auto"/>
        </w:rPr>
        <w:t>The changes in accumulated other comprehensive income (loss) by component for the years ended December 31, 2014 and 2013 are summarized below. No amounts were reclassified out of accumulated other comprehensive income during the years ended December 31, 2014, 2013 and 2012.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57"/>
              <w:spacing w:after="0"/>
              <w:rPr>
                <w:sz w:val="20"/>
                <w:szCs w:val="20"/>
                <w:color w:val="auto"/>
              </w:rPr>
            </w:pPr>
            <w:r>
              <w:rPr>
                <w:rFonts w:ascii="Arial" w:cs="Arial" w:eastAsia="Arial" w:hAnsi="Arial"/>
                <w:sz w:val="13"/>
                <w:szCs w:val="13"/>
                <w:b w:val="1"/>
                <w:bCs w:val="1"/>
                <w:color w:val="auto"/>
                <w:w w:val="89"/>
              </w:rPr>
              <w:t>Unrealized Gain</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77"/>
              <w:spacing w:after="0" w:line="138" w:lineRule="exact"/>
              <w:rPr>
                <w:sz w:val="20"/>
                <w:szCs w:val="20"/>
                <w:color w:val="auto"/>
              </w:rPr>
            </w:pPr>
            <w:r>
              <w:rPr>
                <w:rFonts w:ascii="Arial" w:cs="Arial" w:eastAsia="Arial" w:hAnsi="Arial"/>
                <w:sz w:val="13"/>
                <w:szCs w:val="13"/>
                <w:b w:val="1"/>
                <w:bCs w:val="1"/>
                <w:color w:val="auto"/>
                <w:w w:val="85"/>
              </w:rPr>
              <w:t>(Loss) on</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1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77"/>
              <w:spacing w:after="0" w:line="138" w:lineRule="exact"/>
              <w:rPr>
                <w:sz w:val="20"/>
                <w:szCs w:val="20"/>
                <w:color w:val="auto"/>
              </w:rPr>
            </w:pPr>
            <w:r>
              <w:rPr>
                <w:rFonts w:ascii="Arial" w:cs="Arial" w:eastAsia="Arial" w:hAnsi="Arial"/>
                <w:sz w:val="13"/>
                <w:szCs w:val="13"/>
                <w:b w:val="1"/>
                <w:bCs w:val="1"/>
                <w:color w:val="auto"/>
                <w:w w:val="91"/>
              </w:rPr>
              <w:t>Marketable</w:t>
            </w:r>
          </w:p>
        </w:tc>
        <w:tc>
          <w:tcPr>
            <w:tcW w:w="80" w:type="dxa"/>
            <w:vAlign w:val="bottom"/>
          </w:tcPr>
          <w:p>
            <w:pPr>
              <w:spacing w:after="0"/>
              <w:rPr>
                <w:sz w:val="11"/>
                <w:szCs w:val="11"/>
                <w:color w:val="auto"/>
              </w:rPr>
            </w:pPr>
          </w:p>
        </w:tc>
        <w:tc>
          <w:tcPr>
            <w:tcW w:w="1080" w:type="dxa"/>
            <w:vAlign w:val="bottom"/>
            <w:gridSpan w:val="2"/>
          </w:tcPr>
          <w:p>
            <w:pPr>
              <w:jc w:val="right"/>
              <w:ind w:right="440"/>
              <w:spacing w:after="0" w:line="138" w:lineRule="exact"/>
              <w:rPr>
                <w:sz w:val="20"/>
                <w:szCs w:val="20"/>
                <w:color w:val="auto"/>
              </w:rPr>
            </w:pPr>
            <w:r>
              <w:rPr>
                <w:rFonts w:ascii="Arial" w:cs="Arial" w:eastAsia="Arial" w:hAnsi="Arial"/>
                <w:sz w:val="13"/>
                <w:szCs w:val="13"/>
                <w:b w:val="1"/>
                <w:bCs w:val="1"/>
                <w:color w:val="auto"/>
              </w:rPr>
              <w:t>Foreign</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b w:val="1"/>
                <w:bCs w:val="1"/>
                <w:color w:val="auto"/>
                <w:w w:val="83"/>
              </w:rPr>
              <w:t>Securities</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w w:val="86"/>
              </w:rPr>
              <w:t>Currency Items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89"/>
              </w:rPr>
              <w:t>Total</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gridSpan w:val="3"/>
          </w:tcPr>
          <w:p>
            <w:pPr>
              <w:jc w:val="right"/>
              <w:ind w:right="262"/>
              <w:spacing w:after="0" w:line="130"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2013</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77"/>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2,668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Other comprehensive loss before reclassifications</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7"/>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(78)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other comprehensive income</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vMerge w:val="restart"/>
          </w:tcPr>
          <w:p>
            <w:pPr>
              <w:spacing w:after="0"/>
              <w:rPr>
                <w:sz w:val="20"/>
                <w:szCs w:val="20"/>
                <w:color w:val="auto"/>
              </w:rPr>
            </w:pPr>
            <w:r>
              <w:rPr>
                <w:rFonts w:ascii="Arial" w:cs="Arial" w:eastAsia="Arial" w:hAnsi="Arial"/>
                <w:sz w:val="16"/>
                <w:szCs w:val="16"/>
                <w:color w:val="auto"/>
              </w:rPr>
              <w:t>Net current-period other comprehensive loss</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w:t>
            </w:r>
          </w:p>
        </w:tc>
        <w:tc>
          <w:tcPr>
            <w:tcW w:w="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(78)</w:t>
            </w:r>
          </w:p>
        </w:tc>
        <w:tc>
          <w:tcPr>
            <w:tcW w:w="16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2014</w:t>
            </w: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2,590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vMerge w:val="restart"/>
          </w:tcPr>
          <w:p>
            <w:pPr>
              <w:spacing w:after="0"/>
              <w:rPr>
                <w:sz w:val="20"/>
                <w:szCs w:val="20"/>
                <w:color w:val="auto"/>
              </w:rPr>
            </w:pPr>
            <w:r>
              <w:rPr>
                <w:rFonts w:ascii="Arial" w:cs="Arial" w:eastAsia="Arial" w:hAnsi="Arial"/>
                <w:sz w:val="16"/>
                <w:szCs w:val="16"/>
                <w:color w:val="auto"/>
              </w:rPr>
              <w:t>Balance at December 31, 2012</w:t>
            </w: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tcPr>
          <w:p>
            <w:pPr>
              <w:spacing w:after="0"/>
              <w:rPr>
                <w:sz w:val="15"/>
                <w:szCs w:val="15"/>
                <w:color w:val="auto"/>
              </w:rPr>
            </w:pPr>
          </w:p>
        </w:tc>
        <w:tc>
          <w:tcPr>
            <w:tcW w:w="408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156</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2,589</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line="178" w:lineRule="exact"/>
              <w:rPr>
                <w:sz w:val="20"/>
                <w:szCs w:val="20"/>
                <w:color w:val="auto"/>
              </w:rPr>
            </w:pPr>
            <w:r>
              <w:rPr>
                <w:rFonts w:ascii="Arial" w:cs="Arial" w:eastAsia="Arial" w:hAnsi="Arial"/>
                <w:sz w:val="16"/>
                <w:szCs w:val="16"/>
                <w:color w:val="auto"/>
              </w:rPr>
              <w:t>2,745</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before reclassifications</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7"/>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Amounts reclassified from other comprehensive income</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Net current-period other comprehensive loss</w:t>
            </w: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7"/>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Balance at December 31, 2013</w:t>
            </w:r>
          </w:p>
        </w:tc>
        <w:tc>
          <w:tcPr>
            <w:tcW w:w="19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2,586</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2,668</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980" w:type="dxa"/>
            <w:vAlign w:val="bottom"/>
            <w:vMerge w:val="restart"/>
          </w:tcPr>
          <w:p>
            <w:pPr>
              <w:jc w:val="right"/>
              <w:ind w:right="131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40" w:type="dxa"/>
            <w:vAlign w:val="bottom"/>
            <w:tcBorders>
              <w:bottom w:val="single" w:sz="8" w:color="808080"/>
            </w:tcBorders>
          </w:tcPr>
          <w:p>
            <w:pPr>
              <w:spacing w:after="0"/>
              <w:rPr>
                <w:sz w:val="18"/>
                <w:szCs w:val="18"/>
                <w:color w:val="auto"/>
              </w:rPr>
            </w:pPr>
          </w:p>
        </w:tc>
        <w:tc>
          <w:tcPr>
            <w:tcW w:w="4080" w:type="dxa"/>
            <w:vAlign w:val="bottom"/>
            <w:tcBorders>
              <w:bottom w:val="single" w:sz="8" w:color="808080"/>
            </w:tcBorders>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FAIR VALUE MEASUREMENTS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set forth the Company's financial assets subject to fair value measurements: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9"/>
              </w:rPr>
              <w:t>As of</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0"/>
        </w:trPr>
        <w:tc>
          <w:tcPr>
            <w:tcW w:w="5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87"/>
              </w:rPr>
              <w:t>December 31, 2014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9"/>
              </w:rPr>
              <w:t>Level 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3"/>
                <w:szCs w:val="13"/>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5"/>
              </w:rPr>
              <w:t>Level 3</w:t>
            </w:r>
          </w:p>
        </w:tc>
        <w:tc>
          <w:tcPr>
            <w:tcW w:w="160" w:type="dxa"/>
            <w:vAlign w:val="bottom"/>
          </w:tcPr>
          <w:p>
            <w:pPr>
              <w:spacing w:after="0"/>
              <w:rPr>
                <w:sz w:val="13"/>
                <w:szCs w:val="13"/>
                <w:color w:val="auto"/>
              </w:rPr>
            </w:pPr>
          </w:p>
        </w:tc>
      </w:tr>
      <w:tr>
        <w:trPr>
          <w:trHeight w:val="130"/>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right"/>
              <w:spacing w:after="0" w:line="130" w:lineRule="exact"/>
              <w:rPr>
                <w:sz w:val="20"/>
                <w:szCs w:val="20"/>
                <w:color w:val="auto"/>
              </w:rPr>
            </w:pPr>
            <w:r>
              <w:rPr>
                <w:rFonts w:ascii="Arial" w:cs="Arial" w:eastAsia="Arial" w:hAnsi="Arial"/>
                <w:sz w:val="13"/>
                <w:szCs w:val="13"/>
                <w:b w:val="1"/>
                <w:bCs w:val="1"/>
                <w:color w:val="auto"/>
                <w:w w:val="84"/>
              </w:rPr>
              <w:t>(In thousands)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0"/>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Money market funds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18,677</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18,677</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r>
      <w:tr>
        <w:trPr>
          <w:trHeight w:val="200"/>
        </w:trPr>
        <w:tc>
          <w:tcPr>
            <w:tcW w:w="5540" w:type="dxa"/>
            <w:vAlign w:val="bottom"/>
          </w:tcPr>
          <w:p>
            <w:pPr>
              <w:spacing w:after="0"/>
              <w:rPr>
                <w:sz w:val="20"/>
                <w:szCs w:val="20"/>
                <w:color w:val="auto"/>
              </w:rPr>
            </w:pPr>
            <w:r>
              <w:rPr>
                <w:rFonts w:ascii="Arial" w:cs="Arial" w:eastAsia="Arial" w:hAnsi="Arial"/>
                <w:sz w:val="16"/>
                <w:szCs w:val="16"/>
                <w:color w:val="auto"/>
              </w:rPr>
              <w:t>Marketable securities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173,023</w:t>
            </w:r>
          </w:p>
        </w:tc>
        <w:tc>
          <w:tcPr>
            <w:tcW w:w="6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173,023</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r>
      <w:tr>
        <w:trPr>
          <w:trHeight w:val="20"/>
        </w:trPr>
        <w:tc>
          <w:tcPr>
            <w:tcW w:w="5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55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191,700</w:t>
            </w: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191,700</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02"/>
        </w:trPr>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9"/>
              </w:rPr>
              <w:t>As of</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0"/>
        </w:trPr>
        <w:tc>
          <w:tcPr>
            <w:tcW w:w="5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87"/>
              </w:rPr>
              <w:t>December 31, 2013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9"/>
              </w:rPr>
              <w:t>Level 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3"/>
                <w:szCs w:val="13"/>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5"/>
              </w:rPr>
              <w:t>Level 3</w:t>
            </w:r>
          </w:p>
        </w:tc>
        <w:tc>
          <w:tcPr>
            <w:tcW w:w="160" w:type="dxa"/>
            <w:vAlign w:val="bottom"/>
          </w:tcPr>
          <w:p>
            <w:pPr>
              <w:spacing w:after="0"/>
              <w:rPr>
                <w:sz w:val="13"/>
                <w:szCs w:val="13"/>
                <w:color w:val="auto"/>
              </w:rPr>
            </w:pPr>
          </w:p>
        </w:tc>
      </w:tr>
      <w:tr>
        <w:trPr>
          <w:trHeight w:val="130"/>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right"/>
              <w:spacing w:after="0" w:line="130" w:lineRule="exact"/>
              <w:rPr>
                <w:sz w:val="20"/>
                <w:szCs w:val="20"/>
                <w:color w:val="auto"/>
              </w:rPr>
            </w:pPr>
            <w:r>
              <w:rPr>
                <w:rFonts w:ascii="Arial" w:cs="Arial" w:eastAsia="Arial" w:hAnsi="Arial"/>
                <w:sz w:val="13"/>
                <w:szCs w:val="13"/>
                <w:b w:val="1"/>
                <w:bCs w:val="1"/>
                <w:color w:val="auto"/>
                <w:w w:val="84"/>
              </w:rPr>
              <w:t>(In thousands)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0"/>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Money market funds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148,549</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148,549</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r>
      <w:tr>
        <w:trPr>
          <w:trHeight w:val="200"/>
        </w:trPr>
        <w:tc>
          <w:tcPr>
            <w:tcW w:w="5540" w:type="dxa"/>
            <w:vAlign w:val="bottom"/>
          </w:tcPr>
          <w:p>
            <w:pPr>
              <w:spacing w:after="0"/>
              <w:rPr>
                <w:sz w:val="20"/>
                <w:szCs w:val="20"/>
                <w:color w:val="auto"/>
              </w:rPr>
            </w:pPr>
            <w:r>
              <w:rPr>
                <w:rFonts w:ascii="Arial" w:cs="Arial" w:eastAsia="Arial" w:hAnsi="Arial"/>
                <w:sz w:val="16"/>
                <w:szCs w:val="16"/>
                <w:color w:val="auto"/>
              </w:rPr>
              <w:t>Marketable securities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133,581</w:t>
            </w:r>
          </w:p>
        </w:tc>
        <w:tc>
          <w:tcPr>
            <w:tcW w:w="6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133,581</w:t>
            </w: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r>
      <w:tr>
        <w:trPr>
          <w:trHeight w:val="20"/>
        </w:trPr>
        <w:tc>
          <w:tcPr>
            <w:tcW w:w="5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55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282,130</w:t>
            </w: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282,130</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1" w:lineRule="exact"/>
        <w:rPr>
          <w:sz w:val="20"/>
          <w:szCs w:val="20"/>
          <w:color w:val="auto"/>
        </w:rPr>
      </w:pPr>
    </w:p>
    <w:p>
      <w:pPr>
        <w:ind w:firstLine="322"/>
        <w:spacing w:after="0" w:line="266"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MARKETABLE SECURITIES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summary of marketable securities is shown below:</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83"/>
              <w:spacing w:after="0"/>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Gross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640" w:type="dxa"/>
            <w:vAlign w:val="bottom"/>
          </w:tcPr>
          <w:p>
            <w:pPr>
              <w:spacing w:after="0"/>
              <w:rPr>
                <w:sz w:val="11"/>
                <w:szCs w:val="11"/>
                <w:color w:val="auto"/>
              </w:rPr>
            </w:pPr>
          </w:p>
        </w:tc>
        <w:tc>
          <w:tcPr>
            <w:tcW w:w="880" w:type="dxa"/>
            <w:vAlign w:val="bottom"/>
            <w:gridSpan w:val="4"/>
          </w:tcPr>
          <w:p>
            <w:pPr>
              <w:ind w:left="80"/>
              <w:spacing w:after="0" w:line="138" w:lineRule="exact"/>
              <w:rPr>
                <w:sz w:val="20"/>
                <w:szCs w:val="20"/>
                <w:color w:val="auto"/>
              </w:rPr>
            </w:pPr>
            <w:r>
              <w:rPr>
                <w:rFonts w:ascii="Arial" w:cs="Arial" w:eastAsia="Arial" w:hAnsi="Arial"/>
                <w:sz w:val="13"/>
                <w:szCs w:val="13"/>
                <w:b w:val="1"/>
                <w:bCs w:val="1"/>
                <w:color w:val="auto"/>
              </w:rPr>
              <w:t>Amortized</w:t>
            </w:r>
          </w:p>
        </w:tc>
        <w:tc>
          <w:tcPr>
            <w:tcW w:w="860" w:type="dxa"/>
            <w:vAlign w:val="bottom"/>
            <w:gridSpan w:val="3"/>
          </w:tcPr>
          <w:p>
            <w:pPr>
              <w:jc w:val="right"/>
              <w:ind w:right="143"/>
              <w:spacing w:after="0" w:line="138" w:lineRule="exact"/>
              <w:rPr>
                <w:sz w:val="20"/>
                <w:szCs w:val="20"/>
                <w:color w:val="auto"/>
              </w:rPr>
            </w:pPr>
            <w:r>
              <w:rPr>
                <w:rFonts w:ascii="Arial" w:cs="Arial" w:eastAsia="Arial" w:hAnsi="Arial"/>
                <w:sz w:val="13"/>
                <w:szCs w:val="13"/>
                <w:b w:val="1"/>
                <w:bCs w:val="1"/>
                <w:color w:val="auto"/>
                <w:w w:val="97"/>
              </w:rPr>
              <w:t>Unrealized</w:t>
            </w:r>
          </w:p>
        </w:tc>
        <w:tc>
          <w:tcPr>
            <w:tcW w:w="88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88"/>
              </w:rPr>
              <w:t>Unrealized</w:t>
            </w:r>
          </w:p>
        </w:tc>
        <w:tc>
          <w:tcPr>
            <w:tcW w:w="140" w:type="dxa"/>
            <w:vAlign w:val="bottom"/>
          </w:tcPr>
          <w:p>
            <w:pPr>
              <w:spacing w:after="0"/>
              <w:rPr>
                <w:sz w:val="11"/>
                <w:szCs w:val="11"/>
                <w:color w:val="auto"/>
              </w:rPr>
            </w:pPr>
          </w:p>
        </w:tc>
        <w:tc>
          <w:tcPr>
            <w:tcW w:w="740" w:type="dxa"/>
            <w:vAlign w:val="bottom"/>
            <w:gridSpan w:val="2"/>
          </w:tcPr>
          <w:p>
            <w:pPr>
              <w:jc w:val="right"/>
              <w:ind w:right="400"/>
              <w:spacing w:after="0" w:line="138"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0"/>
        </w:trPr>
        <w:tc>
          <w:tcPr>
            <w:tcW w:w="5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Cost</w:t>
            </w:r>
          </w:p>
        </w:tc>
        <w:tc>
          <w:tcPr>
            <w:tcW w:w="160" w:type="dxa"/>
            <w:vAlign w:val="bottom"/>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w w:val="99"/>
              </w:rPr>
              <w:t>Gains</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75"/>
              </w:rPr>
              <w:t>Losses</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Value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5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62"/>
              <w:spacing w:after="0" w:line="130" w:lineRule="exact"/>
              <w:rPr>
                <w:sz w:val="20"/>
                <w:szCs w:val="20"/>
                <w:color w:val="auto"/>
              </w:rPr>
            </w:pPr>
            <w:r>
              <w:rPr>
                <w:rFonts w:ascii="Arial" w:cs="Arial" w:eastAsia="Arial" w:hAnsi="Arial"/>
                <w:sz w:val="13"/>
                <w:szCs w:val="13"/>
                <w:b w:val="1"/>
                <w:bCs w:val="1"/>
                <w:color w:val="auto"/>
              </w:rPr>
              <w:t>(In</w:t>
            </w:r>
          </w:p>
        </w:tc>
        <w:tc>
          <w:tcPr>
            <w:tcW w:w="880" w:type="dxa"/>
            <w:vAlign w:val="bottom"/>
            <w:gridSpan w:val="3"/>
          </w:tcPr>
          <w:p>
            <w:pPr>
              <w:jc w:val="right"/>
              <w:ind w:right="341"/>
              <w:spacing w:after="0"/>
              <w:rPr>
                <w:sz w:val="20"/>
                <w:szCs w:val="20"/>
                <w:color w:val="auto"/>
              </w:rPr>
            </w:pPr>
            <w:r>
              <w:rPr>
                <w:rFonts w:ascii="Arial" w:cs="Arial" w:eastAsia="Arial" w:hAnsi="Arial"/>
                <w:sz w:val="11"/>
                <w:szCs w:val="11"/>
                <w:b w:val="1"/>
                <w:bCs w:val="1"/>
                <w:color w:val="auto"/>
                <w:w w:val="74"/>
              </w:rPr>
              <w:t>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December 31, 2014</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40" w:type="dxa"/>
            <w:vAlign w:val="bottom"/>
          </w:tcPr>
          <w:p>
            <w:pPr>
              <w:ind w:left="18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government and municipal obligations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40" w:type="dxa"/>
            <w:vAlign w:val="bottom"/>
          </w:tcPr>
          <w:p>
            <w:pPr>
              <w:ind w:left="500"/>
              <w:spacing w:after="0"/>
              <w:rPr>
                <w:sz w:val="20"/>
                <w:szCs w:val="20"/>
                <w:color w:val="auto"/>
              </w:rPr>
            </w:pPr>
            <w:r>
              <w:rPr>
                <w:rFonts w:ascii="Arial" w:cs="Arial" w:eastAsia="Arial" w:hAnsi="Arial"/>
                <w:sz w:val="16"/>
                <w:szCs w:val="16"/>
                <w:color w:val="auto"/>
              </w:rPr>
              <w:t>Maturing in one year or less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44,580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3"/>
              <w:spacing w:after="0"/>
              <w:rPr>
                <w:sz w:val="20"/>
                <w:szCs w:val="20"/>
                <w:color w:val="auto"/>
              </w:rPr>
            </w:pPr>
            <w:r>
              <w:rPr>
                <w:rFonts w:ascii="Arial" w:cs="Arial" w:eastAsia="Arial" w:hAnsi="Arial"/>
                <w:sz w:val="16"/>
                <w:szCs w:val="16"/>
                <w:color w:val="auto"/>
              </w:rPr>
              <w:t>30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44,604</w:t>
            </w: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Maturing after one year through three years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49</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16,156</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340"/>
              <w:spacing w:after="0"/>
              <w:rPr>
                <w:sz w:val="20"/>
                <w:szCs w:val="20"/>
                <w:color w:val="auto"/>
              </w:rPr>
            </w:pPr>
            <w:r>
              <w:rPr>
                <w:rFonts w:ascii="Arial" w:cs="Arial" w:eastAsia="Arial" w:hAnsi="Arial"/>
                <w:sz w:val="16"/>
                <w:szCs w:val="16"/>
                <w:color w:val="auto"/>
              </w:rPr>
              <w:t>Total U.S. government and municipal obligations</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4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60,688</w:t>
            </w:r>
          </w:p>
        </w:tc>
        <w:tc>
          <w:tcPr>
            <w:tcW w:w="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79</w:t>
            </w:r>
          </w:p>
        </w:tc>
        <w:tc>
          <w:tcPr>
            <w:tcW w:w="14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60,760</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640" w:type="dxa"/>
            <w:vAlign w:val="bottom"/>
          </w:tcPr>
          <w:p>
            <w:pPr>
              <w:ind w:left="500"/>
              <w:spacing w:after="0"/>
              <w:rPr>
                <w:sz w:val="20"/>
                <w:szCs w:val="20"/>
                <w:color w:val="auto"/>
              </w:rPr>
            </w:pPr>
            <w:r>
              <w:rPr>
                <w:rFonts w:ascii="Arial" w:cs="Arial" w:eastAsia="Arial" w:hAnsi="Arial"/>
                <w:sz w:val="16"/>
                <w:szCs w:val="16"/>
                <w:color w:val="auto"/>
              </w:rPr>
              <w:t>Maturing in one year or less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89,636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3"/>
              <w:spacing w:after="0"/>
              <w:rPr>
                <w:sz w:val="20"/>
                <w:szCs w:val="20"/>
                <w:color w:val="auto"/>
              </w:rPr>
            </w:pPr>
            <w:r>
              <w:rPr>
                <w:rFonts w:ascii="Arial" w:cs="Arial" w:eastAsia="Arial" w:hAnsi="Arial"/>
                <w:sz w:val="16"/>
                <w:szCs w:val="16"/>
                <w:color w:val="auto"/>
              </w:rPr>
              <w:t>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89,605</w:t>
            </w: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Maturing after one year through three years</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22,690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22,658</w:t>
            </w:r>
          </w:p>
        </w:tc>
        <w:tc>
          <w:tcPr>
            <w:tcW w:w="0" w:type="dxa"/>
            <w:vAlign w:val="bottom"/>
          </w:tcPr>
          <w:p>
            <w:pPr>
              <w:spacing w:after="0"/>
              <w:rPr>
                <w:sz w:val="1"/>
                <w:szCs w:val="1"/>
                <w:color w:val="auto"/>
              </w:rPr>
            </w:pPr>
          </w:p>
        </w:tc>
      </w:tr>
      <w:tr>
        <w:trPr>
          <w:trHeight w:val="193"/>
        </w:trPr>
        <w:tc>
          <w:tcPr>
            <w:tcW w:w="5640" w:type="dxa"/>
            <w:vAlign w:val="bottom"/>
          </w:tcPr>
          <w:p>
            <w:pPr>
              <w:ind w:left="340"/>
              <w:spacing w:after="0"/>
              <w:rPr>
                <w:sz w:val="20"/>
                <w:szCs w:val="20"/>
                <w:color w:val="auto"/>
              </w:rPr>
            </w:pPr>
            <w:r>
              <w:rPr>
                <w:rFonts w:ascii="Arial" w:cs="Arial" w:eastAsia="Arial" w:hAnsi="Arial"/>
                <w:sz w:val="16"/>
                <w:szCs w:val="16"/>
                <w:color w:val="auto"/>
              </w:rPr>
              <w:t>Total corporate debt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112,326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112,263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6"/>
              </w:rPr>
              <w:t>173,014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88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173,023</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6"/>
                <w:szCs w:val="16"/>
                <w:b w:val="1"/>
                <w:bCs w:val="1"/>
                <w:color w:val="auto"/>
              </w:rPr>
              <w:t>December 31, 2013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securities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40" w:type="dxa"/>
            <w:vAlign w:val="bottom"/>
          </w:tcPr>
          <w:p>
            <w:pPr>
              <w:ind w:left="340"/>
              <w:spacing w:after="0"/>
              <w:rPr>
                <w:sz w:val="20"/>
                <w:szCs w:val="20"/>
                <w:color w:val="auto"/>
              </w:rPr>
            </w:pPr>
            <w:r>
              <w:rPr>
                <w:rFonts w:ascii="Arial" w:cs="Arial" w:eastAsia="Arial" w:hAnsi="Arial"/>
                <w:sz w:val="16"/>
                <w:szCs w:val="16"/>
                <w:color w:val="auto"/>
              </w:rPr>
              <w:t>U.S. government and municipal obligations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Maturing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55,531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55,554</w:t>
            </w:r>
          </w:p>
        </w:tc>
        <w:tc>
          <w:tcPr>
            <w:tcW w:w="0" w:type="dxa"/>
            <w:vAlign w:val="bottom"/>
          </w:tcPr>
          <w:p>
            <w:pPr>
              <w:spacing w:after="0"/>
              <w:rPr>
                <w:sz w:val="1"/>
                <w:szCs w:val="1"/>
                <w:color w:val="auto"/>
              </w:rPr>
            </w:pPr>
          </w:p>
        </w:tc>
      </w:tr>
      <w:tr>
        <w:trPr>
          <w:trHeight w:val="200"/>
        </w:trPr>
        <w:tc>
          <w:tcPr>
            <w:tcW w:w="5640" w:type="dxa"/>
            <w:vAlign w:val="bottom"/>
          </w:tcPr>
          <w:p>
            <w:pPr>
              <w:ind w:left="500"/>
              <w:spacing w:after="0"/>
              <w:rPr>
                <w:sz w:val="20"/>
                <w:szCs w:val="20"/>
                <w:color w:val="auto"/>
              </w:rPr>
            </w:pPr>
            <w:r>
              <w:rPr>
                <w:rFonts w:ascii="Arial" w:cs="Arial" w:eastAsia="Arial" w:hAnsi="Arial"/>
                <w:sz w:val="16"/>
                <w:szCs w:val="16"/>
                <w:color w:val="auto"/>
              </w:rPr>
              <w:t>Maturing after one year through three years</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18,234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3"/>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18,286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U.S. government and municipal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73,765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83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73,840</w:t>
            </w:r>
          </w:p>
        </w:tc>
        <w:tc>
          <w:tcPr>
            <w:tcW w:w="0" w:type="dxa"/>
            <w:vAlign w:val="bottom"/>
          </w:tcPr>
          <w:p>
            <w:pPr>
              <w:spacing w:after="0"/>
              <w:rPr>
                <w:sz w:val="1"/>
                <w:szCs w:val="1"/>
                <w:color w:val="auto"/>
              </w:rPr>
            </w:pPr>
          </w:p>
        </w:tc>
      </w:tr>
      <w:tr>
        <w:trPr>
          <w:trHeight w:val="192"/>
        </w:trPr>
        <w:tc>
          <w:tcPr>
            <w:tcW w:w="5640" w:type="dxa"/>
            <w:vAlign w:val="bottom"/>
          </w:tcPr>
          <w:p>
            <w:pPr>
              <w:ind w:left="34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Maturing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38,973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38,973</w:t>
            </w:r>
          </w:p>
        </w:tc>
        <w:tc>
          <w:tcPr>
            <w:tcW w:w="0" w:type="dxa"/>
            <w:vAlign w:val="bottom"/>
          </w:tcPr>
          <w:p>
            <w:pPr>
              <w:spacing w:after="0"/>
              <w:rPr>
                <w:sz w:val="1"/>
                <w:szCs w:val="1"/>
                <w:color w:val="auto"/>
              </w:rPr>
            </w:pPr>
          </w:p>
        </w:tc>
      </w:tr>
      <w:tr>
        <w:trPr>
          <w:trHeight w:val="200"/>
        </w:trPr>
        <w:tc>
          <w:tcPr>
            <w:tcW w:w="5640" w:type="dxa"/>
            <w:vAlign w:val="bottom"/>
          </w:tcPr>
          <w:p>
            <w:pPr>
              <w:ind w:left="500"/>
              <w:spacing w:after="0"/>
              <w:rPr>
                <w:sz w:val="20"/>
                <w:szCs w:val="20"/>
                <w:color w:val="auto"/>
              </w:rPr>
            </w:pPr>
            <w:r>
              <w:rPr>
                <w:rFonts w:ascii="Arial" w:cs="Arial" w:eastAsia="Arial" w:hAnsi="Arial"/>
                <w:sz w:val="16"/>
                <w:szCs w:val="16"/>
                <w:color w:val="auto"/>
              </w:rPr>
              <w:t>Maturing after one year through three years</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20,761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3"/>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20,768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corporate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59,741</w:t>
            </w:r>
          </w:p>
        </w:tc>
        <w:tc>
          <w:tcPr>
            <w:tcW w:w="0" w:type="dxa"/>
            <w:vAlign w:val="bottom"/>
          </w:tcPr>
          <w:p>
            <w:pPr>
              <w:spacing w:after="0"/>
              <w:rPr>
                <w:sz w:val="1"/>
                <w:szCs w:val="1"/>
                <w:color w:val="auto"/>
              </w:rPr>
            </w:pPr>
          </w:p>
        </w:tc>
      </w:tr>
      <w:tr>
        <w:trPr>
          <w:trHeight w:val="193"/>
        </w:trPr>
        <w:tc>
          <w:tcPr>
            <w:tcW w:w="5640" w:type="dxa"/>
            <w:vAlign w:val="bottom"/>
          </w:tcPr>
          <w:p>
            <w:pPr>
              <w:ind w:left="180"/>
              <w:spacing w:after="0"/>
              <w:rPr>
                <w:sz w:val="20"/>
                <w:szCs w:val="20"/>
                <w:color w:val="auto"/>
              </w:rPr>
            </w:pPr>
            <w:r>
              <w:rPr>
                <w:rFonts w:ascii="Arial" w:cs="Arial" w:eastAsia="Arial" w:hAnsi="Arial"/>
                <w:sz w:val="16"/>
                <w:szCs w:val="16"/>
                <w:color w:val="auto"/>
              </w:rPr>
              <w:t>Total marketable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133,499</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133,581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firstLine="322"/>
        <w:spacing w:after="0" w:line="290" w:lineRule="auto"/>
        <w:rPr>
          <w:sz w:val="20"/>
          <w:szCs w:val="20"/>
          <w:color w:val="auto"/>
        </w:rPr>
      </w:pPr>
      <w:r>
        <w:rPr>
          <w:rFonts w:ascii="Arial" w:cs="Arial" w:eastAsia="Arial" w:hAnsi="Arial"/>
          <w:sz w:val="16"/>
          <w:szCs w:val="16"/>
          <w:color w:val="auto"/>
        </w:rPr>
        <w:t>The marketable securities held by the Company were high investment grade and there were no marketable securities that the Company considered to be other-than-temporarily impaired as of December 31, 2014.</w:t>
      </w:r>
    </w:p>
    <w:p>
      <w:pPr>
        <w:spacing w:after="0" w:line="15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PROPERTY AND EQUIPMENT, NET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Property and equipment include the following:</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50"/>
        </w:trPr>
        <w:tc>
          <w:tcPr>
            <w:tcW w:w="5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w w:val="85"/>
              </w:rPr>
              <w:t>December 31, 2014</w:t>
            </w:r>
          </w:p>
        </w:tc>
        <w:tc>
          <w:tcPr>
            <w:tcW w:w="14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3"/>
              </w:rPr>
              <w:t>December 31, 2013</w:t>
            </w:r>
          </w:p>
        </w:tc>
        <w:tc>
          <w:tcPr>
            <w:tcW w:w="140" w:type="dxa"/>
            <w:vAlign w:val="bottom"/>
          </w:tcPr>
          <w:p>
            <w:pPr>
              <w:spacing w:after="0"/>
              <w:rPr>
                <w:sz w:val="13"/>
                <w:szCs w:val="13"/>
                <w:color w:val="auto"/>
              </w:rPr>
            </w:pPr>
          </w:p>
        </w:tc>
      </w:tr>
      <w:tr>
        <w:trPr>
          <w:trHeight w:val="130"/>
        </w:trPr>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ind w:right="82"/>
              <w:spacing w:after="0" w:line="130" w:lineRule="exact"/>
              <w:rPr>
                <w:sz w:val="20"/>
                <w:szCs w:val="20"/>
                <w:color w:val="auto"/>
              </w:rPr>
            </w:pPr>
            <w:r>
              <w:rPr>
                <w:rFonts w:ascii="Arial" w:cs="Arial" w:eastAsia="Arial" w:hAnsi="Arial"/>
                <w:sz w:val="13"/>
                <w:szCs w:val="13"/>
                <w:b w:val="1"/>
                <w:bCs w:val="1"/>
                <w:color w:val="auto"/>
              </w:rPr>
              <w:t>(In</w:t>
            </w:r>
          </w:p>
        </w:tc>
        <w:tc>
          <w:tcPr>
            <w:tcW w:w="1340" w:type="dxa"/>
            <w:vAlign w:val="bottom"/>
            <w:gridSpan w:val="4"/>
          </w:tcPr>
          <w:p>
            <w:pPr>
              <w:jc w:val="right"/>
              <w:ind w:right="801"/>
              <w:spacing w:after="0"/>
              <w:rPr>
                <w:sz w:val="20"/>
                <w:szCs w:val="20"/>
                <w:color w:val="auto"/>
              </w:rPr>
            </w:pPr>
            <w:r>
              <w:rPr>
                <w:rFonts w:ascii="Arial" w:cs="Arial" w:eastAsia="Arial" w:hAnsi="Arial"/>
                <w:sz w:val="11"/>
                <w:szCs w:val="11"/>
                <w:b w:val="1"/>
                <w:bCs w:val="1"/>
                <w:color w:val="auto"/>
                <w:w w:val="74"/>
              </w:rPr>
              <w:t>thousands)</w:t>
            </w:r>
          </w:p>
        </w:tc>
        <w:tc>
          <w:tcPr>
            <w:tcW w:w="140" w:type="dxa"/>
            <w:vAlign w:val="bottom"/>
          </w:tcPr>
          <w:p>
            <w:pPr>
              <w:spacing w:after="0"/>
              <w:rPr>
                <w:sz w:val="11"/>
                <w:szCs w:val="11"/>
                <w:color w:val="auto"/>
              </w:rPr>
            </w:pPr>
          </w:p>
        </w:tc>
      </w:tr>
      <w:tr>
        <w:trPr>
          <w:trHeight w:val="200"/>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Laboratory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3,699</w:t>
            </w:r>
          </w:p>
        </w:tc>
      </w:tr>
      <w:tr>
        <w:trPr>
          <w:trHeight w:val="200"/>
        </w:trPr>
        <w:tc>
          <w:tcPr>
            <w:tcW w:w="5300" w:type="dxa"/>
            <w:vAlign w:val="bottom"/>
          </w:tcPr>
          <w:p>
            <w:pPr>
              <w:spacing w:after="0"/>
              <w:rPr>
                <w:sz w:val="20"/>
                <w:szCs w:val="20"/>
                <w:color w:val="auto"/>
              </w:rPr>
            </w:pPr>
            <w:r>
              <w:rPr>
                <w:rFonts w:ascii="Arial" w:cs="Arial" w:eastAsia="Arial" w:hAnsi="Arial"/>
                <w:sz w:val="16"/>
                <w:szCs w:val="16"/>
                <w:color w:val="auto"/>
              </w:rPr>
              <w:t>Manufacturing Equipment</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2,130</w:t>
            </w:r>
          </w:p>
        </w:tc>
      </w:tr>
      <w:tr>
        <w:trPr>
          <w:trHeight w:val="200"/>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Office Furniture and Equipment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1,386</w:t>
            </w:r>
          </w:p>
        </w:tc>
      </w:tr>
      <w:tr>
        <w:trPr>
          <w:trHeight w:val="200"/>
        </w:trPr>
        <w:tc>
          <w:tcPr>
            <w:tcW w:w="530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14,603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14,493</w:t>
            </w:r>
          </w:p>
        </w:tc>
      </w:tr>
      <w:tr>
        <w:trPr>
          <w:trHeight w:val="200"/>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257</w:t>
            </w:r>
          </w:p>
        </w:tc>
      </w:tr>
      <w:tr>
        <w:trPr>
          <w:trHeight w:val="193"/>
        </w:trPr>
        <w:tc>
          <w:tcPr>
            <w:tcW w:w="5300" w:type="dxa"/>
            <w:vAlign w:val="bottom"/>
          </w:tcPr>
          <w:p>
            <w:pPr>
              <w:ind w:left="160"/>
              <w:spacing w:after="0"/>
              <w:rPr>
                <w:sz w:val="20"/>
                <w:szCs w:val="20"/>
                <w:color w:val="auto"/>
              </w:rPr>
            </w:pPr>
            <w:r>
              <w:rPr>
                <w:rFonts w:ascii="Arial" w:cs="Arial" w:eastAsia="Arial" w:hAnsi="Arial"/>
                <w:sz w:val="16"/>
                <w:szCs w:val="16"/>
                <w:color w:val="auto"/>
              </w:rPr>
              <w:t>Total Property and Equipment</w:t>
            </w: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24,755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21,965</w:t>
            </w:r>
          </w:p>
        </w:tc>
        <w:tc>
          <w:tcPr>
            <w:tcW w:w="140" w:type="dxa"/>
            <w:vAlign w:val="bottom"/>
          </w:tcPr>
          <w:p>
            <w:pPr>
              <w:spacing w:after="0"/>
              <w:rPr>
                <w:sz w:val="16"/>
                <w:szCs w:val="16"/>
                <w:color w:val="auto"/>
              </w:rPr>
            </w:pPr>
          </w:p>
        </w:tc>
      </w:tr>
      <w:tr>
        <w:trPr>
          <w:trHeight w:val="200"/>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(14,220)</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(11,992)</w:t>
            </w:r>
          </w:p>
        </w:tc>
      </w:tr>
      <w:tr>
        <w:trPr>
          <w:trHeight w:val="193"/>
        </w:trPr>
        <w:tc>
          <w:tcPr>
            <w:tcW w:w="53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10,535</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9,973</w:t>
            </w:r>
          </w:p>
        </w:tc>
        <w:tc>
          <w:tcPr>
            <w:tcW w:w="140" w:type="dxa"/>
            <w:vAlign w:val="bottom"/>
          </w:tcPr>
          <w:p>
            <w:pPr>
              <w:spacing w:after="0"/>
              <w:rPr>
                <w:sz w:val="16"/>
                <w:szCs w:val="16"/>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1" w:lineRule="exact"/>
        <w:rPr>
          <w:sz w:val="20"/>
          <w:szCs w:val="20"/>
          <w:color w:val="auto"/>
        </w:rPr>
      </w:pPr>
    </w:p>
    <w:p>
      <w:pPr>
        <w:ind w:firstLine="325"/>
        <w:spacing w:after="0" w:line="290" w:lineRule="auto"/>
        <w:rPr>
          <w:sz w:val="20"/>
          <w:szCs w:val="20"/>
          <w:color w:val="auto"/>
        </w:rPr>
      </w:pPr>
      <w:r>
        <w:rPr>
          <w:rFonts w:ascii="Arial" w:cs="Arial" w:eastAsia="Arial" w:hAnsi="Arial"/>
          <w:sz w:val="16"/>
          <w:szCs w:val="16"/>
          <w:color w:val="auto"/>
        </w:rPr>
        <w:t>Depreciation and amortization expense related to property and equipment was $2.4 million, $1.9 million and $2.0 million for the years ended December 31, 2014, 2013 and 2012,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INTANGIBLE ASSETS AND GOODWILL</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Intangible assets, net of accumulated amortization, and goodwill are as follows: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31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3"/>
                <w:szCs w:val="13"/>
                <w:b w:val="1"/>
                <w:bCs w:val="1"/>
                <w:color w:val="auto"/>
                <w:w w:val="95"/>
              </w:rPr>
              <w:t>December 31, 2014</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w w:val="87"/>
              </w:rPr>
              <w:t>December 31, 2013</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17"/>
        </w:trPr>
        <w:tc>
          <w:tcPr>
            <w:tcW w:w="3180" w:type="dxa"/>
            <w:vAlign w:val="bottom"/>
          </w:tcPr>
          <w:p>
            <w:pPr>
              <w:spacing w:after="0"/>
              <w:rPr>
                <w:sz w:val="10"/>
                <w:szCs w:val="10"/>
                <w:color w:val="auto"/>
              </w:rPr>
            </w:pPr>
          </w:p>
        </w:tc>
        <w:tc>
          <w:tcPr>
            <w:tcW w:w="860" w:type="dxa"/>
            <w:vAlign w:val="bottom"/>
            <w:gridSpan w:val="2"/>
          </w:tcPr>
          <w:p>
            <w:pPr>
              <w:jc w:val="center"/>
              <w:ind w:right="120"/>
              <w:spacing w:after="0" w:line="118" w:lineRule="exact"/>
              <w:rPr>
                <w:sz w:val="20"/>
                <w:szCs w:val="20"/>
                <w:color w:val="auto"/>
              </w:rPr>
            </w:pPr>
            <w:r>
              <w:rPr>
                <w:rFonts w:ascii="Arial" w:cs="Arial" w:eastAsia="Arial" w:hAnsi="Arial"/>
                <w:sz w:val="13"/>
                <w:szCs w:val="13"/>
                <w:b w:val="1"/>
                <w:bCs w:val="1"/>
                <w:color w:val="auto"/>
                <w:w w:val="86"/>
              </w:rPr>
              <w:t>Estimated</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tcPr>
          <w:p>
            <w:pPr>
              <w:jc w:val="right"/>
              <w:ind w:right="200"/>
              <w:spacing w:after="0" w:line="118"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right"/>
              <w:ind w:right="200"/>
              <w:spacing w:after="0" w:line="118"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0"/>
        </w:trPr>
        <w:tc>
          <w:tcPr>
            <w:tcW w:w="318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Life</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4"/>
              <w:spacing w:after="0"/>
              <w:rPr>
                <w:sz w:val="20"/>
                <w:szCs w:val="20"/>
                <w:color w:val="auto"/>
              </w:rPr>
            </w:pPr>
            <w:r>
              <w:rPr>
                <w:rFonts w:ascii="Arial" w:cs="Arial" w:eastAsia="Arial" w:hAnsi="Arial"/>
                <w:sz w:val="13"/>
                <w:szCs w:val="13"/>
                <w:b w:val="1"/>
                <w:bCs w:val="1"/>
                <w:color w:val="auto"/>
                <w:w w:val="96"/>
              </w:rPr>
              <w:t>Cost</w:t>
            </w:r>
          </w:p>
        </w:tc>
        <w:tc>
          <w:tcPr>
            <w:tcW w:w="140" w:type="dxa"/>
            <w:vAlign w:val="bottom"/>
            <w:gridSpan w:val="2"/>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Amortization</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w w:val="96"/>
              </w:rPr>
              <w:t>Cost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Amortization</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3"/>
                <w:szCs w:val="13"/>
                <w:color w:val="auto"/>
              </w:rPr>
            </w:pPr>
          </w:p>
        </w:tc>
      </w:tr>
      <w:tr>
        <w:trPr>
          <w:trHeight w:val="130"/>
        </w:trPr>
        <w:tc>
          <w:tcPr>
            <w:tcW w:w="3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64"/>
              <w:spacing w:after="0" w:line="130" w:lineRule="exact"/>
              <w:rPr>
                <w:sz w:val="20"/>
                <w:szCs w:val="20"/>
                <w:color w:val="auto"/>
              </w:rPr>
            </w:pPr>
            <w:r>
              <w:rPr>
                <w:rFonts w:ascii="Arial" w:cs="Arial" w:eastAsia="Arial" w:hAnsi="Arial"/>
                <w:sz w:val="13"/>
                <w:szCs w:val="13"/>
                <w:b w:val="1"/>
                <w:bCs w:val="1"/>
                <w:color w:val="auto"/>
              </w:rPr>
              <w:t>(In</w:t>
            </w:r>
          </w:p>
        </w:tc>
        <w:tc>
          <w:tcPr>
            <w:tcW w:w="800" w:type="dxa"/>
            <w:vAlign w:val="bottom"/>
            <w:gridSpan w:val="3"/>
          </w:tcPr>
          <w:p>
            <w:pPr>
              <w:jc w:val="right"/>
              <w:ind w:right="262"/>
              <w:spacing w:after="0"/>
              <w:rPr>
                <w:sz w:val="20"/>
                <w:szCs w:val="20"/>
                <w:color w:val="auto"/>
              </w:rPr>
            </w:pPr>
            <w:r>
              <w:rPr>
                <w:rFonts w:ascii="Arial" w:cs="Arial" w:eastAsia="Arial" w:hAnsi="Arial"/>
                <w:sz w:val="11"/>
                <w:szCs w:val="11"/>
                <w:b w:val="1"/>
                <w:bCs w:val="1"/>
                <w:color w:val="auto"/>
                <w:w w:val="74"/>
              </w:rPr>
              <w:t>thousands)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0"/>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0"/>
        </w:trPr>
        <w:tc>
          <w:tcPr>
            <w:tcW w:w="3180" w:type="dxa"/>
            <w:vAlign w:val="bottom"/>
          </w:tcPr>
          <w:p>
            <w:pPr>
              <w:ind w:left="160"/>
              <w:spacing w:after="0"/>
              <w:rPr>
                <w:sz w:val="20"/>
                <w:szCs w:val="20"/>
                <w:color w:val="auto"/>
              </w:rPr>
            </w:pPr>
            <w:r>
              <w:rPr>
                <w:rFonts w:ascii="Arial" w:cs="Arial" w:eastAsia="Arial" w:hAnsi="Arial"/>
                <w:sz w:val="16"/>
                <w:szCs w:val="16"/>
                <w:color w:val="auto"/>
              </w:rPr>
              <w:t>IPR&amp;D</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Indefinite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11,800</w:t>
            </w:r>
          </w:p>
        </w:tc>
        <w:tc>
          <w:tcPr>
            <w:tcW w:w="120" w:type="dxa"/>
            <w:vAlign w:val="bottom"/>
          </w:tcPr>
          <w:p>
            <w:pPr>
              <w:spacing w:after="0"/>
              <w:rPr>
                <w:sz w:val="17"/>
                <w:szCs w:val="17"/>
                <w:color w:val="auto"/>
              </w:rPr>
            </w:pPr>
          </w:p>
        </w:tc>
        <w:tc>
          <w:tcPr>
            <w:tcW w:w="260" w:type="dxa"/>
            <w:vAlign w:val="bottom"/>
          </w:tcPr>
          <w:p>
            <w:pPr>
              <w:jc w:val="right"/>
              <w:ind w:right="86"/>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83"/>
              <w:spacing w:after="0"/>
              <w:rPr>
                <w:sz w:val="20"/>
                <w:szCs w:val="20"/>
                <w:color w:val="auto"/>
              </w:rPr>
            </w:pPr>
            <w:r>
              <w:rPr>
                <w:rFonts w:ascii="Arial" w:cs="Arial" w:eastAsia="Arial" w:hAnsi="Arial"/>
                <w:sz w:val="16"/>
                <w:szCs w:val="16"/>
                <w:color w:val="auto"/>
                <w:w w:val="98"/>
              </w:rPr>
              <w:t>11,800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11,800</w:t>
            </w:r>
          </w:p>
        </w:tc>
        <w:tc>
          <w:tcPr>
            <w:tcW w:w="380" w:type="dxa"/>
            <w:vAlign w:val="bottom"/>
            <w:gridSpan w:val="2"/>
          </w:tcPr>
          <w:p>
            <w:pPr>
              <w:jc w:val="right"/>
              <w:ind w:right="111"/>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w w:val="98"/>
              </w:rPr>
              <w:t>11,800</w:t>
            </w:r>
          </w:p>
        </w:tc>
      </w:tr>
      <w:tr>
        <w:trPr>
          <w:trHeight w:val="200"/>
        </w:trPr>
        <w:tc>
          <w:tcPr>
            <w:tcW w:w="3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Amgen Amendment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 years</w:t>
            </w: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14,500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(4,708)</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9,792</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14,500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(3,812)</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10,688</w:t>
            </w:r>
          </w:p>
        </w:tc>
      </w:tr>
      <w:tr>
        <w:trPr>
          <w:trHeight w:val="200"/>
        </w:trPr>
        <w:tc>
          <w:tcPr>
            <w:tcW w:w="3180" w:type="dxa"/>
            <w:vAlign w:val="bottom"/>
          </w:tcPr>
          <w:p>
            <w:pPr>
              <w:ind w:left="160"/>
              <w:spacing w:after="0"/>
              <w:rPr>
                <w:sz w:val="20"/>
                <w:szCs w:val="20"/>
                <w:color w:val="auto"/>
              </w:rPr>
            </w:pPr>
            <w:r>
              <w:rPr>
                <w:rFonts w:ascii="Arial" w:cs="Arial" w:eastAsia="Arial" w:hAnsi="Arial"/>
                <w:sz w:val="16"/>
                <w:szCs w:val="16"/>
                <w:color w:val="auto"/>
              </w:rPr>
              <w:t>Core Technology</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11 years</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1,296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(1,081)</w:t>
            </w:r>
          </w:p>
        </w:tc>
        <w:tc>
          <w:tcPr>
            <w:tcW w:w="160" w:type="dxa"/>
            <w:vAlign w:val="bottom"/>
          </w:tcPr>
          <w:p>
            <w:pPr>
              <w:spacing w:after="0"/>
              <w:rPr>
                <w:sz w:val="17"/>
                <w:szCs w:val="17"/>
                <w:color w:val="auto"/>
              </w:rPr>
            </w:pPr>
          </w:p>
        </w:tc>
        <w:tc>
          <w:tcPr>
            <w:tcW w:w="640" w:type="dxa"/>
            <w:vAlign w:val="bottom"/>
            <w:gridSpan w:val="2"/>
          </w:tcPr>
          <w:p>
            <w:pPr>
              <w:jc w:val="right"/>
              <w:ind w:right="83"/>
              <w:spacing w:after="0"/>
              <w:rPr>
                <w:sz w:val="20"/>
                <w:szCs w:val="20"/>
                <w:color w:val="auto"/>
              </w:rPr>
            </w:pPr>
            <w:r>
              <w:rPr>
                <w:rFonts w:ascii="Arial" w:cs="Arial" w:eastAsia="Arial" w:hAnsi="Arial"/>
                <w:sz w:val="16"/>
                <w:szCs w:val="16"/>
                <w:color w:val="auto"/>
              </w:rPr>
              <w:t>215</w:t>
            </w:r>
          </w:p>
        </w:tc>
        <w:tc>
          <w:tcPr>
            <w:tcW w:w="16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(964)</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332</w:t>
            </w:r>
          </w:p>
        </w:tc>
      </w:tr>
      <w:tr>
        <w:trPr>
          <w:trHeight w:val="20"/>
        </w:trPr>
        <w:tc>
          <w:tcPr>
            <w:tcW w:w="3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Total Intangible Assets</w:t>
            </w: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27,596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(5,789)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w w:val="98"/>
              </w:rPr>
              <w:t>21,807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27,596</w:t>
            </w:r>
          </w:p>
        </w:tc>
        <w:tc>
          <w:tcPr>
            <w:tcW w:w="380" w:type="dxa"/>
            <w:vAlign w:val="bottom"/>
            <w:gridSpan w:val="2"/>
            <w:shd w:val="clear" w:color="auto" w:fill="CCEEFF"/>
          </w:tcPr>
          <w:p>
            <w:pPr>
              <w:jc w:val="right"/>
              <w:ind w:right="111"/>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22,820</w:t>
            </w:r>
          </w:p>
        </w:tc>
      </w:tr>
      <w:tr>
        <w:trPr>
          <w:trHeight w:val="193"/>
        </w:trPr>
        <w:tc>
          <w:tcPr>
            <w:tcW w:w="3180" w:type="dxa"/>
            <w:vAlign w:val="bottom"/>
          </w:tcPr>
          <w:p>
            <w:pPr>
              <w:spacing w:after="0"/>
              <w:rPr>
                <w:sz w:val="20"/>
                <w:szCs w:val="20"/>
                <w:color w:val="auto"/>
              </w:rPr>
            </w:pPr>
            <w:r>
              <w:rPr>
                <w:rFonts w:ascii="Arial" w:cs="Arial" w:eastAsia="Arial" w:hAnsi="Arial"/>
                <w:sz w:val="16"/>
                <w:szCs w:val="16"/>
                <w:color w:val="auto"/>
              </w:rPr>
              <w:t>Goodwill</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Indefinite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8,965</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8,965</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8,965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8,965</w:t>
            </w:r>
          </w:p>
        </w:tc>
        <w:tc>
          <w:tcPr>
            <w:tcW w:w="160" w:type="dxa"/>
            <w:vAlign w:val="bottom"/>
          </w:tcPr>
          <w:p>
            <w:pPr>
              <w:spacing w:after="0"/>
              <w:rPr>
                <w:sz w:val="16"/>
                <w:szCs w:val="16"/>
                <w:color w:val="auto"/>
              </w:rPr>
            </w:pPr>
          </w:p>
        </w:tc>
      </w:tr>
      <w:tr>
        <w:trPr>
          <w:trHeight w:val="20"/>
        </w:trPr>
        <w:tc>
          <w:tcPr>
            <w:tcW w:w="3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right="280" w:firstLine="322"/>
        <w:spacing w:after="0" w:line="332" w:lineRule="auto"/>
        <w:rPr>
          <w:sz w:val="20"/>
          <w:szCs w:val="20"/>
          <w:color w:val="auto"/>
        </w:rPr>
      </w:pPr>
      <w:r>
        <w:rPr>
          <w:rFonts w:ascii="Arial" w:cs="Arial" w:eastAsia="Arial" w:hAnsi="Arial"/>
          <w:sz w:val="14"/>
          <w:szCs w:val="14"/>
          <w:color w:val="auto"/>
        </w:rPr>
        <w:t>The IPR&amp;D intangible asset was recorded in connection with the acquisition of CuraGen and relates to the development of glembatumumab vedotin. At the date of acquisition and at December 31, 2014, glembatumumab vedotin had not yet reached technological feasibility nor did it have any alternative future use. Glembatumumab vedotin is in a randomized, Phase 2b study for the treatment of triple negative breast cancer and a Phase 2 study for the treatment of metastatic melanoma.</w:t>
      </w:r>
    </w:p>
    <w:p>
      <w:pPr>
        <w:spacing w:after="0" w:line="132" w:lineRule="exact"/>
        <w:rPr>
          <w:sz w:val="20"/>
          <w:szCs w:val="20"/>
          <w:color w:val="auto"/>
        </w:rPr>
      </w:pPr>
    </w:p>
    <w:p>
      <w:pPr>
        <w:jc w:val="both"/>
        <w:ind w:right="180" w:firstLine="316"/>
        <w:spacing w:after="0" w:line="275" w:lineRule="auto"/>
        <w:rPr>
          <w:sz w:val="20"/>
          <w:szCs w:val="20"/>
          <w:color w:val="auto"/>
        </w:rPr>
      </w:pPr>
      <w:r>
        <w:rPr>
          <w:rFonts w:ascii="Arial" w:cs="Arial" w:eastAsia="Arial" w:hAnsi="Arial"/>
          <w:sz w:val="16"/>
          <w:szCs w:val="16"/>
          <w:color w:val="auto"/>
        </w:rPr>
        <w:t>Amortization expense for intangible assets was $1.0 million, $1.0 million and $1.1 million for the years ended December 31, 2014, 2013 and 2012, respectively. The estimated future amortization expense of intangible assets for the years ending December 31, 2015, 2016, 2017, 2018 and 2019 is $1.0 million, $1.0 million, $0.9 million, $0.9 million and $0.9 million, respectively.</w:t>
      </w:r>
    </w:p>
    <w:p>
      <w:pPr>
        <w:spacing w:after="0" w:line="16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ACCRUED EXPENSES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Accrued expenses include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5"/>
          </w:tcPr>
          <w:p>
            <w:pPr>
              <w:jc w:val="center"/>
              <w:ind w:right="163"/>
              <w:spacing w:after="0"/>
              <w:rPr>
                <w:sz w:val="20"/>
                <w:szCs w:val="20"/>
                <w:color w:val="auto"/>
              </w:rPr>
            </w:pPr>
            <w:r>
              <w:rPr>
                <w:rFonts w:ascii="Arial" w:cs="Arial" w:eastAsia="Arial" w:hAnsi="Arial"/>
                <w:sz w:val="13"/>
                <w:szCs w:val="13"/>
                <w:b w:val="1"/>
                <w:bCs w:val="1"/>
                <w:color w:val="auto"/>
                <w:w w:val="85"/>
              </w:rPr>
              <w:t>December 31,</w:t>
            </w:r>
          </w:p>
        </w:tc>
        <w:tc>
          <w:tcPr>
            <w:tcW w:w="1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2"/>
              </w:rPr>
              <w:t>December 31,</w:t>
            </w:r>
          </w:p>
        </w:tc>
        <w:tc>
          <w:tcPr>
            <w:tcW w:w="0" w:type="dxa"/>
            <w:vAlign w:val="bottom"/>
          </w:tcPr>
          <w:p>
            <w:pPr>
              <w:spacing w:after="0"/>
              <w:rPr>
                <w:sz w:val="1"/>
                <w:szCs w:val="1"/>
                <w:color w:val="auto"/>
              </w:rPr>
            </w:pPr>
          </w:p>
        </w:tc>
      </w:tr>
      <w:tr>
        <w:trPr>
          <w:trHeight w:val="150"/>
        </w:trPr>
        <w:tc>
          <w:tcPr>
            <w:tcW w:w="17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2014</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4"/>
          </w:tcPr>
          <w:p>
            <w:pPr>
              <w:jc w:val="right"/>
              <w:ind w:right="97"/>
              <w:spacing w:after="0" w:line="130" w:lineRule="exact"/>
              <w:rPr>
                <w:sz w:val="20"/>
                <w:szCs w:val="20"/>
                <w:color w:val="auto"/>
              </w:rPr>
            </w:pPr>
            <w:r>
              <w:rPr>
                <w:rFonts w:ascii="Arial" w:cs="Arial" w:eastAsia="Arial" w:hAnsi="Arial"/>
                <w:sz w:val="13"/>
                <w:szCs w:val="13"/>
                <w:b w:val="1"/>
                <w:bCs w:val="1"/>
                <w:color w:val="auto"/>
              </w:rPr>
              <w:t>(In</w:t>
            </w:r>
          </w:p>
        </w:tc>
        <w:tc>
          <w:tcPr>
            <w:tcW w:w="1040" w:type="dxa"/>
            <w:vAlign w:val="bottom"/>
            <w:gridSpan w:val="3"/>
          </w:tcPr>
          <w:p>
            <w:pPr>
              <w:jc w:val="right"/>
              <w:ind w:right="501"/>
              <w:spacing w:after="0"/>
              <w:rPr>
                <w:sz w:val="20"/>
                <w:szCs w:val="20"/>
                <w:color w:val="auto"/>
              </w:rPr>
            </w:pPr>
            <w:r>
              <w:rPr>
                <w:rFonts w:ascii="Arial" w:cs="Arial" w:eastAsia="Arial" w:hAnsi="Arial"/>
                <w:sz w:val="11"/>
                <w:szCs w:val="11"/>
                <w:b w:val="1"/>
                <w:bCs w:val="1"/>
                <w:color w:val="auto"/>
                <w:w w:val="74"/>
              </w:rPr>
              <w:t>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Accrued Royalty and License Fees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Accrued Payroll and Employee Benefits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5"/>
          </w:tcPr>
          <w:p>
            <w:pPr>
              <w:jc w:val="right"/>
              <w:ind w:right="83"/>
              <w:spacing w:after="0"/>
              <w:rPr>
                <w:sz w:val="20"/>
                <w:szCs w:val="20"/>
                <w:color w:val="auto"/>
              </w:rPr>
            </w:pPr>
            <w:r>
              <w:rPr>
                <w:rFonts w:ascii="Arial" w:cs="Arial" w:eastAsia="Arial" w:hAnsi="Arial"/>
                <w:sz w:val="16"/>
                <w:szCs w:val="16"/>
                <w:color w:val="auto"/>
              </w:rPr>
              <w:t>4,284</w:t>
            </w: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3,515</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Accrued Research and Development Contract Costs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83"/>
              <w:spacing w:after="0"/>
              <w:rPr>
                <w:sz w:val="20"/>
                <w:szCs w:val="20"/>
                <w:color w:val="auto"/>
              </w:rPr>
            </w:pPr>
            <w:r>
              <w:rPr>
                <w:rFonts w:ascii="Arial" w:cs="Arial" w:eastAsia="Arial" w:hAnsi="Arial"/>
                <w:sz w:val="16"/>
                <w:szCs w:val="16"/>
                <w:color w:val="auto"/>
              </w:rPr>
              <w:t>12,696</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11,840</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Accrued Professional Fees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3"/>
          </w:tcPr>
          <w:p>
            <w:pPr>
              <w:jc w:val="right"/>
              <w:ind w:right="83"/>
              <w:spacing w:after="0"/>
              <w:rPr>
                <w:sz w:val="20"/>
                <w:szCs w:val="20"/>
                <w:color w:val="auto"/>
              </w:rPr>
            </w:pPr>
            <w:r>
              <w:rPr>
                <w:rFonts w:ascii="Arial" w:cs="Arial" w:eastAsia="Arial" w:hAnsi="Arial"/>
                <w:sz w:val="16"/>
                <w:szCs w:val="16"/>
                <w:color w:val="auto"/>
                <w:w w:val="82"/>
              </w:rPr>
              <w:t>490</w:t>
            </w: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Other Accrued Expenses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83"/>
              <w:spacing w:after="0"/>
              <w:rPr>
                <w:sz w:val="20"/>
                <w:szCs w:val="20"/>
                <w:color w:val="auto"/>
              </w:rPr>
            </w:pPr>
            <w:r>
              <w:rPr>
                <w:rFonts w:ascii="Arial" w:cs="Arial" w:eastAsia="Arial" w:hAnsi="Arial"/>
                <w:sz w:val="16"/>
                <w:szCs w:val="16"/>
                <w:color w:val="auto"/>
              </w:rPr>
              <w:t>1,826</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193"/>
        </w:trPr>
        <w:tc>
          <w:tcPr>
            <w:tcW w:w="17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19,296</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17,179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(9) OTHER LONG-TERM LIABILITIES</w:t>
            </w: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0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020" w:type="dxa"/>
            <w:vAlign w:val="bottom"/>
            <w:gridSpan w:val="2"/>
          </w:tcPr>
          <w:p>
            <w:pPr>
              <w:ind w:left="320"/>
              <w:spacing w:after="0"/>
              <w:rPr>
                <w:sz w:val="20"/>
                <w:szCs w:val="20"/>
                <w:color w:val="auto"/>
              </w:rPr>
            </w:pPr>
            <w:r>
              <w:rPr>
                <w:rFonts w:ascii="Arial" w:cs="Arial" w:eastAsia="Arial" w:hAnsi="Arial"/>
                <w:sz w:val="16"/>
                <w:szCs w:val="16"/>
                <w:color w:val="auto"/>
              </w:rPr>
              <w:t>Other long-term liabilities include the following:</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7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w w:val="92"/>
              </w:rPr>
              <w:t>December 31, 2014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3"/>
                <w:szCs w:val="13"/>
                <w:b w:val="1"/>
                <w:bCs w:val="1"/>
                <w:color w:val="auto"/>
                <w:w w:val="92"/>
              </w:rPr>
              <w:t>December 31, 2013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180"/>
              <w:spacing w:after="0" w:line="130" w:lineRule="exact"/>
              <w:rPr>
                <w:sz w:val="20"/>
                <w:szCs w:val="20"/>
                <w:color w:val="auto"/>
              </w:rPr>
            </w:pPr>
            <w:r>
              <w:rPr>
                <w:rFonts w:ascii="Arial" w:cs="Arial" w:eastAsia="Arial" w:hAnsi="Arial"/>
                <w:sz w:val="13"/>
                <w:szCs w:val="13"/>
                <w:b w:val="1"/>
                <w:bCs w:val="1"/>
                <w:color w:val="auto"/>
              </w:rPr>
              <w:t>(In</w:t>
            </w:r>
          </w:p>
        </w:tc>
        <w:tc>
          <w:tcPr>
            <w:tcW w:w="540" w:type="dxa"/>
            <w:vAlign w:val="bottom"/>
            <w:gridSpan w:val="5"/>
          </w:tcPr>
          <w:p>
            <w:pPr>
              <w:jc w:val="right"/>
              <w:spacing w:after="0"/>
              <w:rPr>
                <w:sz w:val="20"/>
                <w:szCs w:val="20"/>
                <w:color w:val="auto"/>
              </w:rPr>
            </w:pPr>
            <w:r>
              <w:rPr>
                <w:rFonts w:ascii="Arial" w:cs="Arial" w:eastAsia="Arial" w:hAnsi="Arial"/>
                <w:sz w:val="11"/>
                <w:szCs w:val="11"/>
                <w:b w:val="1"/>
                <w:bCs w:val="1"/>
                <w:color w:val="auto"/>
                <w:w w:val="74"/>
              </w:rPr>
              <w:t>thousands)</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Deferred Rent</w:t>
            </w:r>
          </w:p>
        </w:tc>
        <w:tc>
          <w:tcPr>
            <w:tcW w:w="600" w:type="dxa"/>
            <w:vAlign w:val="bottom"/>
            <w:shd w:val="clear" w:color="auto" w:fill="CCEEFF"/>
          </w:tcPr>
          <w:p>
            <w:pPr>
              <w:jc w:val="right"/>
              <w:ind w:right="423"/>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482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Net Deferred Tax Liability related to IPR&amp;D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3"/>
              <w:spacing w:after="0"/>
              <w:rPr>
                <w:sz w:val="20"/>
                <w:szCs w:val="20"/>
                <w:color w:val="auto"/>
              </w:rPr>
            </w:pPr>
            <w:r>
              <w:rPr>
                <w:rFonts w:ascii="Arial" w:cs="Arial" w:eastAsia="Arial" w:hAnsi="Arial"/>
                <w:sz w:val="16"/>
                <w:szCs w:val="16"/>
                <w:color w:val="auto"/>
              </w:rPr>
              <w:t>4,661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4,661</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from Sale of Tax Benefits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4,015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Deferred Revenue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3"/>
              <w:spacing w:after="0"/>
              <w:rPr>
                <w:sz w:val="20"/>
                <w:szCs w:val="20"/>
                <w:color w:val="auto"/>
              </w:rPr>
            </w:pPr>
            <w:r>
              <w:rPr>
                <w:rFonts w:ascii="Arial" w:cs="Arial" w:eastAsia="Arial" w:hAnsi="Arial"/>
                <w:sz w:val="16"/>
                <w:szCs w:val="16"/>
                <w:color w:val="auto"/>
              </w:rPr>
              <w:t>5,297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720" w:type="dxa"/>
            <w:vAlign w:val="bottom"/>
          </w:tcPr>
          <w:p>
            <w:pPr>
              <w:spacing w:after="0"/>
              <w:rPr>
                <w:sz w:val="16"/>
                <w:szCs w:val="16"/>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w w:val="98"/>
              </w:rPr>
              <w:t>14,455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7,878</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6"/>
                <w:szCs w:val="16"/>
                <w:color w:val="auto"/>
              </w:rPr>
              <w:t>Less Current Portion</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(2,592)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7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Long-Term Portion</w:t>
            </w:r>
          </w:p>
        </w:tc>
        <w:tc>
          <w:tcPr>
            <w:tcW w:w="600" w:type="dxa"/>
            <w:vAlign w:val="bottom"/>
            <w:shd w:val="clear" w:color="auto" w:fill="CCEEFF"/>
          </w:tcPr>
          <w:p>
            <w:pPr>
              <w:jc w:val="right"/>
              <w:ind w:right="423"/>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w w:val="98"/>
              </w:rPr>
              <w:t>11,863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6,950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firstLine="325"/>
        <w:spacing w:after="0" w:line="268" w:lineRule="auto"/>
        <w:rPr>
          <w:sz w:val="20"/>
          <w:szCs w:val="20"/>
          <w:color w:val="auto"/>
        </w:rPr>
      </w:pPr>
      <w:r>
        <w:rPr>
          <w:rFonts w:ascii="Arial" w:cs="Arial" w:eastAsia="Arial" w:hAnsi="Arial"/>
          <w:sz w:val="16"/>
          <w:szCs w:val="16"/>
          <w:color w:val="auto"/>
        </w:rPr>
        <w:t>In December 2014, January 2014, January 2013, January 2012 and January 2011, the Company received approval from the New Jersey Economic Development Authority and agreed to sell New Jersey tax benefits of $1.9 million, $1.1 million, $0.8 million, $0.8 million and $0.6 million to an independent third party for $1.8 million, $1.0 million, $0.8 million, $0.7 million and $0.5 million, respectively. Under the agreement, the Company must maintain a base of operations in New Jersey for five years or the tax benefits must be paid back on a pro-rata basis based on the number of years completed. During the years ended December 31, 2014 and 2013, the Company recorded $0.4 million and $0.2 million to other income related to the sale of these tax benefits, respectively.</w:t>
      </w:r>
    </w:p>
    <w:p>
      <w:pPr>
        <w:spacing w:after="0" w:line="173" w:lineRule="exact"/>
        <w:rPr>
          <w:sz w:val="20"/>
          <w:szCs w:val="20"/>
          <w:color w:val="auto"/>
        </w:rPr>
      </w:pPr>
    </w:p>
    <w:p>
      <w:pPr>
        <w:ind w:right="40" w:firstLine="325"/>
        <w:spacing w:after="0" w:line="268" w:lineRule="auto"/>
        <w:rPr>
          <w:sz w:val="20"/>
          <w:szCs w:val="20"/>
          <w:color w:val="auto"/>
        </w:rPr>
      </w:pPr>
      <w:r>
        <w:rPr>
          <w:rFonts w:ascii="Arial" w:cs="Arial" w:eastAsia="Arial" w:hAnsi="Arial"/>
          <w:sz w:val="16"/>
          <w:szCs w:val="16"/>
          <w:color w:val="auto"/>
        </w:rPr>
        <w:t>In September 2013, the Company entered into an agreement with Rockefeller University pursuant to which the Company will perform research and development services for Rockefeller. The agreement includes an approved project plan for the development services of $4.8 million and a term of three years. The agreement included an upfront payment of $1.3 million which is being recognized as revenue over the term of the agreement. The Company bills Rockefeller quarterly for actual time and direct costs incurred and records those amounts to revenue in the quarter the services are performed. The Company recorded $2.7 million and $1.4 million in revenue related to the Rockefeller agreement during the years ended December 31, 2014 and 2013, respectively.</w:t>
      </w:r>
    </w:p>
    <w:p>
      <w:pPr>
        <w:spacing w:after="0" w:line="173" w:lineRule="exact"/>
        <w:rPr>
          <w:sz w:val="20"/>
          <w:szCs w:val="20"/>
          <w:color w:val="auto"/>
        </w:rPr>
      </w:pPr>
    </w:p>
    <w:p>
      <w:pPr>
        <w:ind w:right="300" w:firstLine="325"/>
        <w:spacing w:after="0" w:line="290" w:lineRule="auto"/>
        <w:rPr>
          <w:sz w:val="20"/>
          <w:szCs w:val="20"/>
          <w:color w:val="auto"/>
        </w:rPr>
      </w:pPr>
      <w:r>
        <w:rPr>
          <w:rFonts w:ascii="Arial" w:cs="Arial" w:eastAsia="Arial" w:hAnsi="Arial"/>
          <w:sz w:val="16"/>
          <w:szCs w:val="16"/>
          <w:color w:val="auto"/>
        </w:rPr>
        <w:t>In May 2014, the Company entered into a clinical trial collaboration with Bristol-Myers Squibb Company ("BMS") to evaluate the safety, tolerability and preliminary efficacy of varlilumab and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OTHER LONG-TERM LIABILITIES (Continued)</w:t>
      </w:r>
    </w:p>
    <w:p>
      <w:pPr>
        <w:spacing w:after="0" w:line="221" w:lineRule="exact"/>
        <w:rPr>
          <w:sz w:val="20"/>
          <w:szCs w:val="20"/>
          <w:color w:val="auto"/>
        </w:rPr>
      </w:pPr>
    </w:p>
    <w:p>
      <w:pPr>
        <w:ind w:right="120"/>
        <w:spacing w:after="0" w:line="262" w:lineRule="auto"/>
        <w:rPr>
          <w:sz w:val="20"/>
          <w:szCs w:val="20"/>
          <w:color w:val="auto"/>
        </w:rPr>
      </w:pPr>
      <w:r>
        <w:rPr>
          <w:rFonts w:ascii="Arial" w:cs="Arial" w:eastAsia="Arial" w:hAnsi="Arial"/>
          <w:sz w:val="15"/>
          <w:szCs w:val="15"/>
          <w:color w:val="auto"/>
        </w:rPr>
        <w:t xml:space="preserve">Opdivo®, BMS's PD-1 immune checkpoint inhibitor, in a Phase </w:t>
      </w:r>
      <w:r>
        <w:rPr>
          <w:rFonts w:ascii="Arial" w:cs="Arial" w:eastAsia="Arial" w:hAnsi="Arial"/>
          <w:sz w:val="25"/>
          <w:szCs w:val="25"/>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study. Under the terms of this clinical trial collaboration, BMS made a one-time payment to the Company of $5.0 million and BMS and the Company amended the terms of the Company's existing license agreement with Medarex (a subsidiary of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 antagonist antibody and anti-CD27 agonist antibody combination regimens. The clinical trial collaboration provides that the companies will share development costs and that the Company will be responsible for conducting the ongoing Phase 1/2 study.</w:t>
      </w:r>
    </w:p>
    <w:p>
      <w:pPr>
        <w:spacing w:after="0" w:line="181" w:lineRule="exact"/>
        <w:rPr>
          <w:sz w:val="20"/>
          <w:szCs w:val="20"/>
          <w:color w:val="auto"/>
        </w:rPr>
      </w:pPr>
    </w:p>
    <w:p>
      <w:pPr>
        <w:ind w:right="40" w:firstLine="322"/>
        <w:spacing w:after="0" w:line="287" w:lineRule="auto"/>
        <w:rPr>
          <w:sz w:val="20"/>
          <w:szCs w:val="20"/>
          <w:color w:val="auto"/>
        </w:rPr>
      </w:pPr>
      <w:r>
        <w:rPr>
          <w:rFonts w:ascii="Arial" w:cs="Arial" w:eastAsia="Arial" w:hAnsi="Arial"/>
          <w:sz w:val="15"/>
          <w:szCs w:val="15"/>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$5.0 million up-front payment was initially recorded as deferred revenue and is being recognized as revenue on a straight-line basis over the estimated 5-year performance period using the Contingency Adjusted Performance Model ("CAPM"). The BMS agreement also provides for BMS to reimburse the Company for 50% of the external costs incurred by the Company in connection with the clinical trial. These BMS payments will be recognized as revenue under the CAPM. The Company recorded $0.7 million in revenue related to the BMS agreement during the year ended December 31, 2014.</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TERM LOAN</w:t>
      </w:r>
    </w:p>
    <w:p>
      <w:pPr>
        <w:spacing w:after="0" w:line="220" w:lineRule="exact"/>
        <w:rPr>
          <w:sz w:val="20"/>
          <w:szCs w:val="20"/>
          <w:color w:val="auto"/>
        </w:rPr>
      </w:pPr>
    </w:p>
    <w:p>
      <w:pPr>
        <w:ind w:firstLine="325"/>
        <w:spacing w:after="0" w:line="287" w:lineRule="auto"/>
        <w:rPr>
          <w:sz w:val="20"/>
          <w:szCs w:val="20"/>
          <w:color w:val="auto"/>
        </w:rPr>
      </w:pPr>
      <w:r>
        <w:rPr>
          <w:rFonts w:ascii="Arial" w:cs="Arial" w:eastAsia="Arial" w:hAnsi="Arial"/>
          <w:sz w:val="15"/>
          <w:szCs w:val="15"/>
          <w:color w:val="auto"/>
        </w:rPr>
        <w:t>In December 2010, the Company entered into a loan and security agreement pursuant to which the Company borrowed $10.0 million under a term loan. In March 2011, the Company amended the loan agreement and borrowed an additional $5.0 million. In May 2013, the Company elected to prepay the outstanding principal under the term loan in full, pursuant to the terms of its loan agreement, as amended, and paid $8.8 million in principal and $0.7 million in interest, prepayment and final payment fees. The Company's obligations under the loan agreement had been collateralized by a first priority security interest in substantially all of its assets, other than its intellectual property. In connection with the repayment of the term loan and the termination of the loan agreement, those security interests were released. Interest expense on the term loan was $0.8 million and $1.5 million for the years ended December 31, 2013 and 2012,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STOCKHOLDERS'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Common Stock</w:t>
      </w:r>
    </w:p>
    <w:p>
      <w:pPr>
        <w:spacing w:after="0" w:line="216" w:lineRule="exact"/>
        <w:rPr>
          <w:sz w:val="20"/>
          <w:szCs w:val="20"/>
          <w:color w:val="auto"/>
        </w:rPr>
      </w:pPr>
    </w:p>
    <w:p>
      <w:pPr>
        <w:ind w:right="80" w:firstLine="325"/>
        <w:spacing w:after="0" w:line="290" w:lineRule="auto"/>
        <w:rPr>
          <w:sz w:val="20"/>
          <w:szCs w:val="20"/>
          <w:color w:val="auto"/>
        </w:rPr>
      </w:pPr>
      <w:r>
        <w:rPr>
          <w:rFonts w:ascii="Arial" w:cs="Arial" w:eastAsia="Arial" w:hAnsi="Arial"/>
          <w:sz w:val="16"/>
          <w:szCs w:val="16"/>
          <w:color w:val="auto"/>
        </w:rPr>
        <w:t>In December 2013, the Company filed an automatic shelf registration statement with the Securities and Exchange Commission to register for sale any combination of the types of securities described in the shelf registration statement.</w:t>
      </w:r>
    </w:p>
    <w:p>
      <w:pPr>
        <w:spacing w:after="0" w:line="156" w:lineRule="exact"/>
        <w:rPr>
          <w:sz w:val="20"/>
          <w:szCs w:val="20"/>
          <w:color w:val="auto"/>
        </w:rPr>
      </w:pPr>
    </w:p>
    <w:p>
      <w:pPr>
        <w:ind w:right="120" w:firstLine="325"/>
        <w:spacing w:after="0" w:line="290" w:lineRule="auto"/>
        <w:rPr>
          <w:sz w:val="20"/>
          <w:szCs w:val="20"/>
          <w:color w:val="auto"/>
        </w:rPr>
      </w:pPr>
      <w:r>
        <w:rPr>
          <w:rFonts w:ascii="Arial" w:cs="Arial" w:eastAsia="Arial" w:hAnsi="Arial"/>
          <w:sz w:val="16"/>
          <w:szCs w:val="16"/>
          <w:color w:val="auto"/>
        </w:rPr>
        <w:t>During the years ended December 31, 2013 and 2012, Company issued 21,613,483 and 12,075,000 shares of its common stock in underwritten public offerings resulting in net proceeds to the Company of $278.6 million and $43.5 million, after deducting underwriting fees and offering expenses, respectively.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STOCKHOLDERS' EQUITY (Continued)</w:t>
      </w:r>
    </w:p>
    <w:p>
      <w:pPr>
        <w:spacing w:after="0" w:line="220" w:lineRule="exact"/>
        <w:rPr>
          <w:sz w:val="20"/>
          <w:szCs w:val="20"/>
          <w:color w:val="auto"/>
        </w:rPr>
      </w:pPr>
    </w:p>
    <w:p>
      <w:pPr>
        <w:jc w:val="both"/>
        <w:ind w:right="160" w:firstLine="325"/>
        <w:spacing w:after="0" w:line="275" w:lineRule="auto"/>
        <w:rPr>
          <w:sz w:val="20"/>
          <w:szCs w:val="20"/>
          <w:color w:val="auto"/>
        </w:rPr>
      </w:pPr>
      <w:r>
        <w:rPr>
          <w:rFonts w:ascii="Arial" w:cs="Arial" w:eastAsia="Arial" w:hAnsi="Arial"/>
          <w:sz w:val="16"/>
          <w:szCs w:val="16"/>
          <w:color w:val="auto"/>
        </w:rPr>
        <w:t>During the years ended December 31, 2013 and 2012, Company issued 2,433,608 and 8,003,290 shares of its common stock under our controlled equity offering sales agreement with Cantor Fitzgerald &amp; Co., as amended, resulting in net proceeds to the Company of $17.1 million and $40.1 million, after deducting commission and offering expenses, respectively.</w:t>
      </w:r>
    </w:p>
    <w:p>
      <w:pPr>
        <w:spacing w:after="0" w:line="168" w:lineRule="exact"/>
        <w:rPr>
          <w:sz w:val="20"/>
          <w:szCs w:val="20"/>
          <w:color w:val="auto"/>
        </w:rPr>
      </w:pPr>
    </w:p>
    <w:p>
      <w:pPr>
        <w:ind w:right="100" w:firstLine="325"/>
        <w:spacing w:after="0" w:line="290" w:lineRule="auto"/>
        <w:rPr>
          <w:sz w:val="20"/>
          <w:szCs w:val="20"/>
          <w:color w:val="auto"/>
        </w:rPr>
      </w:pPr>
      <w:r>
        <w:rPr>
          <w:rFonts w:ascii="Arial" w:cs="Arial" w:eastAsia="Arial" w:hAnsi="Arial"/>
          <w:sz w:val="15"/>
          <w:szCs w:val="15"/>
          <w:color w:val="auto"/>
        </w:rPr>
        <w:t>During the year ended December 31, 2014, the Company entered into an amended and restated supply agreement with Biosyn Corporation. Under the supply agreement, Biosyn will manufacture and supply keyhole limpet hemocyanin (KLH) to the Company for use in connection with the development, manufacture or commercial sale of rindopepimut. In connection with the supply agreement, the Company issued to Biosyn 152,172 shares of its common stock having a value of $2.0 million. The Company is recording the $2.0 million to research and development expense through August 2021, the current term of the supply agreement. At December 31, 2014, the Company recorded $0.3 million and $1.6 million to prepaid assets and other assets related to this stock issuance,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Convertible Preferred Stock</w:t>
      </w:r>
    </w:p>
    <w:p>
      <w:pPr>
        <w:spacing w:after="0" w:line="216" w:lineRule="exact"/>
        <w:rPr>
          <w:sz w:val="20"/>
          <w:szCs w:val="20"/>
          <w:color w:val="auto"/>
        </w:rPr>
      </w:pPr>
    </w:p>
    <w:p>
      <w:pPr>
        <w:ind w:right="240" w:firstLine="316"/>
        <w:spacing w:after="0" w:line="290" w:lineRule="auto"/>
        <w:rPr>
          <w:sz w:val="20"/>
          <w:szCs w:val="20"/>
          <w:color w:val="auto"/>
        </w:rPr>
      </w:pPr>
      <w:r>
        <w:rPr>
          <w:rFonts w:ascii="Arial" w:cs="Arial" w:eastAsia="Arial" w:hAnsi="Arial"/>
          <w:sz w:val="16"/>
          <w:szCs w:val="16"/>
          <w:color w:val="auto"/>
        </w:rPr>
        <w:t>At December 31, 2014, the Company had authorized 3,000,000 shares of preferred stock all of which have been designated Class C Preferred Stock including 350,000 shares which have been designated Series C-1 Junior Participating Cumulative Preferred Stock (the "Series C-1 Preferred Stock").</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STOCK-BASED COMPENSATION</w:t>
      </w:r>
    </w:p>
    <w:p>
      <w:pPr>
        <w:spacing w:after="0" w:line="220" w:lineRule="exact"/>
        <w:rPr>
          <w:sz w:val="20"/>
          <w:szCs w:val="20"/>
          <w:color w:val="auto"/>
        </w:rPr>
      </w:pPr>
    </w:p>
    <w:p>
      <w:pPr>
        <w:ind w:right="80" w:firstLine="322"/>
        <w:spacing w:after="0" w:line="275" w:lineRule="auto"/>
        <w:rPr>
          <w:sz w:val="20"/>
          <w:szCs w:val="20"/>
          <w:color w:val="auto"/>
        </w:rPr>
      </w:pPr>
      <w:r>
        <w:rPr>
          <w:rFonts w:ascii="Arial" w:cs="Arial" w:eastAsia="Arial" w:hAnsi="Arial"/>
          <w:sz w:val="16"/>
          <w:szCs w:val="16"/>
          <w:color w:val="auto"/>
        </w:rPr>
        <w:t>The Company has the following stock-based compensation plans: the 2004 Employee Stock Purchase Plan (the "2004 ESPP Plan"), the 2008 Stock Option and Incentive Plan (the "2008 Plan"), Celldex Research's 2005 Equity Incentive Plan (the "Celldex Research 2005 Plan") and CuraGen 2007 Stock Plan (the "CuraGen 2007 Plan"). There are no shares available for future grant under the Celldex Research 2005 Plan and CuraGen 2007 Plan.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Stock Purchase Plan</w:t>
      </w:r>
    </w:p>
    <w:p>
      <w:pPr>
        <w:spacing w:after="0" w:line="216" w:lineRule="exact"/>
        <w:rPr>
          <w:sz w:val="20"/>
          <w:szCs w:val="20"/>
          <w:color w:val="auto"/>
        </w:rPr>
      </w:pPr>
    </w:p>
    <w:p>
      <w:pPr>
        <w:ind w:right="20" w:firstLine="316"/>
        <w:spacing w:after="0" w:line="294" w:lineRule="auto"/>
        <w:rPr>
          <w:sz w:val="20"/>
          <w:szCs w:val="20"/>
          <w:color w:val="auto"/>
        </w:rPr>
      </w:pPr>
      <w:r>
        <w:rPr>
          <w:rFonts w:ascii="Arial" w:cs="Arial" w:eastAsia="Arial" w:hAnsi="Arial"/>
          <w:sz w:val="15"/>
          <w:szCs w:val="15"/>
          <w:color w:val="auto"/>
        </w:rPr>
        <w:t>At December 31, 2014, a total of 200,000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2014 and 2013, the Company issued 10,798 and 11,823 shares under the 2004 ESPP Plan, respectively. At December 31, 2014, 153,326 shares were available for issuance under the 2004 ESPP Plan.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Stock Option and Incentive Plan</w:t>
      </w:r>
    </w:p>
    <w:p>
      <w:pPr>
        <w:spacing w:after="0" w:line="216" w:lineRule="exact"/>
        <w:rPr>
          <w:sz w:val="20"/>
          <w:szCs w:val="20"/>
          <w:color w:val="auto"/>
        </w:rPr>
      </w:pPr>
    </w:p>
    <w:p>
      <w:pPr>
        <w:ind w:right="120" w:firstLine="322"/>
        <w:spacing w:after="0" w:line="275" w:lineRule="auto"/>
        <w:rPr>
          <w:sz w:val="20"/>
          <w:szCs w:val="20"/>
          <w:color w:val="auto"/>
        </w:rPr>
      </w:pPr>
      <w:r>
        <w:rPr>
          <w:rFonts w:ascii="Arial" w:cs="Arial" w:eastAsia="Arial" w:hAnsi="Arial"/>
          <w:sz w:val="16"/>
          <w:szCs w:val="16"/>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non-employee directors.</w:t>
      </w:r>
    </w:p>
    <w:p>
      <w:pPr>
        <w:spacing w:after="0" w:line="168" w:lineRule="exact"/>
        <w:rPr>
          <w:sz w:val="20"/>
          <w:szCs w:val="20"/>
          <w:color w:val="auto"/>
        </w:rPr>
      </w:pPr>
    </w:p>
    <w:p>
      <w:pPr>
        <w:ind w:firstLine="316"/>
        <w:spacing w:after="0" w:line="290" w:lineRule="auto"/>
        <w:rPr>
          <w:sz w:val="20"/>
          <w:szCs w:val="20"/>
          <w:color w:val="auto"/>
        </w:rPr>
      </w:pPr>
      <w:r>
        <w:rPr>
          <w:rFonts w:ascii="Arial" w:cs="Arial" w:eastAsia="Arial" w:hAnsi="Arial"/>
          <w:sz w:val="16"/>
          <w:szCs w:val="16"/>
          <w:color w:val="auto"/>
        </w:rPr>
        <w:t>At December 31, 2014, the 2008 Plan allowed for a maximum of 7,400,000 shares of common stock to be issued for grants of Stock Options and other Awards made prior to March 7, 2018 and grants of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STOCK-BASED COMPENSATION (Continued)</w:t>
      </w:r>
    </w:p>
    <w:p>
      <w:pPr>
        <w:spacing w:after="0" w:line="220" w:lineRule="exact"/>
        <w:rPr>
          <w:sz w:val="20"/>
          <w:szCs w:val="20"/>
          <w:color w:val="auto"/>
        </w:rPr>
      </w:pPr>
    </w:p>
    <w:p>
      <w:pPr>
        <w:ind w:right="80"/>
        <w:spacing w:after="0" w:line="315" w:lineRule="auto"/>
        <w:rPr>
          <w:sz w:val="20"/>
          <w:szCs w:val="20"/>
          <w:color w:val="auto"/>
        </w:rPr>
      </w:pPr>
      <w:r>
        <w:rPr>
          <w:rFonts w:ascii="Arial" w:cs="Arial" w:eastAsia="Arial" w:hAnsi="Arial"/>
          <w:sz w:val="14"/>
          <w:szCs w:val="14"/>
          <w:color w:val="auto"/>
        </w:rPr>
        <w:t>Incentive Stock Options made prior to October 20, 2017.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is accelerated upon a change in control as defined in the 2008 Plan.</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summary of stock option activity for the year ended December 31, 2014 is as follows: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Weighted</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Weighted</w:t>
            </w:r>
          </w:p>
        </w:tc>
        <w:tc>
          <w:tcPr>
            <w:tcW w:w="0" w:type="dxa"/>
            <w:vAlign w:val="bottom"/>
          </w:tcPr>
          <w:p>
            <w:pPr>
              <w:spacing w:after="0"/>
              <w:rPr>
                <w:sz w:val="1"/>
                <w:szCs w:val="1"/>
                <w:color w:val="auto"/>
              </w:rPr>
            </w:pPr>
          </w:p>
        </w:tc>
      </w:tr>
      <w:tr>
        <w:trPr>
          <w:trHeight w:val="138"/>
        </w:trPr>
        <w:tc>
          <w:tcPr>
            <w:tcW w:w="6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5"/>
              </w:rPr>
              <w:t>Average</w:t>
            </w:r>
          </w:p>
        </w:tc>
        <w:tc>
          <w:tcPr>
            <w:tcW w:w="116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38"/>
        </w:trPr>
        <w:tc>
          <w:tcPr>
            <w:tcW w:w="6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5"/>
              </w:rPr>
              <w:t>Exercise</w:t>
            </w:r>
          </w:p>
        </w:tc>
        <w:tc>
          <w:tcPr>
            <w:tcW w:w="116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38"/>
        </w:trPr>
        <w:tc>
          <w:tcPr>
            <w:tcW w:w="6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7"/>
              </w:rPr>
              <w:t>Price</w:t>
            </w:r>
          </w:p>
        </w:tc>
        <w:tc>
          <w:tcPr>
            <w:tcW w:w="116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1"/>
              </w:rPr>
              <w:t>Contractual</w:t>
            </w:r>
          </w:p>
        </w:tc>
        <w:tc>
          <w:tcPr>
            <w:tcW w:w="0" w:type="dxa"/>
            <w:vAlign w:val="bottom"/>
          </w:tcPr>
          <w:p>
            <w:pPr>
              <w:spacing w:after="0"/>
              <w:rPr>
                <w:sz w:val="1"/>
                <w:szCs w:val="1"/>
                <w:color w:val="auto"/>
              </w:rPr>
            </w:pPr>
          </w:p>
        </w:tc>
      </w:tr>
      <w:tr>
        <w:trPr>
          <w:trHeight w:val="150"/>
        </w:trPr>
        <w:tc>
          <w:tcPr>
            <w:tcW w:w="6220" w:type="dxa"/>
            <w:vAlign w:val="bottom"/>
          </w:tcPr>
          <w:p>
            <w:pPr>
              <w:spacing w:after="0"/>
              <w:rPr>
                <w:sz w:val="13"/>
                <w:szCs w:val="13"/>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Per Share</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Term (In Years)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Options Outstanding at December 31, 2013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5,770,544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0"/>
        </w:trPr>
        <w:tc>
          <w:tcPr>
            <w:tcW w:w="6220" w:type="dxa"/>
            <w:vAlign w:val="bottom"/>
          </w:tcPr>
          <w:p>
            <w:pPr>
              <w:spacing w:after="0"/>
              <w:rPr>
                <w:sz w:val="20"/>
                <w:szCs w:val="20"/>
                <w:color w:val="auto"/>
              </w:rPr>
            </w:pPr>
            <w:r>
              <w:rPr>
                <w:rFonts w:ascii="Arial" w:cs="Arial" w:eastAsia="Arial" w:hAnsi="Arial"/>
                <w:sz w:val="16"/>
                <w:szCs w:val="16"/>
                <w:color w:val="auto"/>
              </w:rPr>
              <w:t>Granted</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1,456,800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13.69</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(169,977)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6.00</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20" w:type="dxa"/>
            <w:vAlign w:val="bottom"/>
          </w:tcPr>
          <w:p>
            <w:pPr>
              <w:spacing w:after="0"/>
              <w:rPr>
                <w:sz w:val="20"/>
                <w:szCs w:val="20"/>
                <w:color w:val="auto"/>
              </w:rPr>
            </w:pPr>
            <w:r>
              <w:rPr>
                <w:rFonts w:ascii="Arial" w:cs="Arial" w:eastAsia="Arial" w:hAnsi="Arial"/>
                <w:sz w:val="16"/>
                <w:szCs w:val="16"/>
                <w:color w:val="auto"/>
              </w:rPr>
              <w:t>Canceled</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(42,017)</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13.10</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Options Outstanding at December 31, 2014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7,015,350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9.34</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6"/>
                <w:szCs w:val="16"/>
                <w:color w:val="auto"/>
              </w:rPr>
              <w:t>Options Vested and Expected to Vest at December 31, 2014</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9.31</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line="20" w:lineRule="exact"/>
              <w:rPr>
                <w:sz w:val="1"/>
                <w:szCs w:val="1"/>
                <w:color w:val="auto"/>
              </w:rPr>
            </w:pPr>
          </w:p>
        </w:tc>
      </w:tr>
      <w:tr>
        <w:trPr>
          <w:trHeight w:val="178"/>
        </w:trPr>
        <w:tc>
          <w:tcPr>
            <w:tcW w:w="6220" w:type="dxa"/>
            <w:vAlign w:val="bottom"/>
            <w:vMerge w:val="continue"/>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6,963,570</w:t>
            </w:r>
          </w:p>
        </w:tc>
        <w:tc>
          <w:tcPr>
            <w:tcW w:w="1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Options Exercisable at December 31, 2014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4,090,112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7.06</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7"/>
        </w:trPr>
        <w:tc>
          <w:tcPr>
            <w:tcW w:w="6220" w:type="dxa"/>
            <w:vAlign w:val="bottom"/>
          </w:tcPr>
          <w:p>
            <w:pPr>
              <w:spacing w:after="0"/>
              <w:rPr>
                <w:sz w:val="20"/>
                <w:szCs w:val="20"/>
                <w:color w:val="auto"/>
              </w:rPr>
            </w:pPr>
            <w:r>
              <w:rPr>
                <w:rFonts w:ascii="Arial" w:cs="Arial" w:eastAsia="Arial" w:hAnsi="Arial"/>
                <w:sz w:val="16"/>
                <w:szCs w:val="16"/>
                <w:color w:val="auto"/>
              </w:rPr>
              <w:t>Shares Available for Grant under the 2008 Plan</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675,159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60" w:firstLine="322"/>
        <w:spacing w:after="0" w:line="270" w:lineRule="auto"/>
        <w:rPr>
          <w:sz w:val="20"/>
          <w:szCs w:val="20"/>
          <w:color w:val="auto"/>
        </w:rPr>
      </w:pPr>
      <w:r>
        <w:rPr>
          <w:rFonts w:ascii="Arial" w:cs="Arial" w:eastAsia="Arial" w:hAnsi="Arial"/>
          <w:sz w:val="16"/>
          <w:szCs w:val="16"/>
          <w:color w:val="auto"/>
        </w:rPr>
        <w:t>The total intrinsic value of stock options exercised during the years ended December 31, 2014, 2013 and 2012 was $2.7 million, $10.0 million and $0.2 million, respectively. The weighted average grant-date fair value of stock options granted during the years ended December 31, 2014, 2013 and 2012 was $8.82, $10.51 and $3.67, respectively. The total fair value of stock options vested during the years ended December 31, 2014, 2013 and 2012 was $5.7 million, $2.4 million and $2.1 million, respectively.</w:t>
      </w:r>
    </w:p>
    <w:p>
      <w:pPr>
        <w:spacing w:after="0" w:line="172" w:lineRule="exact"/>
        <w:rPr>
          <w:sz w:val="20"/>
          <w:szCs w:val="20"/>
          <w:color w:val="auto"/>
        </w:rPr>
      </w:pPr>
    </w:p>
    <w:p>
      <w:pPr>
        <w:jc w:val="both"/>
        <w:ind w:firstLine="322"/>
        <w:spacing w:after="0" w:line="332" w:lineRule="auto"/>
        <w:rPr>
          <w:sz w:val="20"/>
          <w:szCs w:val="20"/>
          <w:color w:val="auto"/>
        </w:rPr>
      </w:pPr>
      <w:r>
        <w:rPr>
          <w:rFonts w:ascii="Arial" w:cs="Arial" w:eastAsia="Arial" w:hAnsi="Arial"/>
          <w:sz w:val="14"/>
          <w:szCs w:val="14"/>
          <w:color w:val="auto"/>
        </w:rPr>
        <w:t>The aggregate intrinsic value of stock options outstanding at December 31, 2014 was $62.8 million. The aggregate intrinsic value of stock options vested and expected to vest at December 31, 2014 was $62.5 million. As of December 31, 2014, total compensation cost related to non-vested employee and non-employee director stock options not yet recognized was approximately $20.3 million, net of estimated forfeitures, which is expected to be recognized as expense over a weighted average period of 2.6 years.</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STOCK-BASED COMPENSATION (Continued)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summary of restricted stock activity under the 2008 Plan for the year ended December 31, 2014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38"/>
        </w:trPr>
        <w:tc>
          <w:tcPr>
            <w:tcW w:w="17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jc w:val="center"/>
              <w:ind w:right="220"/>
              <w:spacing w:after="0" w:line="138"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38"/>
        </w:trPr>
        <w:tc>
          <w:tcPr>
            <w:tcW w:w="17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5"/>
          </w:tcPr>
          <w:p>
            <w:pPr>
              <w:jc w:val="center"/>
              <w:ind w:right="160"/>
              <w:spacing w:after="0" w:line="138" w:lineRule="exact"/>
              <w:rPr>
                <w:sz w:val="20"/>
                <w:szCs w:val="20"/>
                <w:color w:val="auto"/>
              </w:rPr>
            </w:pPr>
            <w:r>
              <w:rPr>
                <w:rFonts w:ascii="Arial" w:cs="Arial" w:eastAsia="Arial" w:hAnsi="Arial"/>
                <w:sz w:val="13"/>
                <w:szCs w:val="13"/>
                <w:b w:val="1"/>
                <w:bCs w:val="1"/>
                <w:color w:val="auto"/>
                <w:w w:val="90"/>
              </w:rPr>
              <w:t>Grant Date</w:t>
            </w:r>
          </w:p>
        </w:tc>
        <w:tc>
          <w:tcPr>
            <w:tcW w:w="0" w:type="dxa"/>
            <w:vAlign w:val="bottom"/>
          </w:tcPr>
          <w:p>
            <w:pPr>
              <w:spacing w:after="0"/>
              <w:rPr>
                <w:sz w:val="1"/>
                <w:szCs w:val="1"/>
                <w:color w:val="auto"/>
              </w:rPr>
            </w:pPr>
          </w:p>
        </w:tc>
      </w:tr>
      <w:tr>
        <w:trPr>
          <w:trHeight w:val="138"/>
        </w:trPr>
        <w:tc>
          <w:tcPr>
            <w:tcW w:w="17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4"/>
          </w:tcPr>
          <w:p>
            <w:pPr>
              <w:jc w:val="center"/>
              <w:ind w:right="220"/>
              <w:spacing w:after="0" w:line="138"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50"/>
        </w:trPr>
        <w:tc>
          <w:tcPr>
            <w:tcW w:w="17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center"/>
              <w:ind w:right="21"/>
              <w:spacing w:after="0"/>
              <w:rPr>
                <w:sz w:val="20"/>
                <w:szCs w:val="20"/>
                <w:color w:val="auto"/>
              </w:rPr>
            </w:pPr>
            <w:r>
              <w:rPr>
                <w:rFonts w:ascii="Arial" w:cs="Arial" w:eastAsia="Arial" w:hAnsi="Arial"/>
                <w:sz w:val="13"/>
                <w:szCs w:val="13"/>
                <w:b w:val="1"/>
                <w:bCs w:val="1"/>
                <w:color w:val="auto"/>
                <w:w w:val="86"/>
              </w:rPr>
              <w:t>(per share)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Outstanding and unvested at December 31, 2013</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6,000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Granted</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6"/>
                <w:szCs w:val="16"/>
                <w:color w:val="auto"/>
              </w:rPr>
              <w:t>14,000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w w:val="93"/>
              </w:rPr>
              <w:t>(12,000)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Canceled</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6"/>
                <w:szCs w:val="16"/>
                <w:color w:val="auto"/>
              </w:rPr>
              <w:t>(1,000)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7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Outstanding and unvested at December 31, 2014</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7,000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Valuation and Expenses Information</w:t>
            </w: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120" w:type="dxa"/>
            <w:vAlign w:val="bottom"/>
            <w:gridSpan w:val="6"/>
          </w:tcPr>
          <w:p>
            <w:pPr>
              <w:jc w:val="right"/>
              <w:ind w:right="200"/>
              <w:spacing w:after="0"/>
              <w:rPr>
                <w:sz w:val="20"/>
                <w:szCs w:val="20"/>
                <w:color w:val="auto"/>
              </w:rPr>
            </w:pPr>
            <w:r>
              <w:rPr>
                <w:rFonts w:ascii="Arial" w:cs="Arial" w:eastAsia="Arial" w:hAnsi="Arial"/>
                <w:sz w:val="16"/>
                <w:szCs w:val="16"/>
                <w:color w:val="auto"/>
                <w:w w:val="93"/>
              </w:rPr>
              <w:t>Stock-based compensation expense for the years ended December 31, 2014, 2013 and 2012 was recorded as follows: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7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6"/>
              </w:rPr>
              <w:t>2013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jc w:val="right"/>
              <w:spacing w:after="0" w:line="130" w:lineRule="exact"/>
              <w:rPr>
                <w:sz w:val="20"/>
                <w:szCs w:val="20"/>
                <w:color w:val="auto"/>
              </w:rPr>
            </w:pPr>
            <w:r>
              <w:rPr>
                <w:rFonts w:ascii="Arial" w:cs="Arial" w:eastAsia="Arial" w:hAnsi="Arial"/>
                <w:sz w:val="13"/>
                <w:szCs w:val="13"/>
                <w:b w:val="1"/>
                <w:bCs w:val="1"/>
                <w:color w:val="auto"/>
                <w:w w:val="75"/>
              </w:rPr>
              <w:t>(In thousands)</w:t>
            </w:r>
          </w:p>
        </w:tc>
        <w:tc>
          <w:tcPr>
            <w:tcW w:w="16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3,459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7"/>
                <w:szCs w:val="1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6"/>
                <w:szCs w:val="16"/>
                <w:color w:val="auto"/>
              </w:rPr>
              <w:t>3,393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720" w:type="dxa"/>
            <w:vAlign w:val="bottom"/>
          </w:tcPr>
          <w:p>
            <w:pPr>
              <w:spacing w:after="0"/>
              <w:rPr>
                <w:sz w:val="16"/>
                <w:szCs w:val="16"/>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Total stock-based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6,852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4,548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2,298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firstLine="322"/>
        <w:spacing w:after="0" w:line="290" w:lineRule="auto"/>
        <w:rPr>
          <w:sz w:val="20"/>
          <w:szCs w:val="20"/>
          <w:color w:val="auto"/>
        </w:rPr>
      </w:pPr>
      <w:r>
        <w:rPr>
          <w:rFonts w:ascii="Arial" w:cs="Arial" w:eastAsia="Arial" w:hAnsi="Arial"/>
          <w:sz w:val="16"/>
          <w:szCs w:val="16"/>
          <w:color w:val="auto"/>
        </w:rPr>
        <w:t>The fair values of employee stock options granted during the years ended December 31, 2014, 2013 and 2012 were valued using the Black-Scholes option-pricing model with the following assumptions: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6"/>
              </w:rPr>
              <w:t>Year Ended</w:t>
            </w:r>
          </w:p>
        </w:tc>
        <w:tc>
          <w:tcPr>
            <w:tcW w:w="1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9"/>
              </w:rPr>
              <w:t>Year Ended</w:t>
            </w:r>
          </w:p>
        </w:tc>
        <w:tc>
          <w:tcPr>
            <w:tcW w:w="16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6"/>
              </w:rPr>
              <w:t>Year Ended</w:t>
            </w:r>
          </w:p>
        </w:tc>
      </w:tr>
      <w:tr>
        <w:trPr>
          <w:trHeight w:val="150"/>
        </w:trPr>
        <w:tc>
          <w:tcPr>
            <w:tcW w:w="554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December 31, 2014</w:t>
            </w:r>
          </w:p>
        </w:tc>
        <w:tc>
          <w:tcPr>
            <w:tcW w:w="14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December 31, 2013</w:t>
            </w:r>
          </w:p>
        </w:tc>
        <w:tc>
          <w:tcPr>
            <w:tcW w:w="16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December 31, 2012</w:t>
            </w:r>
          </w:p>
        </w:tc>
      </w:tr>
      <w:tr>
        <w:trPr>
          <w:trHeight w:val="193"/>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Expected stock price volatility</w:t>
            </w:r>
          </w:p>
        </w:tc>
        <w:tc>
          <w:tcPr>
            <w:tcW w:w="110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rPr>
              <w:t>70 - 72%</w:t>
            </w:r>
          </w:p>
        </w:tc>
        <w:tc>
          <w:tcPr>
            <w:tcW w:w="124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71 - 72%</w:t>
            </w:r>
          </w:p>
        </w:tc>
        <w:tc>
          <w:tcPr>
            <w:tcW w:w="126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70 - 72%</w:t>
            </w:r>
          </w:p>
        </w:tc>
      </w:tr>
      <w:tr>
        <w:trPr>
          <w:trHeight w:val="200"/>
        </w:trPr>
        <w:tc>
          <w:tcPr>
            <w:tcW w:w="5540" w:type="dxa"/>
            <w:vAlign w:val="bottom"/>
          </w:tcPr>
          <w:p>
            <w:pPr>
              <w:spacing w:after="0"/>
              <w:rPr>
                <w:sz w:val="20"/>
                <w:szCs w:val="20"/>
                <w:color w:val="auto"/>
              </w:rPr>
            </w:pPr>
            <w:r>
              <w:rPr>
                <w:rFonts w:ascii="Arial" w:cs="Arial" w:eastAsia="Arial" w:hAnsi="Arial"/>
                <w:sz w:val="16"/>
                <w:szCs w:val="16"/>
                <w:color w:val="auto"/>
              </w:rPr>
              <w:t>Expected option term</w:t>
            </w:r>
          </w:p>
        </w:tc>
        <w:tc>
          <w:tcPr>
            <w:tcW w:w="1100" w:type="dxa"/>
            <w:vAlign w:val="bottom"/>
          </w:tcPr>
          <w:p>
            <w:pPr>
              <w:jc w:val="center"/>
              <w:spacing w:after="0"/>
              <w:rPr>
                <w:sz w:val="20"/>
                <w:szCs w:val="20"/>
                <w:color w:val="auto"/>
              </w:rPr>
            </w:pPr>
            <w:r>
              <w:rPr>
                <w:rFonts w:ascii="Arial" w:cs="Arial" w:eastAsia="Arial" w:hAnsi="Arial"/>
                <w:sz w:val="16"/>
                <w:szCs w:val="16"/>
                <w:color w:val="auto"/>
                <w:w w:val="90"/>
              </w:rPr>
              <w:t>6.0 Years</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6.0 Years</w:t>
            </w:r>
          </w:p>
        </w:tc>
        <w:tc>
          <w:tcPr>
            <w:tcW w:w="1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6.0 Years</w:t>
            </w:r>
          </w:p>
        </w:tc>
      </w:tr>
      <w:tr>
        <w:trPr>
          <w:trHeight w:val="200"/>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1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1.9 - 2.2%</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1.2 - 2.1%</w:t>
            </w:r>
          </w:p>
        </w:tc>
        <w:tc>
          <w:tcPr>
            <w:tcW w:w="126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0.9 - 1.4%</w:t>
            </w:r>
          </w:p>
        </w:tc>
      </w:tr>
      <w:tr>
        <w:trPr>
          <w:trHeight w:val="207"/>
        </w:trPr>
        <w:tc>
          <w:tcPr>
            <w:tcW w:w="554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10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None</w:t>
            </w:r>
          </w:p>
        </w:tc>
        <w:tc>
          <w:tcPr>
            <w:tcW w:w="1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8"/>
              </w:rPr>
              <w:t>None</w:t>
            </w:r>
          </w:p>
        </w:tc>
      </w:tr>
    </w:tbl>
    <w:p>
      <w:pPr>
        <w:spacing w:after="0" w:line="184" w:lineRule="exact"/>
        <w:rPr>
          <w:sz w:val="20"/>
          <w:szCs w:val="20"/>
          <w:color w:val="auto"/>
        </w:rPr>
      </w:pPr>
    </w:p>
    <w:p>
      <w:pPr>
        <w:jc w:val="both"/>
        <w:ind w:right="100" w:firstLine="322"/>
        <w:spacing w:after="0" w:line="332" w:lineRule="auto"/>
        <w:rPr>
          <w:sz w:val="20"/>
          <w:szCs w:val="20"/>
          <w:color w:val="auto"/>
        </w:rPr>
      </w:pPr>
      <w:r>
        <w:rPr>
          <w:rFonts w:ascii="Arial" w:cs="Arial" w:eastAsia="Arial" w:hAnsi="Arial"/>
          <w:sz w:val="14"/>
          <w:szCs w:val="14"/>
          <w:color w:val="auto"/>
        </w:rPr>
        <w:t>The Company estimates expected term based on historical exercise patterns.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REVENUE</w:t>
      </w:r>
    </w:p>
    <w:p>
      <w:pPr>
        <w:spacing w:after="0" w:line="220" w:lineRule="exact"/>
        <w:rPr>
          <w:sz w:val="20"/>
          <w:szCs w:val="20"/>
          <w:color w:val="auto"/>
        </w:rPr>
      </w:pPr>
    </w:p>
    <w:p>
      <w:pPr>
        <w:ind w:firstLine="325"/>
        <w:spacing w:after="0" w:line="309" w:lineRule="auto"/>
        <w:rPr>
          <w:sz w:val="20"/>
          <w:szCs w:val="20"/>
          <w:color w:val="auto"/>
        </w:rPr>
      </w:pPr>
      <w:r>
        <w:rPr>
          <w:rFonts w:ascii="Arial" w:cs="Arial" w:eastAsia="Arial" w:hAnsi="Arial"/>
          <w:sz w:val="14"/>
          <w:szCs w:val="14"/>
          <w:color w:val="auto"/>
        </w:rPr>
        <w:t>In 1997, the Company licensed its oral rotavirus strain to GlaxoSmithKline plc ("Glaxo") and Glaxo assumed responsibility for all subsequent clinical trials and all other development activities. The Company's licensed-in the rotavirus strain that was used to develop Glaxo's Rotarix rotavirus vaccine in 1995 and owed a license fee of 30% to Cincinnati Children's Hospital Medical Center ("CCH") on net royalties received from Glaxo. In May 2005, the Company entered into an agreement whereby an affiliate of Paul Royalty Fund II, L.P. ("PRF") purchased a 70% interest in the net royalties the Company received on worldwide sales of Rotarix. In December 2012, the Glaxo agreement expired automatically upon the expiration of the last relevant patent right covered by the Glaxo agreement. The Company's retained interests in Rotarix net royalties which were not sold to PRF are recorded as product royalty revenue and a corresponding amount that is payable to CCH is recorded as royalty expense. Product royalty revenue and royalty expense related to the Company's retained interest in Rotarix was $2.3 million and $10.8 million for the years ended December 31, 2013 and 2012,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COLLABORATION AGREEMENTS</w:t>
      </w:r>
    </w:p>
    <w:p>
      <w:pPr>
        <w:spacing w:after="0" w:line="220" w:lineRule="exact"/>
        <w:rPr>
          <w:sz w:val="20"/>
          <w:szCs w:val="20"/>
          <w:color w:val="auto"/>
        </w:rPr>
      </w:pPr>
    </w:p>
    <w:p>
      <w:pPr>
        <w:ind w:right="160" w:firstLine="322"/>
        <w:spacing w:after="0" w:line="268" w:lineRule="auto"/>
        <w:rPr>
          <w:sz w:val="20"/>
          <w:szCs w:val="20"/>
          <w:color w:val="auto"/>
        </w:rPr>
      </w:pPr>
      <w:r>
        <w:rPr>
          <w:rFonts w:ascii="Arial" w:cs="Arial" w:eastAsia="Arial" w:hAnsi="Arial"/>
          <w:sz w:val="16"/>
          <w:szCs w:val="16"/>
          <w:color w:val="auto"/>
        </w:rPr>
        <w:t>The Company has entered into license agreements whereby the Company has received licenses or options to license technology, specified patents or patent applications. The Company's licensing and development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developmental, regulatory and/or commercial milestones. Nonrefundable license fee expense of $3.2 million, $0.7 million and $0.7 million was recorded to research and development expense for the years ended December 31, 2014, 2013 and 2012,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Medarex, Inc., a subsidiary of Bristol-Myers Squibb (Medarex)</w:t>
      </w:r>
    </w:p>
    <w:p>
      <w:pPr>
        <w:spacing w:after="0" w:line="216" w:lineRule="exact"/>
        <w:rPr>
          <w:sz w:val="20"/>
          <w:szCs w:val="20"/>
          <w:color w:val="auto"/>
        </w:rPr>
      </w:pPr>
    </w:p>
    <w:p>
      <w:pPr>
        <w:jc w:val="both"/>
        <w:ind w:right="40" w:firstLine="322"/>
        <w:spacing w:after="0" w:line="321" w:lineRule="auto"/>
        <w:rPr>
          <w:sz w:val="20"/>
          <w:szCs w:val="20"/>
          <w:color w:val="auto"/>
        </w:rPr>
      </w:pPr>
      <w:r>
        <w:rPr>
          <w:rFonts w:ascii="Arial" w:cs="Arial" w:eastAsia="Arial" w:hAnsi="Arial"/>
          <w:sz w:val="14"/>
          <w:szCs w:val="14"/>
          <w:color w:val="auto"/>
        </w:rPr>
        <w:t>The Company and Medarex have entered into an assignment and license agreement, as amended, that provides for the assignment of certain patent and other intellectual property rights and a license to certain Medarex technology related to the Company's APC Targeting Technology™ and an anti-mannose receptor product. Under the terms of the agreement, the Company may be required to pay royalties in the low-single digits on any net product sale of a Licensed Royalty-Bearing Product or Anti-Mannose Product to Medarex until the later of (i) the expiration of the last to expire applicable patent and (ii) the tenth anniversary of the first commercial sale of such licensed product.</w:t>
      </w:r>
    </w:p>
    <w:p>
      <w:pPr>
        <w:spacing w:after="0" w:line="139" w:lineRule="exact"/>
        <w:rPr>
          <w:sz w:val="20"/>
          <w:szCs w:val="20"/>
          <w:color w:val="auto"/>
        </w:rPr>
      </w:pPr>
    </w:p>
    <w:p>
      <w:pPr>
        <w:ind w:firstLine="322"/>
        <w:spacing w:after="0" w:line="265" w:lineRule="auto"/>
        <w:rPr>
          <w:sz w:val="20"/>
          <w:szCs w:val="20"/>
          <w:color w:val="auto"/>
        </w:rPr>
      </w:pPr>
      <w:r>
        <w:rPr>
          <w:rFonts w:ascii="Arial" w:cs="Arial" w:eastAsia="Arial" w:hAnsi="Arial"/>
          <w:sz w:val="16"/>
          <w:szCs w:val="16"/>
          <w:color w:val="auto"/>
        </w:rPr>
        <w:t>The Company and Medarex have also entered into a research and commercialization agreement, as amended, that provides the Company with certain rights to obtain exclusive commercial licenses to proprietary monoclonal antibodies raised against certain antigens utilizing the Medarex UltiMAb technology platform for generating antibodies until December 2015. Under the terms of the agreement, the Company may be required to pay Medarex milestones of up to $7.0 million upon obtaining first approval for commercial sale in a first indication of a product containing a licensed antibody and royalty payments in the low-to-mid single digits on any net product sales with respect to the development of any products containing such licensed antibodies until the later of (i) the expiration of the last to expire applicable patent and (ii) the tenth anniversary of the first commercial sale of such licensed product. In September 2010, the Company exercised an option under the agreement, whereby it licensed from Medarex access to the UltiMab technology to develop and commercialize human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COLLABORATION AGREEMENTS (Continued)</w:t>
      </w:r>
    </w:p>
    <w:p>
      <w:pPr>
        <w:spacing w:after="0" w:line="220" w:lineRule="exact"/>
        <w:rPr>
          <w:sz w:val="20"/>
          <w:szCs w:val="20"/>
          <w:color w:val="auto"/>
        </w:rPr>
      </w:pPr>
    </w:p>
    <w:p>
      <w:pPr>
        <w:ind w:right="360"/>
        <w:spacing w:after="0" w:line="326" w:lineRule="auto"/>
        <w:rPr>
          <w:sz w:val="20"/>
          <w:szCs w:val="20"/>
          <w:color w:val="auto"/>
        </w:rPr>
      </w:pPr>
      <w:r>
        <w:rPr>
          <w:rFonts w:ascii="Arial" w:cs="Arial" w:eastAsia="Arial" w:hAnsi="Arial"/>
          <w:sz w:val="15"/>
          <w:szCs w:val="15"/>
          <w:color w:val="auto"/>
        </w:rPr>
        <w:t>antibodies to CD27, including varlilumab. In connection with the clinical trial collaboration, the Company entered into with BMS in May 2014, certain future milestone payments were waived and future royalty rates that the Company may have owed Medarex in connection with any CD27 program were reduced.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Rockefeller University (Rockefeller)</w:t>
      </w:r>
    </w:p>
    <w:p>
      <w:pPr>
        <w:spacing w:after="0" w:line="216" w:lineRule="exact"/>
        <w:rPr>
          <w:sz w:val="20"/>
          <w:szCs w:val="20"/>
          <w:color w:val="auto"/>
        </w:rPr>
      </w:pPr>
    </w:p>
    <w:p>
      <w:pPr>
        <w:ind w:firstLine="325"/>
        <w:spacing w:after="0" w:line="268" w:lineRule="auto"/>
        <w:rPr>
          <w:sz w:val="20"/>
          <w:szCs w:val="20"/>
          <w:color w:val="auto"/>
        </w:rPr>
      </w:pPr>
      <w:r>
        <w:rPr>
          <w:rFonts w:ascii="Arial" w:cs="Arial" w:eastAsia="Arial" w:hAnsi="Arial"/>
          <w:sz w:val="16"/>
          <w:szCs w:val="16"/>
          <w:color w:val="auto"/>
        </w:rPr>
        <w:t>In November 2005, the Company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The Company may be required to pay Rockefeller milestones of up to $3.8 million upon obtaining first approval for commercial sale in a first indication of a product targeting the licensed receptor and royalty payments in the low-to-mid single digits on any net product sales with respect to development and commercialization of the human DEC-205 receptor.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Duke University Brain Tumor Cancer Center (Duke)</w:t>
      </w:r>
    </w:p>
    <w:p>
      <w:pPr>
        <w:spacing w:after="0" w:line="216" w:lineRule="exact"/>
        <w:rPr>
          <w:sz w:val="20"/>
          <w:szCs w:val="20"/>
          <w:color w:val="auto"/>
        </w:rPr>
      </w:pPr>
    </w:p>
    <w:p>
      <w:pPr>
        <w:ind w:right="80" w:firstLine="325"/>
        <w:spacing w:after="0" w:line="270" w:lineRule="auto"/>
        <w:rPr>
          <w:sz w:val="20"/>
          <w:szCs w:val="20"/>
          <w:color w:val="auto"/>
        </w:rPr>
      </w:pPr>
      <w:r>
        <w:rPr>
          <w:rFonts w:ascii="Arial" w:cs="Arial" w:eastAsia="Arial" w:hAnsi="Arial"/>
          <w:sz w:val="16"/>
          <w:szCs w:val="16"/>
          <w:color w:val="auto"/>
        </w:rPr>
        <w:t>In September 2006, the Company and Duke entered into a license agreement that gave the Company access and reference to the clinical data generated by Duke and its collaborators in order for the Company to generate its own filing with the FDA relating to rindopepimut. The Company may be required to pay Duke milestones of up to $0.7 million upon obtaining first approval for commercial sale in a first indication and royalty payments in the low-single digits on any net product sales with respect to development and commercialization of rindopepimut.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Ludwig Institute for Cancer Research (Ludwig)</w:t>
      </w:r>
    </w:p>
    <w:p>
      <w:pPr>
        <w:spacing w:after="0" w:line="216" w:lineRule="exact"/>
        <w:rPr>
          <w:sz w:val="20"/>
          <w:szCs w:val="20"/>
          <w:color w:val="auto"/>
        </w:rPr>
      </w:pPr>
    </w:p>
    <w:p>
      <w:pPr>
        <w:ind w:right="20" w:firstLine="325"/>
        <w:spacing w:after="0" w:line="270" w:lineRule="auto"/>
        <w:rPr>
          <w:sz w:val="20"/>
          <w:szCs w:val="20"/>
          <w:color w:val="auto"/>
        </w:rPr>
      </w:pPr>
      <w:r>
        <w:rPr>
          <w:rFonts w:ascii="Arial" w:cs="Arial" w:eastAsia="Arial" w:hAnsi="Arial"/>
          <w:sz w:val="16"/>
          <w:szCs w:val="16"/>
          <w:color w:val="auto"/>
        </w:rPr>
        <w:t>In October 2006, the Company and Ludwig entered into an agreement for the nonexclusive rights to certain cancer tumor targets for use in combination with the Company's APC Targeting Technology. The Company may be required to pay Ludwig milestones of up to $1.0 million upon obtaining first approval for commercial sale in a first indication and royalty payments in the low-single digits on any net product sales with respect to development and commercialization of the technology licensed from Ludwig.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Alteris Therapeutics, Inc. (Alteris)</w:t>
      </w:r>
    </w:p>
    <w:p>
      <w:pPr>
        <w:spacing w:after="0" w:line="216" w:lineRule="exact"/>
        <w:rPr>
          <w:sz w:val="20"/>
          <w:szCs w:val="20"/>
          <w:color w:val="auto"/>
        </w:rPr>
      </w:pPr>
    </w:p>
    <w:p>
      <w:pPr>
        <w:ind w:right="80" w:firstLine="325"/>
        <w:spacing w:after="0" w:line="290" w:lineRule="auto"/>
        <w:rPr>
          <w:sz w:val="20"/>
          <w:szCs w:val="20"/>
          <w:color w:val="auto"/>
        </w:rPr>
      </w:pPr>
      <w:r>
        <w:rPr>
          <w:rFonts w:ascii="Arial" w:cs="Arial" w:eastAsia="Arial" w:hAnsi="Arial"/>
          <w:sz w:val="16"/>
          <w:szCs w:val="16"/>
          <w:color w:val="auto"/>
        </w:rPr>
        <w:t>In October 2005, the Company completed the acquisition of the assets of Alteris, including the EGFRvIII molecule. The Company may be required to pay Alteris up to $5.0 million upon obtaining the first approval for commercial sale of a product containing EGFRvIII, including rindopepimut.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University of Southampton, UK (Southampton)</w:t>
      </w:r>
    </w:p>
    <w:p>
      <w:pPr>
        <w:spacing w:after="0" w:line="216" w:lineRule="exact"/>
        <w:rPr>
          <w:sz w:val="20"/>
          <w:szCs w:val="20"/>
          <w:color w:val="auto"/>
        </w:rPr>
      </w:pPr>
    </w:p>
    <w:p>
      <w:pPr>
        <w:jc w:val="both"/>
        <w:ind w:right="320" w:firstLine="325"/>
        <w:spacing w:after="0" w:line="275" w:lineRule="auto"/>
        <w:rPr>
          <w:sz w:val="20"/>
          <w:szCs w:val="20"/>
          <w:color w:val="auto"/>
        </w:rPr>
      </w:pPr>
      <w:r>
        <w:rPr>
          <w:rFonts w:ascii="Arial" w:cs="Arial" w:eastAsia="Arial" w:hAnsi="Arial"/>
          <w:sz w:val="16"/>
          <w:szCs w:val="16"/>
          <w:color w:val="auto"/>
        </w:rPr>
        <w:t>In November 2008, the Company entered into a license agreement with Southampton to develop human antibodies towards CD27, a potentially important target for immunotherapy of various cancers. The Company may be required to pay Southampton milestones of up to approximately $1.4 million upon obtaining first approval for commercial sale in a first indication and royalty payments in the</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COLLABORATION AGREEMENTS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low-single digits on any net product sales with respect to development and commercialization of varlilumab.</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Amgen Inc. (Amgen)</w:t>
      </w:r>
    </w:p>
    <w:p>
      <w:pPr>
        <w:spacing w:after="0" w:line="216" w:lineRule="exact"/>
        <w:rPr>
          <w:sz w:val="20"/>
          <w:szCs w:val="20"/>
          <w:color w:val="auto"/>
        </w:rPr>
      </w:pPr>
    </w:p>
    <w:p>
      <w:pPr>
        <w:ind w:right="40" w:firstLine="325"/>
        <w:spacing w:after="0" w:line="270" w:lineRule="auto"/>
        <w:rPr>
          <w:sz w:val="20"/>
          <w:szCs w:val="20"/>
          <w:color w:val="auto"/>
        </w:rPr>
      </w:pPr>
      <w:r>
        <w:rPr>
          <w:rFonts w:ascii="Arial" w:cs="Arial" w:eastAsia="Arial" w:hAnsi="Arial"/>
          <w:sz w:val="16"/>
          <w:szCs w:val="16"/>
          <w:color w:val="auto"/>
        </w:rPr>
        <w:t>In March 2009, the Company entered into a license agreement with Amgen to acquire the exclusive rights to CDX-301 and CD40 ligand (CD40L). CDX-301 and CD40L are immune modulating molecules that increase the numbers and activity of immune cells that control immune responses. The Company may be required to pay Amgen milestones of up to $1.0 million upon obtaining first approval for commercial sale in a first indication and royalty payments in the low-single digits on any net product sales with respect to development and commercialization of the technology licensed from Amgen, including CDX-301.</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Seattle Genetics, Inc. (Seattle Genetics)</w:t>
      </w:r>
    </w:p>
    <w:p>
      <w:pPr>
        <w:spacing w:after="0" w:line="216" w:lineRule="exact"/>
        <w:rPr>
          <w:sz w:val="20"/>
          <w:szCs w:val="20"/>
          <w:color w:val="auto"/>
        </w:rPr>
      </w:pPr>
    </w:p>
    <w:p>
      <w:pPr>
        <w:ind w:firstLine="325"/>
        <w:spacing w:after="0" w:line="268" w:lineRule="auto"/>
        <w:rPr>
          <w:sz w:val="20"/>
          <w:szCs w:val="20"/>
          <w:color w:val="auto"/>
        </w:rPr>
      </w:pPr>
      <w:r>
        <w:rPr>
          <w:rFonts w:ascii="Arial" w:cs="Arial" w:eastAsia="Arial" w:hAnsi="Arial"/>
          <w:sz w:val="16"/>
          <w:szCs w:val="16"/>
          <w:color w:val="auto"/>
        </w:rPr>
        <w:t>In connection with the acquisition of CuraGen, the Company assumed the license agreement between CuraGen and Seattle Genetics whereby CuraGen acquired the rights to proprietary antibody-drug conjugate (ADC) technology for use with the Company's proprietary antibodies for the potential treatment of cancer. The Company may be required to pay Seattle Genetics milestones of up to $5.0 million and $9.0 million for glembatumumab vedotin and CDX-014, respectively, upon obtaining first approval for commercial sale in a first indication and royalty payments in the mid-single digits on any net product sales with respect to development and commercialization of these product candidates.</w:t>
      </w:r>
    </w:p>
    <w:p>
      <w:pPr>
        <w:spacing w:after="0" w:line="169" w:lineRule="exact"/>
        <w:rPr>
          <w:sz w:val="20"/>
          <w:szCs w:val="20"/>
          <w:color w:val="auto"/>
        </w:rPr>
      </w:pPr>
    </w:p>
    <w:p>
      <w:pPr>
        <w:ind w:left="320" w:hanging="320"/>
        <w:spacing w:after="0"/>
        <w:tabs>
          <w:tab w:leader="none" w:pos="32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20" w:lineRule="exact"/>
        <w:rPr>
          <w:rFonts w:ascii="Arial" w:cs="Arial" w:eastAsia="Arial" w:hAnsi="Arial"/>
          <w:sz w:val="16"/>
          <w:szCs w:val="16"/>
          <w:b w:val="1"/>
          <w:bCs w:val="1"/>
          <w:color w:val="auto"/>
        </w:rPr>
      </w:pPr>
    </w:p>
    <w:p>
      <w:pPr>
        <w:ind w:left="320"/>
        <w:spacing w:after="0"/>
        <w:rPr>
          <w:rFonts w:ascii="Arial" w:cs="Arial" w:eastAsia="Arial" w:hAnsi="Arial"/>
          <w:sz w:val="16"/>
          <w:szCs w:val="16"/>
          <w:b w:val="1"/>
          <w:bCs w:val="1"/>
          <w:color w:val="auto"/>
        </w:rPr>
      </w:pPr>
      <w:r>
        <w:rPr>
          <w:rFonts w:ascii="Arial" w:cs="Arial" w:eastAsia="Arial" w:hAnsi="Arial"/>
          <w:sz w:val="16"/>
          <w:szCs w:val="16"/>
          <w:color w:val="auto"/>
        </w:rPr>
        <w:t>The components of income tax expense attributable to continuing operations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14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center"/>
              <w:ind w:left="283"/>
              <w:spacing w:after="0"/>
              <w:rPr>
                <w:sz w:val="20"/>
                <w:szCs w:val="20"/>
                <w:color w:val="auto"/>
              </w:rPr>
            </w:pPr>
            <w:r>
              <w:rPr>
                <w:rFonts w:ascii="Arial" w:cs="Arial" w:eastAsia="Arial" w:hAnsi="Arial"/>
                <w:sz w:val="13"/>
                <w:szCs w:val="13"/>
                <w:b w:val="1"/>
                <w:bCs w:val="1"/>
                <w:color w:val="auto"/>
                <w:w w:val="86"/>
              </w:rPr>
              <w:t>Year Ended December 31,</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3"/>
              <w:spacing w:after="0" w:line="130"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1"/>
              <w:spacing w:after="0" w:line="130"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41"/>
              <w:spacing w:after="0" w:line="130"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w w:val="75"/>
              </w:rPr>
              <w:t>(In thousands)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540" w:type="dxa"/>
            <w:vAlign w:val="bottom"/>
          </w:tcPr>
          <w:p>
            <w:pPr>
              <w:ind w:left="180"/>
              <w:spacing w:after="0"/>
              <w:rPr>
                <w:sz w:val="20"/>
                <w:szCs w:val="20"/>
                <w:color w:val="auto"/>
              </w:rPr>
            </w:pPr>
            <w:r>
              <w:rPr>
                <w:rFonts w:ascii="Arial" w:cs="Arial" w:eastAsia="Arial" w:hAnsi="Arial"/>
                <w:sz w:val="16"/>
                <w:szCs w:val="16"/>
                <w:color w:val="auto"/>
              </w:rPr>
              <w:t>Federal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43,536</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30,962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19,394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7,328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4,920</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4,237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540" w:type="dxa"/>
            <w:vAlign w:val="bottom"/>
          </w:tcPr>
          <w:p>
            <w:pPr>
              <w:ind w:left="180"/>
              <w:spacing w:after="0"/>
              <w:rPr>
                <w:sz w:val="20"/>
                <w:szCs w:val="20"/>
                <w:color w:val="auto"/>
              </w:rPr>
            </w:pPr>
            <w:r>
              <w:rPr>
                <w:rFonts w:ascii="Arial" w:cs="Arial" w:eastAsia="Arial" w:hAnsi="Arial"/>
                <w:sz w:val="16"/>
                <w:szCs w:val="16"/>
                <w:color w:val="auto"/>
              </w:rPr>
              <w:t>Expiration of Net Operating Losses and Research &amp; Development Tax Credits</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(2,302)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(1,426)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6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48,562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35,756</w:t>
            </w: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22,205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Arial" w:cs="Arial" w:eastAsia="Arial" w:hAnsi="Arial"/>
                <w:sz w:val="16"/>
                <w:szCs w:val="16"/>
                <w:color w:val="auto"/>
              </w:rPr>
              <w:t>Deferred tax valuation allowance</w:t>
            </w:r>
          </w:p>
        </w:tc>
        <w:tc>
          <w:tcPr>
            <w:tcW w:w="16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(48,562)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(35,756)</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(22,205)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65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jc w:val="right"/>
              <w:ind w:right="1799"/>
              <w:spacing w:after="0"/>
              <w:rPr>
                <w:sz w:val="20"/>
                <w:szCs w:val="20"/>
                <w:color w:val="auto"/>
              </w:rPr>
            </w:pPr>
            <w:r>
              <w:rPr>
                <w:rFonts w:ascii="Arial" w:cs="Arial" w:eastAsia="Arial" w:hAnsi="Arial"/>
                <w:sz w:val="16"/>
                <w:szCs w:val="16"/>
                <w:color w:val="auto"/>
              </w:rPr>
              <w:t>90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40" w:type="dxa"/>
            <w:vAlign w:val="bottom"/>
            <w:tcBorders>
              <w:bottom w:val="single" w:sz="8" w:color="808080"/>
            </w:tcBorders>
          </w:tcPr>
          <w:p>
            <w:pPr>
              <w:spacing w:after="0"/>
              <w:rPr>
                <w:sz w:val="18"/>
                <w:szCs w:val="18"/>
                <w:color w:val="auto"/>
              </w:rPr>
            </w:pPr>
          </w:p>
        </w:tc>
        <w:tc>
          <w:tcPr>
            <w:tcW w:w="65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ind w:left="320" w:hanging="320"/>
        <w:spacing w:after="0"/>
        <w:tabs>
          <w:tab w:leader="none" w:pos="32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 (Continued)</w:t>
      </w:r>
    </w:p>
    <w:p>
      <w:pPr>
        <w:spacing w:after="0" w:line="220" w:lineRule="exact"/>
        <w:rPr>
          <w:rFonts w:ascii="Arial" w:cs="Arial" w:eastAsia="Arial" w:hAnsi="Arial"/>
          <w:sz w:val="16"/>
          <w:szCs w:val="16"/>
          <w:b w:val="1"/>
          <w:bCs w:val="1"/>
          <w:color w:val="auto"/>
        </w:rPr>
      </w:pPr>
    </w:p>
    <w:p>
      <w:pPr>
        <w:ind w:left="320"/>
        <w:spacing w:after="0"/>
        <w:rPr>
          <w:rFonts w:ascii="Arial" w:cs="Arial" w:eastAsia="Arial" w:hAnsi="Arial"/>
          <w:sz w:val="16"/>
          <w:szCs w:val="16"/>
          <w:b w:val="1"/>
          <w:bCs w:val="1"/>
          <w:color w:val="auto"/>
        </w:rPr>
      </w:pPr>
      <w:r>
        <w:rPr>
          <w:rFonts w:ascii="Arial" w:cs="Arial" w:eastAsia="Arial" w:hAnsi="Arial"/>
          <w:sz w:val="16"/>
          <w:szCs w:val="16"/>
          <w:color w:val="auto"/>
        </w:rPr>
        <w:t>A reconciliation between the amount of reported income tax and the amount computed using the U.S. Statutory rate of 34% follows: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64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2014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6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right"/>
              <w:spacing w:after="0" w:line="130" w:lineRule="exact"/>
              <w:rPr>
                <w:sz w:val="20"/>
                <w:szCs w:val="20"/>
                <w:color w:val="auto"/>
              </w:rPr>
            </w:pPr>
            <w:r>
              <w:rPr>
                <w:rFonts w:ascii="Arial" w:cs="Arial" w:eastAsia="Arial" w:hAnsi="Arial"/>
                <w:sz w:val="13"/>
                <w:szCs w:val="13"/>
                <w:b w:val="1"/>
                <w:bCs w:val="1"/>
                <w:color w:val="auto"/>
                <w:w w:val="84"/>
              </w:rPr>
              <w:t>(In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Pre-tax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9"/>
              </w:rPr>
              <w:t>(118,080)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(81,550)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(59,123)</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6"/>
                <w:szCs w:val="16"/>
                <w:color w:val="auto"/>
              </w:rPr>
              <w:t>Loss at Statutory Rates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78" w:lineRule="exact"/>
              <w:rPr>
                <w:sz w:val="20"/>
                <w:szCs w:val="20"/>
                <w:color w:val="auto"/>
              </w:rPr>
            </w:pPr>
            <w:r>
              <w:rPr>
                <w:rFonts w:ascii="Arial" w:cs="Arial" w:eastAsia="Arial" w:hAnsi="Arial"/>
                <w:sz w:val="16"/>
                <w:szCs w:val="16"/>
                <w:color w:val="auto"/>
              </w:rPr>
              <w:t>(40,147)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Arial" w:cs="Arial" w:eastAsia="Arial" w:hAnsi="Arial"/>
                <w:sz w:val="16"/>
                <w:szCs w:val="16"/>
                <w:color w:val="auto"/>
                <w:w w:val="90"/>
              </w:rPr>
              <w:t>(27,727)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line="178" w:lineRule="exact"/>
              <w:rPr>
                <w:sz w:val="20"/>
                <w:szCs w:val="20"/>
                <w:color w:val="auto"/>
              </w:rPr>
            </w:pPr>
            <w:r>
              <w:rPr>
                <w:rFonts w:ascii="Arial" w:cs="Arial" w:eastAsia="Arial" w:hAnsi="Arial"/>
                <w:sz w:val="16"/>
                <w:szCs w:val="16"/>
                <w:color w:val="auto"/>
                <w:w w:val="90"/>
              </w:rPr>
              <w:t>(20,102)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Credits</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(4,126)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(3,261)</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480" w:type="dxa"/>
            <w:vAlign w:val="bottom"/>
          </w:tcPr>
          <w:p>
            <w:pPr>
              <w:spacing w:after="0"/>
              <w:rPr>
                <w:sz w:val="20"/>
                <w:szCs w:val="20"/>
                <w:color w:val="auto"/>
              </w:rPr>
            </w:pPr>
            <w:r>
              <w:rPr>
                <w:rFonts w:ascii="Arial" w:cs="Arial" w:eastAsia="Arial" w:hAnsi="Arial"/>
                <w:sz w:val="16"/>
                <w:szCs w:val="16"/>
                <w:color w:val="auto"/>
              </w:rPr>
              <w:t>State Taxes</w:t>
            </w:r>
          </w:p>
        </w:tc>
        <w:tc>
          <w:tcPr>
            <w:tcW w:w="14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(7,328)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(4,920)</w:t>
            </w: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(4,237)</w:t>
            </w:r>
          </w:p>
        </w:tc>
        <w:tc>
          <w:tcPr>
            <w:tcW w:w="0" w:type="dxa"/>
            <w:vAlign w:val="bottom"/>
          </w:tcPr>
          <w:p>
            <w:pPr>
              <w:spacing w:after="0"/>
              <w:rPr>
                <w:sz w:val="1"/>
                <w:szCs w:val="1"/>
                <w:color w:val="auto"/>
              </w:rPr>
            </w:pPr>
          </w:p>
        </w:tc>
      </w:tr>
      <w:tr>
        <w:trPr>
          <w:trHeight w:val="200"/>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00"/>
        </w:trPr>
        <w:tc>
          <w:tcPr>
            <w:tcW w:w="6480" w:type="dxa"/>
            <w:vAlign w:val="bottom"/>
          </w:tcPr>
          <w:p>
            <w:pPr>
              <w:spacing w:after="0"/>
              <w:rPr>
                <w:sz w:val="20"/>
                <w:szCs w:val="20"/>
                <w:color w:val="auto"/>
              </w:rPr>
            </w:pPr>
            <w:r>
              <w:rPr>
                <w:rFonts w:ascii="Arial" w:cs="Arial" w:eastAsia="Arial" w:hAnsi="Arial"/>
                <w:sz w:val="16"/>
                <w:szCs w:val="16"/>
                <w:color w:val="auto"/>
              </w:rPr>
              <w:t>Expiration of Net Operating Losses and Research &amp; Development Tax Credits</w:t>
            </w:r>
          </w:p>
        </w:tc>
        <w:tc>
          <w:tcPr>
            <w:tcW w:w="14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2,302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200"/>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Change in Valuation Allowance</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48,562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35,756</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22,205</w:t>
            </w:r>
          </w:p>
        </w:tc>
        <w:tc>
          <w:tcPr>
            <w:tcW w:w="0" w:type="dxa"/>
            <w:vAlign w:val="bottom"/>
          </w:tcPr>
          <w:p>
            <w:pPr>
              <w:spacing w:after="0"/>
              <w:rPr>
                <w:sz w:val="1"/>
                <w:szCs w:val="1"/>
                <w:color w:val="auto"/>
              </w:rPr>
            </w:pPr>
          </w:p>
        </w:tc>
      </w:tr>
      <w:tr>
        <w:trPr>
          <w:trHeight w:val="193"/>
        </w:trPr>
        <w:tc>
          <w:tcPr>
            <w:tcW w:w="648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00" w:firstLine="325"/>
        <w:spacing w:after="0" w:line="366" w:lineRule="auto"/>
        <w:rPr>
          <w:sz w:val="20"/>
          <w:szCs w:val="20"/>
          <w:color w:val="auto"/>
        </w:rPr>
      </w:pPr>
      <w:r>
        <w:rPr>
          <w:rFonts w:ascii="Arial" w:cs="Arial" w:eastAsia="Arial" w:hAnsi="Arial"/>
          <w:sz w:val="14"/>
          <w:szCs w:val="14"/>
          <w:color w:val="auto"/>
        </w:rPr>
        <w:t>Deferred tax assets and liabilities are recognized based on temporary differences between the financial reporting and tax basis of assets and liabilities using future expected enacted rates. A valuation allowance is recorded against deferred tax assets if it is more likely than not that some or all of the deferred tax assets will not be realized.</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principal components of the deferred tax assets and liabilities at December 31, 2014 and 2013, respectively,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63"/>
              <w:spacing w:after="0"/>
              <w:rPr>
                <w:sz w:val="20"/>
                <w:szCs w:val="20"/>
                <w:color w:val="auto"/>
              </w:rPr>
            </w:pPr>
            <w:r>
              <w:rPr>
                <w:rFonts w:ascii="Arial" w:cs="Arial" w:eastAsia="Arial" w:hAnsi="Arial"/>
                <w:sz w:val="13"/>
                <w:szCs w:val="13"/>
                <w:b w:val="1"/>
                <w:bCs w:val="1"/>
                <w:color w:val="auto"/>
                <w:w w:val="85"/>
              </w:rPr>
              <w:t>December 31,</w:t>
            </w:r>
          </w:p>
        </w:tc>
        <w:tc>
          <w:tcPr>
            <w:tcW w:w="80" w:type="dxa"/>
            <w:vAlign w:val="bottom"/>
          </w:tcPr>
          <w:p>
            <w:pPr>
              <w:spacing w:after="0"/>
              <w:rPr>
                <w:sz w:val="13"/>
                <w:szCs w:val="13"/>
                <w:color w:val="auto"/>
              </w:rPr>
            </w:pPr>
          </w:p>
        </w:tc>
        <w:tc>
          <w:tcPr>
            <w:tcW w:w="210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62"/>
              <w:spacing w:after="0" w:line="130" w:lineRule="exact"/>
              <w:rPr>
                <w:sz w:val="20"/>
                <w:szCs w:val="20"/>
                <w:color w:val="auto"/>
              </w:rPr>
            </w:pPr>
            <w:r>
              <w:rPr>
                <w:rFonts w:ascii="Arial" w:cs="Arial" w:eastAsia="Arial" w:hAnsi="Arial"/>
                <w:sz w:val="13"/>
                <w:szCs w:val="13"/>
                <w:b w:val="1"/>
                <w:bCs w:val="1"/>
                <w:color w:val="auto"/>
              </w:rPr>
              <w:t>(In</w:t>
            </w:r>
          </w:p>
        </w:tc>
        <w:tc>
          <w:tcPr>
            <w:tcW w:w="1040" w:type="dxa"/>
            <w:vAlign w:val="bottom"/>
            <w:gridSpan w:val="3"/>
          </w:tcPr>
          <w:p>
            <w:pPr>
              <w:jc w:val="right"/>
              <w:ind w:right="481"/>
              <w:spacing w:after="0"/>
              <w:rPr>
                <w:sz w:val="20"/>
                <w:szCs w:val="20"/>
                <w:color w:val="auto"/>
              </w:rPr>
            </w:pPr>
            <w:r>
              <w:rPr>
                <w:rFonts w:ascii="Arial" w:cs="Arial" w:eastAsia="Arial" w:hAnsi="Arial"/>
                <w:sz w:val="11"/>
                <w:szCs w:val="11"/>
                <w:b w:val="1"/>
                <w:bCs w:val="1"/>
                <w:color w:val="auto"/>
                <w:w w:val="77"/>
              </w:rPr>
              <w:t>thousands)</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Gross Deferred Tax Assets</w:t>
            </w: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00" w:type="dxa"/>
            <w:vAlign w:val="bottom"/>
          </w:tcPr>
          <w:p>
            <w:pPr>
              <w:ind w:left="180"/>
              <w:spacing w:after="0"/>
              <w:rPr>
                <w:sz w:val="20"/>
                <w:szCs w:val="20"/>
                <w:color w:val="auto"/>
              </w:rPr>
            </w:pPr>
            <w:r>
              <w:rPr>
                <w:rFonts w:ascii="Arial" w:cs="Arial" w:eastAsia="Arial" w:hAnsi="Arial"/>
                <w:sz w:val="16"/>
                <w:szCs w:val="16"/>
                <w:color w:val="auto"/>
              </w:rPr>
              <w:t>Net Operating Loss Carryforwards</w:t>
            </w:r>
          </w:p>
        </w:tc>
        <w:tc>
          <w:tcPr>
            <w:tcW w:w="3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3"/>
              <w:spacing w:after="0"/>
              <w:rPr>
                <w:sz w:val="20"/>
                <w:szCs w:val="20"/>
                <w:color w:val="auto"/>
              </w:rPr>
            </w:pPr>
            <w:r>
              <w:rPr>
                <w:rFonts w:ascii="Arial" w:cs="Arial" w:eastAsia="Arial" w:hAnsi="Arial"/>
                <w:sz w:val="16"/>
                <w:szCs w:val="16"/>
                <w:color w:val="auto"/>
              </w:rPr>
              <w:t>95,577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79,558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 Credit Carryforwards</w:t>
            </w: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29,709</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25,582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00" w:type="dxa"/>
            <w:vAlign w:val="bottom"/>
          </w:tcPr>
          <w:p>
            <w:pPr>
              <w:ind w:left="180"/>
              <w:spacing w:after="0"/>
              <w:rPr>
                <w:sz w:val="20"/>
                <w:szCs w:val="20"/>
                <w:color w:val="auto"/>
              </w:rPr>
            </w:pPr>
            <w:r>
              <w:rPr>
                <w:rFonts w:ascii="Arial" w:cs="Arial" w:eastAsia="Arial" w:hAnsi="Arial"/>
                <w:sz w:val="16"/>
                <w:szCs w:val="16"/>
                <w:color w:val="auto"/>
              </w:rPr>
              <w:t>Deferred Expenses</w:t>
            </w: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3"/>
              <w:spacing w:after="0"/>
              <w:rPr>
                <w:sz w:val="20"/>
                <w:szCs w:val="20"/>
                <w:color w:val="auto"/>
              </w:rPr>
            </w:pPr>
            <w:r>
              <w:rPr>
                <w:rFonts w:ascii="Arial" w:cs="Arial" w:eastAsia="Arial" w:hAnsi="Arial"/>
                <w:sz w:val="16"/>
                <w:szCs w:val="16"/>
                <w:color w:val="auto"/>
              </w:rPr>
              <w:t>85,889</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61,370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5,556</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3,926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00" w:type="dxa"/>
            <w:vAlign w:val="bottom"/>
          </w:tcPr>
          <w:p>
            <w:pPr>
              <w:ind w:left="180"/>
              <w:spacing w:after="0"/>
              <w:rPr>
                <w:sz w:val="20"/>
                <w:szCs w:val="20"/>
                <w:color w:val="auto"/>
              </w:rPr>
            </w:pPr>
            <w:r>
              <w:rPr>
                <w:rFonts w:ascii="Arial" w:cs="Arial" w:eastAsia="Arial" w:hAnsi="Arial"/>
                <w:sz w:val="16"/>
                <w:szCs w:val="16"/>
                <w:color w:val="auto"/>
              </w:rPr>
              <w:t>Fixed Assets</w:t>
            </w: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3"/>
              <w:spacing w:after="0"/>
              <w:rPr>
                <w:sz w:val="20"/>
                <w:szCs w:val="20"/>
                <w:color w:val="auto"/>
              </w:rPr>
            </w:pPr>
            <w:r>
              <w:rPr>
                <w:rFonts w:ascii="Arial" w:cs="Arial" w:eastAsia="Arial" w:hAnsi="Arial"/>
                <w:sz w:val="16"/>
                <w:szCs w:val="16"/>
                <w:color w:val="auto"/>
              </w:rPr>
              <w:t>1,882</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1,638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2,078</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00" w:type="dxa"/>
            <w:vAlign w:val="bottom"/>
          </w:tcPr>
          <w:p>
            <w:pPr>
              <w:ind w:left="180"/>
              <w:spacing w:after="0"/>
              <w:rPr>
                <w:sz w:val="20"/>
                <w:szCs w:val="20"/>
                <w:color w:val="auto"/>
              </w:rPr>
            </w:pPr>
            <w:r>
              <w:rPr>
                <w:rFonts w:ascii="Arial" w:cs="Arial" w:eastAsia="Arial" w:hAnsi="Arial"/>
                <w:sz w:val="16"/>
                <w:szCs w:val="16"/>
                <w:color w:val="auto"/>
              </w:rPr>
              <w:t>Accrued Expenses and Other</w:t>
            </w: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3"/>
              <w:spacing w:after="0"/>
              <w:rPr>
                <w:sz w:val="20"/>
                <w:szCs w:val="20"/>
                <w:color w:val="auto"/>
              </w:rPr>
            </w:pPr>
            <w:r>
              <w:rPr>
                <w:rFonts w:ascii="Arial" w:cs="Arial" w:eastAsia="Arial" w:hAnsi="Arial"/>
                <w:sz w:val="16"/>
                <w:szCs w:val="16"/>
                <w:color w:val="auto"/>
              </w:rPr>
              <w:t>202</w:t>
            </w:r>
          </w:p>
        </w:tc>
        <w:tc>
          <w:tcPr>
            <w:tcW w:w="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176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220,893</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172,697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Gross Deferred Tax Liabilities</w:t>
            </w: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Acquired Intangibles</w:t>
            </w: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(3,749)</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(4,115)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00" w:type="dxa"/>
            <w:vAlign w:val="bottom"/>
          </w:tcPr>
          <w:p>
            <w:pPr>
              <w:ind w:left="180"/>
              <w:spacing w:after="0"/>
              <w:rPr>
                <w:sz w:val="20"/>
                <w:szCs w:val="20"/>
                <w:color w:val="auto"/>
              </w:rPr>
            </w:pPr>
            <w:r>
              <w:rPr>
                <w:rFonts w:ascii="Arial" w:cs="Arial" w:eastAsia="Arial" w:hAnsi="Arial"/>
                <w:sz w:val="16"/>
                <w:szCs w:val="16"/>
                <w:color w:val="auto"/>
              </w:rPr>
              <w:t>IPR&amp;D Intangibles</w:t>
            </w:r>
          </w:p>
        </w:tc>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3"/>
              <w:spacing w:after="0"/>
              <w:rPr>
                <w:sz w:val="20"/>
                <w:szCs w:val="20"/>
                <w:color w:val="auto"/>
              </w:rPr>
            </w:pPr>
            <w:r>
              <w:rPr>
                <w:rFonts w:ascii="Arial" w:cs="Arial" w:eastAsia="Arial" w:hAnsi="Arial"/>
                <w:sz w:val="16"/>
                <w:szCs w:val="16"/>
                <w:color w:val="auto"/>
              </w:rPr>
              <w:t>(4,661)</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(4,661)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(8,410)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(8,776)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3700" w:type="dxa"/>
            <w:vAlign w:val="bottom"/>
          </w:tcPr>
          <w:p>
            <w:pPr>
              <w:ind w:left="180"/>
              <w:spacing w:after="0"/>
              <w:rPr>
                <w:sz w:val="20"/>
                <w:szCs w:val="20"/>
                <w:color w:val="auto"/>
              </w:rPr>
            </w:pPr>
            <w:r>
              <w:rPr>
                <w:rFonts w:ascii="Arial" w:cs="Arial" w:eastAsia="Arial" w:hAnsi="Arial"/>
                <w:sz w:val="16"/>
                <w:szCs w:val="16"/>
                <w:color w:val="auto"/>
              </w:rPr>
              <w:t>Total Deferred Tax Assets and Liabilities</w:t>
            </w:r>
          </w:p>
        </w:tc>
        <w:tc>
          <w:tcPr>
            <w:tcW w:w="33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212,483</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163,921</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Tax Assets Valuation Allowance</w:t>
            </w: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(217,144)</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(168,582)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Arial" w:cs="Arial" w:eastAsia="Arial" w:hAnsi="Arial"/>
                <w:sz w:val="16"/>
                <w:szCs w:val="16"/>
                <w:color w:val="auto"/>
              </w:rPr>
              <w:t>Net Deferred Tax Asset (Liability)</w:t>
            </w:r>
          </w:p>
        </w:tc>
        <w:tc>
          <w:tcPr>
            <w:tcW w:w="33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(4,661)</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(4,661)</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360" w:type="dxa"/>
            <w:vAlign w:val="bottom"/>
            <w:vMerge w:val="restart"/>
          </w:tcPr>
          <w:p>
            <w:pPr>
              <w:jc w:val="right"/>
              <w:ind w:right="2319"/>
              <w:spacing w:after="0"/>
              <w:rPr>
                <w:sz w:val="20"/>
                <w:szCs w:val="20"/>
                <w:color w:val="auto"/>
              </w:rPr>
            </w:pPr>
            <w:r>
              <w:rPr>
                <w:rFonts w:ascii="Arial" w:cs="Arial" w:eastAsia="Arial" w:hAnsi="Arial"/>
                <w:sz w:val="16"/>
                <w:szCs w:val="16"/>
                <w:color w:val="auto"/>
              </w:rPr>
              <w:t>91</w:t>
            </w: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40" w:type="dxa"/>
            <w:vAlign w:val="bottom"/>
            <w:tcBorders>
              <w:bottom w:val="single" w:sz="8" w:color="808080"/>
            </w:tcBorders>
          </w:tcPr>
          <w:p>
            <w:pPr>
              <w:spacing w:after="0"/>
              <w:rPr>
                <w:sz w:val="18"/>
                <w:szCs w:val="18"/>
                <w:color w:val="auto"/>
              </w:rPr>
            </w:pPr>
          </w:p>
        </w:tc>
        <w:tc>
          <w:tcPr>
            <w:tcW w:w="3700" w:type="dxa"/>
            <w:vAlign w:val="bottom"/>
            <w:tcBorders>
              <w:bottom w:val="single" w:sz="8" w:color="808080"/>
            </w:tcBorders>
          </w:tcPr>
          <w:p>
            <w:pPr>
              <w:spacing w:after="0"/>
              <w:rPr>
                <w:sz w:val="18"/>
                <w:szCs w:val="18"/>
                <w:color w:val="auto"/>
              </w:rPr>
            </w:pPr>
          </w:p>
        </w:tc>
        <w:tc>
          <w:tcPr>
            <w:tcW w:w="33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INCOME TAXES (Continued)</w:t>
      </w:r>
    </w:p>
    <w:p>
      <w:pPr>
        <w:spacing w:after="0" w:line="220" w:lineRule="exact"/>
        <w:rPr>
          <w:sz w:val="20"/>
          <w:szCs w:val="20"/>
          <w:color w:val="auto"/>
        </w:rPr>
      </w:pPr>
    </w:p>
    <w:p>
      <w:pPr>
        <w:ind w:right="80" w:firstLine="322"/>
        <w:spacing w:after="0" w:line="290" w:lineRule="auto"/>
        <w:rPr>
          <w:sz w:val="20"/>
          <w:szCs w:val="20"/>
          <w:color w:val="auto"/>
        </w:rPr>
      </w:pPr>
      <w:r>
        <w:rPr>
          <w:rFonts w:ascii="Arial" w:cs="Arial" w:eastAsia="Arial" w:hAnsi="Arial"/>
          <w:sz w:val="16"/>
          <w:szCs w:val="16"/>
          <w:color w:val="auto"/>
        </w:rPr>
        <w:t>The net deferred tax liability of $4.7 million at December 31, 2014 and 2013 relates to the temporary differences associated with the IPR&amp;D intangible assets acquired in the CuraGen acquisition, which are not deductible for tax purposes.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December 31, 2014, the Company had the following federal net operating loss ("NOL") carryforwards:</w:t>
      </w:r>
    </w:p>
    <w:p>
      <w:pPr>
        <w:spacing w:after="0" w:line="229" w:lineRule="exact"/>
        <w:rPr>
          <w:sz w:val="20"/>
          <w:szCs w:val="20"/>
          <w:color w:val="auto"/>
        </w:rPr>
      </w:pPr>
    </w:p>
    <w:p>
      <w:pPr>
        <w:ind w:left="1000" w:hanging="500"/>
        <w:spacing w:after="0" w:line="290"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Prior to the merger of the Company and AVANT, $33.0 million was generated by the Company which expire at various dates starting in 2023 and going through 2028;</w:t>
      </w:r>
    </w:p>
    <w:p>
      <w:pPr>
        <w:spacing w:after="0" w:line="180" w:lineRule="exact"/>
        <w:rPr>
          <w:rFonts w:ascii="Arial" w:cs="Arial" w:eastAsia="Arial" w:hAnsi="Arial"/>
          <w:sz w:val="16"/>
          <w:szCs w:val="16"/>
          <w:color w:val="auto"/>
        </w:rPr>
      </w:pPr>
    </w:p>
    <w:p>
      <w:pPr>
        <w:ind w:left="1000" w:right="320" w:hanging="500"/>
        <w:spacing w:after="0" w:line="290"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Prior to the merger of the Company and AVANT, $101.2 million, net of expirations and utilization, was generated by AVANT which expire at various dates starting in 2018 and going through 2028;</w:t>
      </w:r>
    </w:p>
    <w:p>
      <w:pPr>
        <w:spacing w:after="0" w:line="168" w:lineRule="exact"/>
        <w:rPr>
          <w:rFonts w:ascii="Arial" w:cs="Arial" w:eastAsia="Arial" w:hAnsi="Arial"/>
          <w:sz w:val="16"/>
          <w:szCs w:val="16"/>
          <w:color w:val="auto"/>
        </w:rPr>
      </w:pPr>
    </w:p>
    <w:p>
      <w:pPr>
        <w:ind w:left="1000" w:right="180" w:hanging="500"/>
        <w:spacing w:after="0" w:line="290"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Following the merger of the Company and AVANT, $182 million was generated by the combined company which expire at various dates starting in 2028 and going through 2034; and</w:t>
      </w:r>
    </w:p>
    <w:p>
      <w:pPr>
        <w:spacing w:after="0" w:line="168" w:lineRule="exact"/>
        <w:rPr>
          <w:rFonts w:ascii="Arial" w:cs="Arial" w:eastAsia="Arial" w:hAnsi="Arial"/>
          <w:sz w:val="16"/>
          <w:szCs w:val="16"/>
          <w:color w:val="auto"/>
        </w:rPr>
      </w:pPr>
    </w:p>
    <w:p>
      <w:pPr>
        <w:ind w:left="1000" w:hanging="500"/>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Prior to its acquisition by the Company, $518.3 million was generated by CuraGen.</w:t>
      </w:r>
    </w:p>
    <w:p>
      <w:pPr>
        <w:spacing w:after="0" w:line="216" w:lineRule="exact"/>
        <w:rPr>
          <w:sz w:val="20"/>
          <w:szCs w:val="20"/>
          <w:color w:val="auto"/>
        </w:rPr>
      </w:pPr>
    </w:p>
    <w:p>
      <w:pPr>
        <w:ind w:right="260" w:firstLine="316"/>
        <w:spacing w:after="0" w:line="366" w:lineRule="auto"/>
        <w:rPr>
          <w:sz w:val="20"/>
          <w:szCs w:val="20"/>
          <w:color w:val="auto"/>
        </w:rPr>
      </w:pPr>
      <w:r>
        <w:rPr>
          <w:rFonts w:ascii="Arial" w:cs="Arial" w:eastAsia="Arial" w:hAnsi="Arial"/>
          <w:sz w:val="14"/>
          <w:szCs w:val="14"/>
          <w:color w:val="auto"/>
        </w:rPr>
        <w:t>As of December 31, 2014, the Company has an additional $8.0 million of federal and state net operating losses not reflected above, that are attributable to stock option exercises which will be recorded as an increase in additional paid in capital on the consolidated balance sheet once they are "realized" in accordance with ASC 718.</w:t>
      </w:r>
    </w:p>
    <w:p>
      <w:pPr>
        <w:spacing w:after="0" w:line="109" w:lineRule="exact"/>
        <w:rPr>
          <w:sz w:val="20"/>
          <w:szCs w:val="20"/>
          <w:color w:val="auto"/>
        </w:rPr>
      </w:pPr>
    </w:p>
    <w:p>
      <w:pPr>
        <w:ind w:firstLine="325"/>
        <w:spacing w:after="0" w:line="305" w:lineRule="auto"/>
        <w:rPr>
          <w:sz w:val="20"/>
          <w:szCs w:val="20"/>
          <w:color w:val="auto"/>
        </w:rPr>
      </w:pPr>
      <w:r>
        <w:rPr>
          <w:rFonts w:ascii="Arial" w:cs="Arial" w:eastAsia="Arial" w:hAnsi="Arial"/>
          <w:sz w:val="14"/>
          <w:szCs w:val="14"/>
          <w:color w:val="auto"/>
        </w:rPr>
        <w:t>In general, an ownership change, as defined by Section 382 of the Internal Revenue Code, results from transactions increasing the ownership of certain shareholders or public groups in the stock of a corporation by more than 50 percentage points over a three-year period. Such ownership changes can significantly limit the amount of NOLs that may be utilized in future periods. The Company currently expects that it is remote that the CuraGen NOLs may be utilized and, as such, no related asset has been recorded for such losses. The Company has not completed an analysis of losses generated by AVANT, however, the Company believes it is remote that $60.8 million of the AVANT NOLs may be utilized in future periods and there may be substantial limitations on the Company's ability to use the remaining NOLs of $40.4 million. Following the merger of the Company and AVANT, the Company experienced changes in ownership as defined by Section 382 in June 2009 and December 2009. Further, prior to the AVANT merger, the Company as a stand alone company experienced a change in ownership in October 2007. As a result of the ownership change in October 2007, utilization of the Company's NOLs prior to October 2007 is subject to an annual limitation of $4.5 million on $28.3 million of NOLs generated before that date. As a result of the ownership changes in June 2009 and December 2009, there is an annual limitation amount of $6.0 million on $67.7 million NOLs. Any unused annual limitation may be carried over to later years, and the amount of the limitation may, under certain circumstances, be subject to adjustment if the fair value of the Company's net assets are determined to be below or in excess of the tax basis of such assets at the time of the ownership change, and such unrealized loss or gain is recognized during the five-year period after the ownership change.</w:t>
      </w:r>
    </w:p>
    <w:p>
      <w:pPr>
        <w:spacing w:after="0" w:line="150" w:lineRule="exact"/>
        <w:rPr>
          <w:sz w:val="20"/>
          <w:szCs w:val="20"/>
          <w:color w:val="auto"/>
        </w:rPr>
      </w:pPr>
    </w:p>
    <w:p>
      <w:pPr>
        <w:jc w:val="both"/>
        <w:ind w:right="160" w:firstLine="325"/>
        <w:spacing w:after="0" w:line="302" w:lineRule="auto"/>
        <w:rPr>
          <w:sz w:val="20"/>
          <w:szCs w:val="20"/>
          <w:color w:val="auto"/>
        </w:rPr>
      </w:pPr>
      <w:r>
        <w:rPr>
          <w:rFonts w:ascii="Arial" w:cs="Arial" w:eastAsia="Arial" w:hAnsi="Arial"/>
          <w:sz w:val="15"/>
          <w:szCs w:val="15"/>
          <w:color w:val="auto"/>
        </w:rPr>
        <w:t>Similar to the AVANT and CuraGen NOL carryforwards above, the Company believes that it is not more likely than not that federal and state research and development ("R&amp;D") credits of $20.8 million and $14.4 million, respectively, will be utilized in the future periods. Further, the Company's ability to use the state NOLs of approximately $127.6 million and the remaining federal and state R&amp;D credit carryforwards of approximately $23.6 million and $9.3 million, respectively, may be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INCOME TAXES (Continued)</w:t>
      </w:r>
    </w:p>
    <w:p>
      <w:pPr>
        <w:spacing w:after="0" w:line="22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substantially limited. These state NOLs and federal and state credits expire at various dates starting in 2016 going through 2034. The Company has not yet completed a study of these credits to substantiate the amounts. Until a study is completed, no amounts are being presented as an uncertain tax position.</w:t>
      </w:r>
    </w:p>
    <w:p>
      <w:pPr>
        <w:spacing w:after="0" w:line="156" w:lineRule="exact"/>
        <w:rPr>
          <w:sz w:val="20"/>
          <w:szCs w:val="20"/>
          <w:color w:val="auto"/>
        </w:rPr>
      </w:pPr>
    </w:p>
    <w:p>
      <w:pPr>
        <w:ind w:right="220" w:firstLine="325"/>
        <w:spacing w:after="0" w:line="290" w:lineRule="auto"/>
        <w:rPr>
          <w:sz w:val="20"/>
          <w:szCs w:val="20"/>
          <w:color w:val="auto"/>
        </w:rPr>
      </w:pPr>
      <w:r>
        <w:rPr>
          <w:rFonts w:ascii="Arial" w:cs="Arial" w:eastAsia="Arial" w:hAnsi="Arial"/>
          <w:sz w:val="16"/>
          <w:szCs w:val="16"/>
          <w:color w:val="auto"/>
        </w:rPr>
        <w:t>Subsequent ownership changes, as defined in Section 382, could further limit the amount of net operating loss carryforwards and research and development credits that can be utilized annually to offset future taxable income.</w:t>
      </w:r>
    </w:p>
    <w:p>
      <w:pPr>
        <w:spacing w:after="0" w:line="156" w:lineRule="exact"/>
        <w:rPr>
          <w:sz w:val="20"/>
          <w:szCs w:val="20"/>
          <w:color w:val="auto"/>
        </w:rPr>
      </w:pPr>
    </w:p>
    <w:p>
      <w:pPr>
        <w:ind w:right="20" w:firstLine="322"/>
        <w:spacing w:after="0" w:line="265" w:lineRule="auto"/>
        <w:rPr>
          <w:sz w:val="20"/>
          <w:szCs w:val="20"/>
          <w:color w:val="auto"/>
        </w:rPr>
      </w:pPr>
      <w:r>
        <w:rPr>
          <w:rFonts w:ascii="Arial" w:cs="Arial" w:eastAsia="Arial" w:hAnsi="Arial"/>
          <w:sz w:val="16"/>
          <w:szCs w:val="16"/>
          <w:color w:val="auto"/>
        </w:rPr>
        <w:t>The Company applies the authoritative guidance on account for and disclosure of uncertainty in income tax positions which requires the Company to determine whether an income tax position of the Company is more likely than not to be sustained upon examination, including resolution of any related appeals or litigation processes, based on the technical merits of the position. For income tax positions meeting the more likely than not threshold, the tax amount recognized in the financial statements is reduced to the largest benefit that has a greater than fifty perfect likelihood of being realized upon the ultimate settlement with the relevant taxing authority. At December 31, 2014 and 2013, we had no unrecognized tax benefits. A full valuation allowance has been provided against our deferred tax assets and liabilities and, if an adjustment is required, this adjustment would be offset by an adjustment to the valuation allowance. Thus, there would be no impact to the consolidated balance sheet or statement of operations if an adjustment were required.</w:t>
      </w:r>
    </w:p>
    <w:p>
      <w:pPr>
        <w:spacing w:after="0" w:line="178" w:lineRule="exact"/>
        <w:rPr>
          <w:sz w:val="20"/>
          <w:szCs w:val="20"/>
          <w:color w:val="auto"/>
        </w:rPr>
      </w:pPr>
    </w:p>
    <w:p>
      <w:pPr>
        <w:ind w:right="80" w:firstLine="325"/>
        <w:spacing w:after="0" w:line="290" w:lineRule="auto"/>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 The Company is not currently under examination by these or any other jurisdictions for any tax year.</w:t>
      </w:r>
    </w:p>
    <w:p>
      <w:pPr>
        <w:spacing w:after="0" w:line="156" w:lineRule="exact"/>
        <w:rPr>
          <w:sz w:val="20"/>
          <w:szCs w:val="20"/>
          <w:color w:val="auto"/>
        </w:rPr>
      </w:pPr>
    </w:p>
    <w:p>
      <w:pPr>
        <w:ind w:right="320" w:firstLine="322"/>
        <w:spacing w:after="0" w:line="270"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December 31, 2014 against the Company's net deferred tax assets.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COMMITMENTS AND CONTINGENCIES</w:t>
      </w:r>
    </w:p>
    <w:p>
      <w:pPr>
        <w:spacing w:after="0" w:line="220" w:lineRule="exact"/>
        <w:rPr>
          <w:sz w:val="20"/>
          <w:szCs w:val="20"/>
          <w:color w:val="auto"/>
        </w:rPr>
      </w:pPr>
    </w:p>
    <w:p>
      <w:pPr>
        <w:ind w:firstLine="322"/>
        <w:spacing w:after="0" w:line="270" w:lineRule="auto"/>
        <w:rPr>
          <w:sz w:val="20"/>
          <w:szCs w:val="20"/>
          <w:color w:val="auto"/>
        </w:rPr>
      </w:pPr>
      <w:r>
        <w:rPr>
          <w:rFonts w:ascii="Arial" w:cs="Arial" w:eastAsia="Arial" w:hAnsi="Arial"/>
          <w:sz w:val="16"/>
          <w:szCs w:val="16"/>
          <w:color w:val="auto"/>
        </w:rPr>
        <w:t>The Company has facility and equipment leases that expire at various dates through 2019. Certain of these facility leases contain renewal options, early termination provisions, and provisions that escalate the base rent payments and require the Company to pay common area maintenance costs ("CAM") during the lease term. The following obligations for base rent and CAM costs under facility and other non-cancelable operating leases as of December 31, 2014 do not include the exercise of renewal terms or early termination provisions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7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2015</w:t>
            </w:r>
          </w:p>
        </w:tc>
        <w:tc>
          <w:tcPr>
            <w:tcW w:w="4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2,793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2016</w:t>
            </w:r>
          </w:p>
        </w:tc>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3,009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4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1,866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2018</w:t>
            </w:r>
          </w:p>
        </w:tc>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690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4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Thereafter</w:t>
            </w:r>
          </w:p>
        </w:tc>
        <w:tc>
          <w:tcPr>
            <w:tcW w:w="4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16"/>
                <w:szCs w:val="16"/>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Total minimum lease payments</w:t>
            </w:r>
          </w:p>
        </w:tc>
        <w:tc>
          <w:tcPr>
            <w:tcW w:w="4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8,720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80" w:type="dxa"/>
            <w:vAlign w:val="bottom"/>
            <w:vMerge w:val="restart"/>
          </w:tcPr>
          <w:p>
            <w:pPr>
              <w:jc w:val="right"/>
              <w:ind w:right="3099"/>
              <w:spacing w:after="0"/>
              <w:rPr>
                <w:sz w:val="20"/>
                <w:szCs w:val="20"/>
                <w:color w:val="auto"/>
              </w:rPr>
            </w:pPr>
            <w:r>
              <w:rPr>
                <w:rFonts w:ascii="Arial" w:cs="Arial" w:eastAsia="Arial" w:hAnsi="Arial"/>
                <w:sz w:val="16"/>
                <w:szCs w:val="16"/>
                <w:color w:val="auto"/>
              </w:rPr>
              <w:t>93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20" w:type="dxa"/>
            <w:vAlign w:val="bottom"/>
            <w:tcBorders>
              <w:bottom w:val="single" w:sz="8" w:color="808080"/>
            </w:tcBorders>
          </w:tcPr>
          <w:p>
            <w:pPr>
              <w:spacing w:after="0"/>
              <w:rPr>
                <w:sz w:val="18"/>
                <w:szCs w:val="18"/>
                <w:color w:val="auto"/>
              </w:rPr>
            </w:pPr>
          </w:p>
        </w:tc>
        <w:tc>
          <w:tcPr>
            <w:tcW w:w="2980" w:type="dxa"/>
            <w:vAlign w:val="bottom"/>
            <w:tcBorders>
              <w:bottom w:val="single" w:sz="8" w:color="808080"/>
            </w:tcBorders>
          </w:tcPr>
          <w:p>
            <w:pPr>
              <w:spacing w:after="0"/>
              <w:rPr>
                <w:sz w:val="18"/>
                <w:szCs w:val="18"/>
                <w:color w:val="auto"/>
              </w:rPr>
            </w:pPr>
          </w:p>
        </w:tc>
        <w:tc>
          <w:tcPr>
            <w:tcW w:w="42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CELLDEX THERAPEUTICS, INC.</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COMMITMENTS AND CONTINGENCIES (Continued)</w:t>
      </w:r>
    </w:p>
    <w:p>
      <w:pPr>
        <w:spacing w:after="0" w:line="220" w:lineRule="exact"/>
        <w:rPr>
          <w:sz w:val="20"/>
          <w:szCs w:val="20"/>
          <w:color w:val="auto"/>
        </w:rPr>
      </w:pPr>
    </w:p>
    <w:p>
      <w:pPr>
        <w:ind w:right="40" w:firstLine="322"/>
        <w:spacing w:after="0" w:line="290" w:lineRule="auto"/>
        <w:rPr>
          <w:sz w:val="20"/>
          <w:szCs w:val="20"/>
          <w:color w:val="auto"/>
        </w:rPr>
      </w:pPr>
      <w:r>
        <w:rPr>
          <w:rFonts w:ascii="Arial" w:cs="Arial" w:eastAsia="Arial" w:hAnsi="Arial"/>
          <w:sz w:val="16"/>
          <w:szCs w:val="16"/>
          <w:color w:val="auto"/>
        </w:rPr>
        <w:t>The Company's total rent and CAM expense for all facility leases was $2.7 million, $2.7 million and $2.5 million for the years ended December 31, 2014, 2013 and 2012,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RETIREMENT SAVINGS PLAN</w:t>
      </w:r>
    </w:p>
    <w:p>
      <w:pPr>
        <w:spacing w:after="0" w:line="220" w:lineRule="exact"/>
        <w:rPr>
          <w:sz w:val="20"/>
          <w:szCs w:val="20"/>
          <w:color w:val="auto"/>
        </w:rPr>
      </w:pPr>
    </w:p>
    <w:p>
      <w:pPr>
        <w:ind w:right="300" w:firstLine="322"/>
        <w:spacing w:after="0" w:line="302" w:lineRule="auto"/>
        <w:rPr>
          <w:sz w:val="20"/>
          <w:szCs w:val="20"/>
          <w:color w:val="auto"/>
        </w:rPr>
      </w:pPr>
      <w:r>
        <w:rPr>
          <w:rFonts w:ascii="Arial" w:cs="Arial" w:eastAsia="Arial" w:hAnsi="Arial"/>
          <w:sz w:val="15"/>
          <w:szCs w:val="15"/>
          <w:color w:val="auto"/>
        </w:rPr>
        <w:t>The Company maintains a 401(k) Plan which is available to substantially all employees. Under the terms of the 401(k) Plan, participants may elect to contribute up to 15% of their compensation, or the statutory prescribed limits. The Company may make 50% matching contributions on up to 4% of a participant's annual salary. Benefit expense for the 401(k) Plan was $0.3 million, $0.3 million and $0.2 million for the years ended December 31, 2014, 2013 and 2012,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SELECTED QUARTERLY FINANCIAL DATA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00" w:type="dxa"/>
            <w:vAlign w:val="bottom"/>
            <w:gridSpan w:val="2"/>
          </w:tcPr>
          <w:p>
            <w:pPr>
              <w:ind w:left="1720"/>
              <w:spacing w:after="0"/>
              <w:rPr>
                <w:sz w:val="20"/>
                <w:szCs w:val="20"/>
                <w:color w:val="auto"/>
              </w:rPr>
            </w:pPr>
            <w:r>
              <w:rPr>
                <w:rFonts w:ascii="Arial" w:cs="Arial" w:eastAsia="Arial" w:hAnsi="Arial"/>
                <w:sz w:val="13"/>
                <w:szCs w:val="13"/>
                <w:b w:val="1"/>
                <w:bCs w:val="1"/>
                <w:color w:val="auto"/>
                <w:w w:val="89"/>
              </w:rPr>
              <w:t>2014</w:t>
            </w:r>
          </w:p>
        </w:tc>
        <w:tc>
          <w:tcPr>
            <w:tcW w:w="3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2"/>
              </w:rPr>
              <w:t>Q1 2014</w:t>
            </w:r>
          </w:p>
        </w:tc>
        <w:tc>
          <w:tcPr>
            <w:tcW w:w="10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2"/>
              </w:rPr>
              <w:t>Q2 2014</w:t>
            </w:r>
          </w:p>
        </w:tc>
        <w:tc>
          <w:tcPr>
            <w:tcW w:w="12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8"/>
              </w:rPr>
              <w:t>Q3 2014</w:t>
            </w:r>
          </w:p>
        </w:tc>
        <w:tc>
          <w:tcPr>
            <w:tcW w:w="120" w:type="dxa"/>
            <w:vAlign w:val="bottom"/>
          </w:tcPr>
          <w:p>
            <w:pPr>
              <w:spacing w:after="0"/>
              <w:rPr>
                <w:sz w:val="13"/>
                <w:szCs w:val="13"/>
                <w:color w:val="auto"/>
              </w:rPr>
            </w:pPr>
          </w:p>
        </w:tc>
        <w:tc>
          <w:tcPr>
            <w:tcW w:w="2460" w:type="dxa"/>
            <w:vAlign w:val="bottom"/>
            <w:gridSpan w:val="3"/>
          </w:tcPr>
          <w:p>
            <w:pPr>
              <w:ind w:left="20"/>
              <w:spacing w:after="0"/>
              <w:rPr>
                <w:sz w:val="20"/>
                <w:szCs w:val="20"/>
                <w:color w:val="auto"/>
              </w:rPr>
            </w:pPr>
            <w:r>
              <w:rPr>
                <w:rFonts w:ascii="Arial" w:cs="Arial" w:eastAsia="Arial" w:hAnsi="Arial"/>
                <w:sz w:val="13"/>
                <w:szCs w:val="13"/>
                <w:b w:val="1"/>
                <w:bCs w:val="1"/>
                <w:color w:val="auto"/>
              </w:rPr>
              <w:t>Q4 2014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3"/>
                <w:szCs w:val="13"/>
                <w:b w:val="1"/>
                <w:bCs w:val="1"/>
                <w:color w:val="auto"/>
              </w:rPr>
              <w:t>(In</w:t>
            </w:r>
          </w:p>
        </w:tc>
        <w:tc>
          <w:tcPr>
            <w:tcW w:w="160" w:type="dxa"/>
            <w:vAlign w:val="bottom"/>
            <w:vMerge w:val="continue"/>
          </w:tcPr>
          <w:p>
            <w:pPr>
              <w:spacing w:after="0"/>
              <w:rPr>
                <w:sz w:val="11"/>
                <w:szCs w:val="11"/>
                <w:color w:val="auto"/>
              </w:rPr>
            </w:pPr>
          </w:p>
        </w:tc>
        <w:tc>
          <w:tcPr>
            <w:tcW w:w="4300" w:type="dxa"/>
            <w:vAlign w:val="bottom"/>
            <w:gridSpan w:val="10"/>
          </w:tcPr>
          <w:p>
            <w:pPr>
              <w:spacing w:after="0" w:line="130" w:lineRule="exact"/>
              <w:rPr>
                <w:sz w:val="20"/>
                <w:szCs w:val="20"/>
                <w:color w:val="auto"/>
              </w:rPr>
            </w:pPr>
            <w:r>
              <w:rPr>
                <w:rFonts w:ascii="Arial" w:cs="Arial" w:eastAsia="Arial" w:hAnsi="Arial"/>
                <w:sz w:val="13"/>
                <w:szCs w:val="13"/>
                <w:b w:val="1"/>
                <w:bCs w:val="1"/>
                <w:color w:val="auto"/>
              </w:rPr>
              <w:t>thousands, except per share amounts)</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1,477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(29,903)</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(28,274)</w:t>
            </w: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(28,082)</w:t>
            </w: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(31,821)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and diluted net loss per common share</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(0.31)</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(0.36)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8"/>
        </w:trPr>
        <w:tc>
          <w:tcPr>
            <w:tcW w:w="2000" w:type="dxa"/>
            <w:vAlign w:val="bottom"/>
            <w:gridSpan w:val="2"/>
          </w:tcPr>
          <w:p>
            <w:pPr>
              <w:ind w:left="1720"/>
              <w:spacing w:after="0"/>
              <w:rPr>
                <w:sz w:val="20"/>
                <w:szCs w:val="20"/>
                <w:color w:val="auto"/>
              </w:rPr>
            </w:pPr>
            <w:r>
              <w:rPr>
                <w:rFonts w:ascii="Arial" w:cs="Arial" w:eastAsia="Arial" w:hAnsi="Arial"/>
                <w:sz w:val="13"/>
                <w:szCs w:val="13"/>
                <w:b w:val="1"/>
                <w:bCs w:val="1"/>
                <w:color w:val="auto"/>
                <w:w w:val="89"/>
              </w:rPr>
              <w:t>2013</w:t>
            </w:r>
          </w:p>
        </w:tc>
        <w:tc>
          <w:tcPr>
            <w:tcW w:w="3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2"/>
              </w:rPr>
              <w:t>Q1 2013</w:t>
            </w:r>
          </w:p>
        </w:tc>
        <w:tc>
          <w:tcPr>
            <w:tcW w:w="10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2"/>
              </w:rPr>
              <w:t>Q2 2013</w:t>
            </w:r>
          </w:p>
        </w:tc>
        <w:tc>
          <w:tcPr>
            <w:tcW w:w="12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8"/>
              </w:rPr>
              <w:t>Q3 2013</w:t>
            </w:r>
          </w:p>
        </w:tc>
        <w:tc>
          <w:tcPr>
            <w:tcW w:w="120" w:type="dxa"/>
            <w:vAlign w:val="bottom"/>
          </w:tcPr>
          <w:p>
            <w:pPr>
              <w:spacing w:after="0"/>
              <w:rPr>
                <w:sz w:val="24"/>
                <w:szCs w:val="24"/>
                <w:color w:val="auto"/>
              </w:rPr>
            </w:pPr>
          </w:p>
        </w:tc>
        <w:tc>
          <w:tcPr>
            <w:tcW w:w="2460" w:type="dxa"/>
            <w:vAlign w:val="bottom"/>
            <w:gridSpan w:val="3"/>
          </w:tcPr>
          <w:p>
            <w:pPr>
              <w:ind w:left="20"/>
              <w:spacing w:after="0"/>
              <w:rPr>
                <w:sz w:val="20"/>
                <w:szCs w:val="20"/>
                <w:color w:val="auto"/>
              </w:rPr>
            </w:pPr>
            <w:r>
              <w:rPr>
                <w:rFonts w:ascii="Arial" w:cs="Arial" w:eastAsia="Arial" w:hAnsi="Arial"/>
                <w:sz w:val="13"/>
                <w:szCs w:val="13"/>
                <w:b w:val="1"/>
                <w:bCs w:val="1"/>
                <w:color w:val="auto"/>
              </w:rPr>
              <w:t>Q4 2013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Arial" w:cs="Arial" w:eastAsia="Arial" w:hAnsi="Arial"/>
                <w:sz w:val="13"/>
                <w:szCs w:val="13"/>
                <w:b w:val="1"/>
                <w:bCs w:val="1"/>
                <w:color w:val="auto"/>
              </w:rPr>
              <w:t>(In</w:t>
            </w:r>
          </w:p>
        </w:tc>
        <w:tc>
          <w:tcPr>
            <w:tcW w:w="160" w:type="dxa"/>
            <w:vAlign w:val="bottom"/>
            <w:vMerge w:val="continue"/>
          </w:tcPr>
          <w:p>
            <w:pPr>
              <w:spacing w:after="0"/>
              <w:rPr>
                <w:sz w:val="11"/>
                <w:szCs w:val="11"/>
                <w:color w:val="auto"/>
              </w:rPr>
            </w:pPr>
          </w:p>
        </w:tc>
        <w:tc>
          <w:tcPr>
            <w:tcW w:w="4300" w:type="dxa"/>
            <w:vAlign w:val="bottom"/>
            <w:gridSpan w:val="10"/>
          </w:tcPr>
          <w:p>
            <w:pPr>
              <w:spacing w:after="0" w:line="130" w:lineRule="exact"/>
              <w:rPr>
                <w:sz w:val="20"/>
                <w:szCs w:val="20"/>
                <w:color w:val="auto"/>
              </w:rPr>
            </w:pPr>
            <w:r>
              <w:rPr>
                <w:rFonts w:ascii="Arial" w:cs="Arial" w:eastAsia="Arial" w:hAnsi="Arial"/>
                <w:sz w:val="13"/>
                <w:szCs w:val="13"/>
                <w:b w:val="1"/>
                <w:bCs w:val="1"/>
                <w:color w:val="auto"/>
              </w:rPr>
              <w:t>thousands, except per share amounts)</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2,414</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(17,332)</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(19,016)</w:t>
            </w: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(23,140)</w:t>
            </w:r>
          </w:p>
        </w:tc>
        <w:tc>
          <w:tcPr>
            <w:tcW w:w="1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(22,062)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and diluted net loss per common share</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(0.29)</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1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Item 9.</w:t>
        <w:tab/>
        <w:t>CHANGES IN AND DISAGREEMENTS WITH ACCOUNTANTS ON ACCOUNTING AND FINANCIAL DISCLOSURE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9A.</w:t>
        <w:tab/>
        <w:t>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6" w:lineRule="exact"/>
        <w:rPr>
          <w:sz w:val="20"/>
          <w:szCs w:val="20"/>
          <w:color w:val="auto"/>
        </w:rPr>
      </w:pPr>
    </w:p>
    <w:p>
      <w:pPr>
        <w:ind w:firstLine="316"/>
        <w:spacing w:after="0" w:line="311" w:lineRule="auto"/>
        <w:rPr>
          <w:sz w:val="20"/>
          <w:szCs w:val="20"/>
          <w:color w:val="auto"/>
        </w:rPr>
      </w:pPr>
      <w:r>
        <w:rPr>
          <w:rFonts w:ascii="Arial" w:cs="Arial" w:eastAsia="Arial" w:hAnsi="Arial"/>
          <w:sz w:val="14"/>
          <w:szCs w:val="14"/>
          <w:color w:val="auto"/>
        </w:rPr>
        <w:t>As of December 31, 2014,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2014.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Management's Annual Report on Internal Control Over Financial Reporting</w:t>
      </w:r>
    </w:p>
    <w:p>
      <w:pPr>
        <w:spacing w:after="0" w:line="216" w:lineRule="exact"/>
        <w:rPr>
          <w:sz w:val="20"/>
          <w:szCs w:val="20"/>
          <w:color w:val="auto"/>
        </w:rPr>
      </w:pPr>
    </w:p>
    <w:p>
      <w:pPr>
        <w:jc w:val="both"/>
        <w:ind w:right="40" w:firstLine="325"/>
        <w:spacing w:after="0" w:line="294" w:lineRule="auto"/>
        <w:rPr>
          <w:sz w:val="20"/>
          <w:szCs w:val="20"/>
          <w:color w:val="auto"/>
        </w:rPr>
      </w:pPr>
      <w:r>
        <w:rPr>
          <w:rFonts w:ascii="Arial" w:cs="Arial" w:eastAsia="Arial" w:hAnsi="Arial"/>
          <w:sz w:val="15"/>
          <w:szCs w:val="15"/>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168" w:lineRule="exact"/>
        <w:rPr>
          <w:sz w:val="20"/>
          <w:szCs w:val="20"/>
          <w:color w:val="auto"/>
        </w:rPr>
      </w:pPr>
    </w:p>
    <w:p>
      <w:pPr>
        <w:ind w:left="1000" w:hanging="500"/>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41" w:lineRule="exact"/>
        <w:rPr>
          <w:rFonts w:ascii="Arial" w:cs="Arial" w:eastAsia="Arial" w:hAnsi="Arial"/>
          <w:sz w:val="16"/>
          <w:szCs w:val="16"/>
          <w:color w:val="auto"/>
        </w:rPr>
      </w:pPr>
    </w:p>
    <w:p>
      <w:pPr>
        <w:ind w:left="1000" w:right="240" w:hanging="500"/>
        <w:spacing w:after="0" w:line="366" w:lineRule="auto"/>
        <w:tabs>
          <w:tab w:leader="none" w:pos="1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121" w:lineRule="exact"/>
        <w:rPr>
          <w:rFonts w:ascii="Arial" w:cs="Arial" w:eastAsia="Arial" w:hAnsi="Arial"/>
          <w:sz w:val="14"/>
          <w:szCs w:val="14"/>
          <w:color w:val="auto"/>
        </w:rPr>
      </w:pPr>
    </w:p>
    <w:p>
      <w:pPr>
        <w:ind w:left="1000" w:right="220" w:hanging="500"/>
        <w:spacing w:after="0" w:line="290"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provide reasonable assurance regarding the prevention or timely detection of unauthorized acquisition, use or disposition of assets that could have a material effect on our financial statements.</w:t>
      </w:r>
    </w:p>
    <w:p>
      <w:pPr>
        <w:spacing w:after="0" w:line="156" w:lineRule="exact"/>
        <w:rPr>
          <w:sz w:val="20"/>
          <w:szCs w:val="20"/>
          <w:color w:val="auto"/>
        </w:rPr>
      </w:pPr>
    </w:p>
    <w:p>
      <w:pPr>
        <w:ind w:right="200" w:firstLine="325"/>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ind w:right="20" w:firstLine="325"/>
        <w:spacing w:after="0" w:line="270" w:lineRule="auto"/>
        <w:rPr>
          <w:sz w:val="20"/>
          <w:szCs w:val="20"/>
          <w:color w:val="auto"/>
        </w:rPr>
      </w:pPr>
      <w:r>
        <w:rPr>
          <w:rFonts w:ascii="Arial" w:cs="Arial" w:eastAsia="Arial" w:hAnsi="Arial"/>
          <w:sz w:val="16"/>
          <w:szCs w:val="16"/>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Based on this evaluation, our management concluded that our internal control over financial reporting was effective as of December 31, 2014.</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right="200" w:firstLine="322"/>
        <w:spacing w:after="0" w:line="290" w:lineRule="auto"/>
        <w:rPr>
          <w:sz w:val="20"/>
          <w:szCs w:val="20"/>
          <w:color w:val="auto"/>
        </w:rPr>
      </w:pPr>
      <w:r>
        <w:rPr>
          <w:rFonts w:ascii="Arial" w:cs="Arial" w:eastAsia="Arial" w:hAnsi="Arial"/>
          <w:sz w:val="16"/>
          <w:szCs w:val="16"/>
          <w:color w:val="auto"/>
        </w:rPr>
        <w:t>The effectiveness of our internal control over financial reporting as of December 31, 2014 has been audited by PricewaterhouseCoopers LLP, an independent registered public accounting firm, as stated in their report, which is included herein.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6" w:lineRule="exact"/>
        <w:rPr>
          <w:sz w:val="20"/>
          <w:szCs w:val="20"/>
          <w:color w:val="auto"/>
        </w:rPr>
      </w:pPr>
    </w:p>
    <w:p>
      <w:pPr>
        <w:ind w:right="120" w:firstLine="322"/>
        <w:spacing w:after="0" w:line="290" w:lineRule="auto"/>
        <w:rPr>
          <w:sz w:val="20"/>
          <w:szCs w:val="20"/>
          <w:color w:val="auto"/>
        </w:rPr>
      </w:pPr>
      <w:r>
        <w:rPr>
          <w:rFonts w:ascii="Arial" w:cs="Arial" w:eastAsia="Arial" w:hAnsi="Arial"/>
          <w:sz w:val="16"/>
          <w:szCs w:val="16"/>
          <w:color w:val="auto"/>
        </w:rPr>
        <w:t>There were no changes in our internal control over financial reporting during the three months ended December 31, 2014 that have materially affected, or are reasonably likely to materially affect, our internal control over financial reporting.</w:t>
      </w:r>
    </w:p>
    <w:p>
      <w:pPr>
        <w:spacing w:after="0" w:line="15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9B.</w:t>
        <w:tab/>
        <w:t>OTHER INFORMATION</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III</w:t>
      </w:r>
    </w:p>
    <w:p>
      <w:pPr>
        <w:spacing w:after="0" w:line="216"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10.</w:t>
        <w:tab/>
        <w:t>DIRECTORS, EXECUTIVE OFFICERS AND CORPORATE GOVERNANCE</w:t>
      </w:r>
    </w:p>
    <w:p>
      <w:pPr>
        <w:spacing w:after="0" w:line="220" w:lineRule="exact"/>
        <w:rPr>
          <w:sz w:val="20"/>
          <w:szCs w:val="20"/>
          <w:color w:val="auto"/>
        </w:rPr>
      </w:pPr>
    </w:p>
    <w:p>
      <w:pPr>
        <w:ind w:firstLine="322"/>
        <w:spacing w:after="0" w:line="294" w:lineRule="auto"/>
        <w:rPr>
          <w:sz w:val="20"/>
          <w:szCs w:val="20"/>
          <w:color w:val="auto"/>
        </w:rPr>
      </w:pPr>
      <w:r>
        <w:rPr>
          <w:rFonts w:ascii="Arial" w:cs="Arial" w:eastAsia="Arial" w:hAnsi="Arial"/>
          <w:sz w:val="15"/>
          <w:szCs w:val="15"/>
          <w:color w:val="auto"/>
        </w:rPr>
        <w:t>The information required by this Item 10 will be included in the definitive Proxy Statement for our 2015 Annual Meeting of Stockholders, or the 2015 Proxy Statement, under "Information Regarding the Current Directors and Executive Officers of Celldex Therapeutic, Inc.," "Section 16(a) Beneficial Ownership Reporting Compliance," "Code of Business Conduct and Ethics" and "The Board of Directors and Its Committees" and is incorporated herein by reference. If the 2015 Proxy Statement is not filed with the SEC within 120 days after the end of our most recent fiscal year, we will provide such information by means of an amendment to this Annual Report on Form 10-K.</w:t>
      </w:r>
    </w:p>
    <w:p>
      <w:pPr>
        <w:spacing w:after="0" w:line="151"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11.</w:t>
        <w:tab/>
        <w:t>EXECUTIVE COMPENSATION</w:t>
      </w:r>
    </w:p>
    <w:p>
      <w:pPr>
        <w:spacing w:after="0" w:line="220" w:lineRule="exact"/>
        <w:rPr>
          <w:sz w:val="20"/>
          <w:szCs w:val="20"/>
          <w:color w:val="auto"/>
        </w:rPr>
      </w:pPr>
    </w:p>
    <w:p>
      <w:pPr>
        <w:ind w:right="160" w:firstLine="322"/>
        <w:spacing w:after="0" w:line="275" w:lineRule="auto"/>
        <w:rPr>
          <w:sz w:val="20"/>
          <w:szCs w:val="20"/>
          <w:color w:val="auto"/>
        </w:rPr>
      </w:pPr>
      <w:r>
        <w:rPr>
          <w:rFonts w:ascii="Arial" w:cs="Arial" w:eastAsia="Arial" w:hAnsi="Arial"/>
          <w:sz w:val="16"/>
          <w:szCs w:val="16"/>
          <w:color w:val="auto"/>
        </w:rPr>
        <w:t>The information required by this Item 11 will be included in the 2015 Proxy Statement under "Executive Compensation," and "Compensation Committee Interlocks and Insider Participation," and is incorporated herein by reference. If the 2015 Proxy Statement is not filed with the SEC within 120 days after the end of our most recent fiscal year, we will provide such information by means of an amendment to this Annual Report on Form 10-K.</w:t>
      </w:r>
    </w:p>
    <w:p>
      <w:pPr>
        <w:spacing w:after="0" w:line="164"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12.</w:t>
        <w:tab/>
        <w:t>SECURITY OWNERSHIP OF CERTAIN BENEFICIAL OWNERS AND MANAGEMENT AND RELATED STOCKHOLDER MATTERS</w:t>
      </w:r>
    </w:p>
    <w:p>
      <w:pPr>
        <w:spacing w:after="0" w:line="220" w:lineRule="exact"/>
        <w:rPr>
          <w:sz w:val="20"/>
          <w:szCs w:val="20"/>
          <w:color w:val="auto"/>
        </w:rPr>
      </w:pPr>
    </w:p>
    <w:p>
      <w:pPr>
        <w:jc w:val="both"/>
        <w:ind w:right="180" w:firstLine="322"/>
        <w:spacing w:after="0" w:line="275" w:lineRule="auto"/>
        <w:rPr>
          <w:sz w:val="20"/>
          <w:szCs w:val="20"/>
          <w:color w:val="auto"/>
        </w:rPr>
      </w:pPr>
      <w:r>
        <w:rPr>
          <w:rFonts w:ascii="Arial" w:cs="Arial" w:eastAsia="Arial" w:hAnsi="Arial"/>
          <w:sz w:val="16"/>
          <w:szCs w:val="16"/>
          <w:color w:val="auto"/>
        </w:rPr>
        <w:t>The information required by this Item 12 will be included in the 2015 Proxy Statement under "Security Ownership of Certain Beneficial Owners and Management" and "Equity Compensation Plan Information" and is incorporated herein by reference. If the 2015 Proxy Statement is not filed with the SEC within 120 days after the end of our most recent fiscal year, we will provide such information by means of an amendment to this Annual Report on Form 10-K.</w:t>
      </w:r>
    </w:p>
    <w:p>
      <w:pPr>
        <w:spacing w:after="0" w:line="164"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13.</w:t>
        <w:tab/>
        <w:t>CERTAIN RELATIONSHIPS AND RELATED TRANSACTIONS, AND DIRECTOR INDEPENDENCE</w:t>
      </w:r>
    </w:p>
    <w:p>
      <w:pPr>
        <w:spacing w:after="0" w:line="220" w:lineRule="exact"/>
        <w:rPr>
          <w:sz w:val="20"/>
          <w:szCs w:val="20"/>
          <w:color w:val="auto"/>
        </w:rPr>
      </w:pPr>
    </w:p>
    <w:p>
      <w:pPr>
        <w:jc w:val="both"/>
        <w:ind w:right="180" w:firstLine="322"/>
        <w:spacing w:after="0" w:line="275" w:lineRule="auto"/>
        <w:rPr>
          <w:sz w:val="20"/>
          <w:szCs w:val="20"/>
          <w:color w:val="auto"/>
        </w:rPr>
      </w:pPr>
      <w:r>
        <w:rPr>
          <w:rFonts w:ascii="Arial" w:cs="Arial" w:eastAsia="Arial" w:hAnsi="Arial"/>
          <w:sz w:val="16"/>
          <w:szCs w:val="16"/>
          <w:color w:val="auto"/>
        </w:rPr>
        <w:t>The information required by this Item 13 will be included in the 2015 Proxy Statement under "Election of Directors" and "Approval of Related Person Transactions and Transactions with Related Persons" and is incorporated herein by reference. If the 2015 Proxy Statement is not filed with the SEC within 120 days after the end of our most recent fiscal year, we will provide such information by means of an amendment to this Annual Report on Form 10-K.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2"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14.</w:t>
        <w:tab/>
        <w:t>PRINCIPAL ACCOUNTING FEES AND SERVICES</w:t>
      </w:r>
    </w:p>
    <w:p>
      <w:pPr>
        <w:spacing w:after="0" w:line="220" w:lineRule="exact"/>
        <w:rPr>
          <w:sz w:val="20"/>
          <w:szCs w:val="20"/>
          <w:color w:val="auto"/>
        </w:rPr>
      </w:pPr>
    </w:p>
    <w:p>
      <w:pPr>
        <w:ind w:firstLine="322"/>
        <w:spacing w:after="0" w:line="275" w:lineRule="auto"/>
        <w:rPr>
          <w:sz w:val="20"/>
          <w:szCs w:val="20"/>
          <w:color w:val="auto"/>
        </w:rPr>
      </w:pPr>
      <w:r>
        <w:rPr>
          <w:rFonts w:ascii="Arial" w:cs="Arial" w:eastAsia="Arial" w:hAnsi="Arial"/>
          <w:sz w:val="16"/>
          <w:szCs w:val="16"/>
          <w:color w:val="auto"/>
        </w:rPr>
        <w:t>The information required by this Item 14 will be included in the 2015 Proxy Statement under "Independent Registered Public Accounting Firm" and is incorporated herein by reference. If the 2015 Proxy Statement is not filed with the SEC within 120 days after the end of our most recent fiscal year, we will provide such information by means of an amendment to this Annual Report on Form 10-K.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IV</w:t>
      </w:r>
    </w:p>
    <w:p>
      <w:pPr>
        <w:spacing w:after="0" w:line="216"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15.</w:t>
        <w:tab/>
        <w:t>EXHIBITS, FINANCIAL STATEMENT SCHEDULES</w:t>
      </w:r>
    </w:p>
    <w:p>
      <w:pPr>
        <w:spacing w:after="0" w:line="233" w:lineRule="exact"/>
        <w:rPr>
          <w:sz w:val="20"/>
          <w:szCs w:val="20"/>
          <w:color w:val="auto"/>
        </w:rPr>
      </w:pPr>
    </w:p>
    <w:p>
      <w:pPr>
        <w:ind w:left="500" w:hanging="500"/>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following documents are filed as part of this Form 10-K:</w:t>
      </w:r>
    </w:p>
    <w:p>
      <w:pPr>
        <w:spacing w:after="0" w:line="200" w:lineRule="exact"/>
        <w:rPr>
          <w:sz w:val="20"/>
          <w:szCs w:val="20"/>
          <w:color w:val="auto"/>
        </w:rPr>
      </w:pPr>
    </w:p>
    <w:p>
      <w:pPr>
        <w:spacing w:after="0" w:line="241" w:lineRule="exact"/>
        <w:rPr>
          <w:sz w:val="20"/>
          <w:szCs w:val="20"/>
          <w:color w:val="auto"/>
        </w:rPr>
      </w:pPr>
    </w:p>
    <w:p>
      <w:pPr>
        <w:ind w:left="1000" w:hanging="500"/>
        <w:spacing w:after="0"/>
        <w:tabs>
          <w:tab w:leader="none" w:pos="100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Statements: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Financial Statements and Supplementary Data are included in Part II Item 8 of this report.</w:t>
      </w:r>
    </w:p>
    <w:p>
      <w:pPr>
        <w:spacing w:after="0" w:line="229" w:lineRule="exact"/>
        <w:rPr>
          <w:sz w:val="20"/>
          <w:szCs w:val="20"/>
          <w:color w:val="auto"/>
        </w:rPr>
      </w:pPr>
    </w:p>
    <w:p>
      <w:pPr>
        <w:ind w:left="1000" w:hanging="500"/>
        <w:spacing w:after="0"/>
        <w:tabs>
          <w:tab w:leader="none" w:pos="100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Statement Schedules:</w:t>
      </w:r>
    </w:p>
    <w:p>
      <w:pPr>
        <w:spacing w:after="0" w:line="216" w:lineRule="exact"/>
        <w:rPr>
          <w:sz w:val="20"/>
          <w:szCs w:val="20"/>
          <w:color w:val="auto"/>
        </w:rPr>
      </w:pPr>
    </w:p>
    <w:p>
      <w:pPr>
        <w:ind w:right="580" w:firstLine="325"/>
        <w:spacing w:after="0" w:line="290" w:lineRule="auto"/>
        <w:rPr>
          <w:sz w:val="20"/>
          <w:szCs w:val="20"/>
          <w:color w:val="auto"/>
        </w:rPr>
      </w:pPr>
      <w:r>
        <w:rPr>
          <w:rFonts w:ascii="Arial" w:cs="Arial" w:eastAsia="Arial" w:hAnsi="Arial"/>
          <w:sz w:val="16"/>
          <w:szCs w:val="16"/>
          <w:color w:val="auto"/>
        </w:rPr>
        <w:t>Schedules are omitted since the required information is not applicable or is not present in amounts sufficient to require submission of the schedule, or because the information required is included in the Consolidated Financial Statements or Notes thereto.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0" w:type="dxa"/>
            <w:vAlign w:val="bottom"/>
          </w:tcPr>
          <w:p>
            <w:pPr>
              <w:jc w:val="right"/>
              <w:ind w:right="79"/>
              <w:spacing w:after="0"/>
              <w:rPr>
                <w:sz w:val="20"/>
                <w:szCs w:val="20"/>
                <w:color w:val="auto"/>
              </w:rPr>
            </w:pPr>
            <w:r>
              <w:rPr>
                <w:rFonts w:ascii="Arial" w:cs="Arial" w:eastAsia="Arial" w:hAnsi="Arial"/>
                <w:sz w:val="16"/>
                <w:szCs w:val="16"/>
                <w:i w:val="1"/>
                <w:iCs w:val="1"/>
                <w:color w:val="auto"/>
              </w:rPr>
              <w:t>(3)</w:t>
            </w:r>
          </w:p>
        </w:tc>
        <w:tc>
          <w:tcPr>
            <w:tcW w:w="1020" w:type="dxa"/>
            <w:vAlign w:val="bottom"/>
            <w:gridSpan w:val="3"/>
          </w:tcPr>
          <w:p>
            <w:pPr>
              <w:ind w:left="160"/>
              <w:spacing w:after="0"/>
              <w:rPr>
                <w:sz w:val="20"/>
                <w:szCs w:val="20"/>
                <w:color w:val="auto"/>
              </w:rPr>
            </w:pPr>
            <w:r>
              <w:rPr>
                <w:rFonts w:ascii="Arial" w:cs="Arial" w:eastAsia="Arial" w:hAnsi="Arial"/>
                <w:sz w:val="16"/>
                <w:szCs w:val="16"/>
                <w:i w:val="1"/>
                <w:iCs w:val="1"/>
                <w:color w:val="auto"/>
              </w:rPr>
              <w:t>Exhibits:</w:t>
            </w:r>
          </w:p>
        </w:tc>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90"/>
        </w:trPr>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6"/>
          </w:tcPr>
          <w:p>
            <w:pPr>
              <w:ind w:left="620"/>
              <w:spacing w:after="0"/>
              <w:rPr>
                <w:sz w:val="20"/>
                <w:szCs w:val="20"/>
                <w:color w:val="auto"/>
              </w:rPr>
            </w:pPr>
            <w:r>
              <w:rPr>
                <w:rFonts w:ascii="Arial" w:cs="Arial" w:eastAsia="Arial" w:hAnsi="Arial"/>
                <w:sz w:val="13"/>
                <w:szCs w:val="13"/>
                <w:b w:val="1"/>
                <w:bCs w:val="1"/>
                <w:color w:val="auto"/>
              </w:rPr>
              <w:t>Incorporated by Reference to</w:t>
            </w:r>
          </w:p>
        </w:tc>
      </w:tr>
      <w:tr>
        <w:trPr>
          <w:trHeight w:val="117"/>
        </w:trPr>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1"/>
              </w:rPr>
              <w:t>Form and</w:t>
            </w: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2"/>
              </w:rPr>
              <w:t>Exhibit</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9"/>
              </w:rPr>
              <w:t>SEC</w:t>
            </w:r>
          </w:p>
        </w:tc>
        <w:tc>
          <w:tcPr>
            <w:tcW w:w="1140" w:type="dxa"/>
            <w:vAlign w:val="bottom"/>
          </w:tcPr>
          <w:p>
            <w:pPr>
              <w:spacing w:after="0"/>
              <w:rPr>
                <w:sz w:val="10"/>
                <w:szCs w:val="10"/>
                <w:color w:val="auto"/>
              </w:rPr>
            </w:pPr>
          </w:p>
        </w:tc>
      </w:tr>
      <w:tr>
        <w:trPr>
          <w:trHeight w:val="150"/>
        </w:trPr>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ind w:left="200"/>
              <w:spacing w:after="0"/>
              <w:rPr>
                <w:sz w:val="20"/>
                <w:szCs w:val="20"/>
                <w:color w:val="auto"/>
              </w:rPr>
            </w:pPr>
            <w:r>
              <w:rPr>
                <w:rFonts w:ascii="Arial" w:cs="Arial" w:eastAsia="Arial" w:hAnsi="Arial"/>
                <w:sz w:val="13"/>
                <w:szCs w:val="13"/>
                <w:b w:val="1"/>
                <w:bCs w:val="1"/>
                <w:color w:val="auto"/>
              </w:rPr>
              <w:t>No.</w:t>
            </w:r>
          </w:p>
        </w:tc>
        <w:tc>
          <w:tcPr>
            <w:tcW w:w="5620" w:type="dxa"/>
            <w:vAlign w:val="bottom"/>
            <w:gridSpan w:val="2"/>
          </w:tcPr>
          <w:p>
            <w:pPr>
              <w:ind w:left="2440"/>
              <w:spacing w:after="0"/>
              <w:rPr>
                <w:sz w:val="20"/>
                <w:szCs w:val="20"/>
                <w:color w:val="auto"/>
              </w:rPr>
            </w:pPr>
            <w:r>
              <w:rPr>
                <w:rFonts w:ascii="Arial" w:cs="Arial" w:eastAsia="Arial" w:hAnsi="Arial"/>
                <w:sz w:val="13"/>
                <w:szCs w:val="13"/>
                <w:b w:val="1"/>
                <w:bCs w:val="1"/>
                <w:color w:val="auto"/>
              </w:rPr>
              <w:t>Description</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0"/>
              </w:rPr>
              <w:t>SEC File No.</w:t>
            </w:r>
          </w:p>
        </w:tc>
        <w:tc>
          <w:tcPr>
            <w:tcW w:w="14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5"/>
              </w:rPr>
              <w:t>No.</w:t>
            </w:r>
          </w:p>
        </w:tc>
        <w:tc>
          <w:tcPr>
            <w:tcW w:w="140" w:type="dxa"/>
            <w:vAlign w:val="bottom"/>
          </w:tcPr>
          <w:p>
            <w:pPr>
              <w:spacing w:after="0"/>
              <w:rPr>
                <w:sz w:val="13"/>
                <w:szCs w:val="13"/>
                <w:color w:val="auto"/>
              </w:rPr>
            </w:pPr>
          </w:p>
        </w:tc>
        <w:tc>
          <w:tcPr>
            <w:tcW w:w="182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0"/>
              </w:rPr>
              <w:t>Filing Date</w:t>
            </w:r>
          </w:p>
        </w:tc>
      </w:tr>
      <w:tr>
        <w:trPr>
          <w:trHeight w:val="184"/>
        </w:trPr>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6"/>
                <w:szCs w:val="16"/>
                <w:i w:val="1"/>
                <w:iCs w:val="1"/>
                <w:color w:val="auto"/>
                <w:w w:val="92"/>
              </w:rPr>
              <w:t>Plan of</w:t>
            </w:r>
          </w:p>
        </w:tc>
        <w:tc>
          <w:tcPr>
            <w:tcW w:w="140" w:type="dxa"/>
            <w:vAlign w:val="bottom"/>
          </w:tcPr>
          <w:p>
            <w:pPr>
              <w:spacing w:after="0"/>
              <w:rPr>
                <w:sz w:val="15"/>
                <w:szCs w:val="15"/>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Acquisition, Reorganization, Arrangement, Liquidation or Succession</w:t>
            </w:r>
          </w:p>
        </w:tc>
        <w:tc>
          <w:tcPr>
            <w:tcW w:w="16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140" w:type="dxa"/>
            <w:vAlign w:val="bottom"/>
          </w:tcPr>
          <w:p>
            <w:pPr>
              <w:spacing w:after="0"/>
              <w:rPr>
                <w:sz w:val="15"/>
                <w:szCs w:val="15"/>
                <w:color w:val="auto"/>
              </w:rPr>
            </w:pPr>
          </w:p>
        </w:tc>
      </w:tr>
      <w:tr>
        <w:trPr>
          <w:trHeight w:val="200"/>
        </w:trPr>
        <w:tc>
          <w:tcPr>
            <w:tcW w:w="84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2.1</w:t>
            </w:r>
          </w:p>
        </w:tc>
        <w:tc>
          <w:tcPr>
            <w:tcW w:w="5620" w:type="dxa"/>
            <w:vAlign w:val="bottom"/>
            <w:gridSpan w:val="2"/>
          </w:tcPr>
          <w:p>
            <w:pPr>
              <w:spacing w:after="0"/>
              <w:rPr>
                <w:sz w:val="20"/>
                <w:szCs w:val="20"/>
                <w:color w:val="auto"/>
              </w:rPr>
            </w:pPr>
            <w:r>
              <w:rPr>
                <w:rFonts w:ascii="Arial" w:cs="Arial" w:eastAsia="Arial" w:hAnsi="Arial"/>
                <w:sz w:val="16"/>
                <w:szCs w:val="16"/>
                <w:color w:val="auto"/>
              </w:rPr>
              <w:t>Agreement and Plan of Merger, dated as of October 19, 2007, by and among</w:t>
            </w:r>
          </w:p>
        </w:tc>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10/22/07</w:t>
            </w:r>
          </w:p>
        </w:tc>
        <w:tc>
          <w:tcPr>
            <w:tcW w:w="1140" w:type="dxa"/>
            <w:vAlign w:val="bottom"/>
          </w:tcPr>
          <w:p>
            <w:pPr>
              <w:spacing w:after="0"/>
              <w:rPr>
                <w:sz w:val="17"/>
                <w:szCs w:val="17"/>
                <w:color w:val="auto"/>
              </w:rPr>
            </w:pPr>
          </w:p>
        </w:tc>
      </w:tr>
      <w:tr>
        <w:trPr>
          <w:trHeight w:val="207"/>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AVANT, Celldex Merger Corporation, and Celldex Therapeutics, Inc.</w:t>
            </w: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8"/>
        </w:trPr>
        <w:tc>
          <w:tcPr>
            <w:tcW w:w="84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2.2</w:t>
            </w:r>
          </w:p>
        </w:tc>
        <w:tc>
          <w:tcPr>
            <w:tcW w:w="5620" w:type="dxa"/>
            <w:vAlign w:val="bottom"/>
            <w:gridSpan w:val="2"/>
          </w:tcPr>
          <w:p>
            <w:pPr>
              <w:spacing w:after="0"/>
              <w:rPr>
                <w:sz w:val="20"/>
                <w:szCs w:val="20"/>
                <w:color w:val="auto"/>
              </w:rPr>
            </w:pPr>
            <w:r>
              <w:rPr>
                <w:rFonts w:ascii="Arial" w:cs="Arial" w:eastAsia="Arial" w:hAnsi="Arial"/>
                <w:sz w:val="16"/>
                <w:szCs w:val="16"/>
                <w:color w:val="auto"/>
                <w:w w:val="97"/>
              </w:rPr>
              <w:t>Agreement and Plan of Merger, dated as of May 28, 2009, by and among Celldex</w:t>
            </w:r>
          </w:p>
        </w:tc>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2.1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5/29/09</w:t>
            </w:r>
          </w:p>
        </w:tc>
        <w:tc>
          <w:tcPr>
            <w:tcW w:w="1140" w:type="dxa"/>
            <w:vAlign w:val="bottom"/>
          </w:tcPr>
          <w:p>
            <w:pPr>
              <w:spacing w:after="0"/>
              <w:rPr>
                <w:sz w:val="24"/>
                <w:szCs w:val="24"/>
                <w:color w:val="auto"/>
              </w:rPr>
            </w:pPr>
          </w:p>
        </w:tc>
      </w:tr>
      <w:tr>
        <w:trPr>
          <w:trHeight w:val="207"/>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Therapeutics, Inc., CuraGen Corporation and Cottrell Merger Sub, Inc.</w:t>
            </w: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8"/>
        </w:trPr>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40" w:type="dxa"/>
            <w:vAlign w:val="bottom"/>
            <w:gridSpan w:val="4"/>
          </w:tcPr>
          <w:p>
            <w:pPr>
              <w:ind w:left="100"/>
              <w:spacing w:after="0"/>
              <w:rPr>
                <w:sz w:val="20"/>
                <w:szCs w:val="20"/>
                <w:color w:val="auto"/>
              </w:rPr>
            </w:pPr>
            <w:r>
              <w:rPr>
                <w:rFonts w:ascii="Arial" w:cs="Arial" w:eastAsia="Arial" w:hAnsi="Arial"/>
                <w:sz w:val="16"/>
                <w:szCs w:val="16"/>
                <w:i w:val="1"/>
                <w:iCs w:val="1"/>
                <w:color w:val="auto"/>
              </w:rPr>
              <w:t>Articles of Incorporation and By-Laws</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0"/>
        </w:trPr>
        <w:tc>
          <w:tcPr>
            <w:tcW w:w="84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3.1</w:t>
            </w:r>
          </w:p>
        </w:tc>
        <w:tc>
          <w:tcPr>
            <w:tcW w:w="5620" w:type="dxa"/>
            <w:vAlign w:val="bottom"/>
            <w:gridSpan w:val="2"/>
          </w:tcPr>
          <w:p>
            <w:pPr>
              <w:spacing w:after="0"/>
              <w:rPr>
                <w:sz w:val="20"/>
                <w:szCs w:val="20"/>
                <w:color w:val="auto"/>
              </w:rPr>
            </w:pPr>
            <w:r>
              <w:rPr>
                <w:rFonts w:ascii="Arial" w:cs="Arial" w:eastAsia="Arial" w:hAnsi="Arial"/>
                <w:sz w:val="16"/>
                <w:szCs w:val="16"/>
                <w:color w:val="auto"/>
              </w:rPr>
              <w:t>Third Restated Certificate of Incorporation</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3.1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7/16/98</w:t>
            </w:r>
          </w:p>
        </w:tc>
        <w:tc>
          <w:tcPr>
            <w:tcW w:w="1140" w:type="dxa"/>
            <w:vAlign w:val="bottom"/>
          </w:tcPr>
          <w:p>
            <w:pPr>
              <w:spacing w:after="0"/>
              <w:rPr>
                <w:sz w:val="17"/>
                <w:szCs w:val="17"/>
                <w:color w:val="auto"/>
              </w:rPr>
            </w:pPr>
          </w:p>
        </w:tc>
      </w:tr>
      <w:tr>
        <w:trPr>
          <w:trHeight w:val="207"/>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(333-59215)</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8"/>
        </w:trPr>
        <w:tc>
          <w:tcPr>
            <w:tcW w:w="84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3.2</w:t>
            </w:r>
          </w:p>
        </w:tc>
        <w:tc>
          <w:tcPr>
            <w:tcW w:w="5620" w:type="dxa"/>
            <w:vAlign w:val="bottom"/>
            <w:gridSpan w:val="2"/>
          </w:tcPr>
          <w:p>
            <w:pPr>
              <w:spacing w:after="0"/>
              <w:rPr>
                <w:sz w:val="20"/>
                <w:szCs w:val="20"/>
                <w:color w:val="auto"/>
              </w:rPr>
            </w:pPr>
            <w:r>
              <w:rPr>
                <w:rFonts w:ascii="Arial" w:cs="Arial" w:eastAsia="Arial" w:hAnsi="Arial"/>
                <w:sz w:val="16"/>
                <w:szCs w:val="16"/>
                <w:color w:val="auto"/>
              </w:rPr>
              <w:t>Certificate of Amendment of Third Restated Certificate of Incorporation</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3.1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7/16/98</w:t>
            </w:r>
          </w:p>
        </w:tc>
        <w:tc>
          <w:tcPr>
            <w:tcW w:w="1140" w:type="dxa"/>
            <w:vAlign w:val="bottom"/>
          </w:tcPr>
          <w:p>
            <w:pPr>
              <w:spacing w:after="0"/>
              <w:rPr>
                <w:sz w:val="24"/>
                <w:szCs w:val="24"/>
                <w:color w:val="auto"/>
              </w:rPr>
            </w:pPr>
          </w:p>
        </w:tc>
      </w:tr>
      <w:tr>
        <w:trPr>
          <w:trHeight w:val="207"/>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(333-59215)</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8"/>
        </w:trPr>
        <w:tc>
          <w:tcPr>
            <w:tcW w:w="84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3.3</w:t>
            </w:r>
          </w:p>
        </w:tc>
        <w:tc>
          <w:tcPr>
            <w:tcW w:w="5620" w:type="dxa"/>
            <w:vAlign w:val="bottom"/>
            <w:gridSpan w:val="2"/>
          </w:tcPr>
          <w:p>
            <w:pPr>
              <w:spacing w:after="0"/>
              <w:rPr>
                <w:sz w:val="20"/>
                <w:szCs w:val="20"/>
                <w:color w:val="auto"/>
              </w:rPr>
            </w:pPr>
            <w:r>
              <w:rPr>
                <w:rFonts w:ascii="Arial" w:cs="Arial" w:eastAsia="Arial" w:hAnsi="Arial"/>
                <w:sz w:val="16"/>
                <w:szCs w:val="16"/>
                <w:color w:val="auto"/>
              </w:rPr>
              <w:t>Second Certificate of Amendment of Third Restated Certificate of Incorporation</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3.2</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7/16/98</w:t>
            </w:r>
          </w:p>
        </w:tc>
        <w:tc>
          <w:tcPr>
            <w:tcW w:w="1140" w:type="dxa"/>
            <w:vAlign w:val="bottom"/>
          </w:tcPr>
          <w:p>
            <w:pPr>
              <w:spacing w:after="0"/>
              <w:rPr>
                <w:sz w:val="24"/>
                <w:szCs w:val="24"/>
                <w:color w:val="auto"/>
              </w:rPr>
            </w:pPr>
          </w:p>
        </w:tc>
      </w:tr>
      <w:tr>
        <w:trPr>
          <w:trHeight w:val="207"/>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(333-59215)</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8"/>
        </w:trPr>
        <w:tc>
          <w:tcPr>
            <w:tcW w:w="84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3.4</w:t>
            </w:r>
          </w:p>
        </w:tc>
        <w:tc>
          <w:tcPr>
            <w:tcW w:w="5620" w:type="dxa"/>
            <w:vAlign w:val="bottom"/>
            <w:gridSpan w:val="2"/>
          </w:tcPr>
          <w:p>
            <w:pPr>
              <w:spacing w:after="0"/>
              <w:rPr>
                <w:sz w:val="20"/>
                <w:szCs w:val="20"/>
                <w:color w:val="auto"/>
              </w:rPr>
            </w:pPr>
            <w:r>
              <w:rPr>
                <w:rFonts w:ascii="Arial" w:cs="Arial" w:eastAsia="Arial" w:hAnsi="Arial"/>
                <w:sz w:val="16"/>
                <w:szCs w:val="16"/>
                <w:color w:val="auto"/>
              </w:rPr>
              <w:t>Third Certificate of Amendment of Third Restated Certificate of Incorporation</w:t>
            </w:r>
          </w:p>
        </w:tc>
        <w:tc>
          <w:tcPr>
            <w:tcW w:w="13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3.1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5/10/02</w:t>
            </w:r>
          </w:p>
        </w:tc>
        <w:tc>
          <w:tcPr>
            <w:tcW w:w="1140" w:type="dxa"/>
            <w:vAlign w:val="bottom"/>
          </w:tcPr>
          <w:p>
            <w:pPr>
              <w:spacing w:after="0"/>
              <w:rPr>
                <w:sz w:val="24"/>
                <w:szCs w:val="24"/>
                <w:color w:val="auto"/>
              </w:rPr>
            </w:pPr>
          </w:p>
        </w:tc>
      </w:tr>
      <w:tr>
        <w:trPr>
          <w:trHeight w:val="207"/>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8"/>
        </w:trPr>
        <w:tc>
          <w:tcPr>
            <w:tcW w:w="84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3.5</w:t>
            </w:r>
          </w:p>
        </w:tc>
        <w:tc>
          <w:tcPr>
            <w:tcW w:w="5620" w:type="dxa"/>
            <w:vAlign w:val="bottom"/>
            <w:gridSpan w:val="2"/>
          </w:tcPr>
          <w:p>
            <w:pPr>
              <w:spacing w:after="0"/>
              <w:rPr>
                <w:sz w:val="20"/>
                <w:szCs w:val="20"/>
                <w:color w:val="auto"/>
              </w:rPr>
            </w:pPr>
            <w:r>
              <w:rPr>
                <w:rFonts w:ascii="Arial" w:cs="Arial" w:eastAsia="Arial" w:hAnsi="Arial"/>
                <w:sz w:val="16"/>
                <w:szCs w:val="16"/>
                <w:color w:val="auto"/>
              </w:rPr>
              <w:t>Fourth Certificate of Amendment of Third Restated Certificate of Incorporation</w:t>
            </w:r>
          </w:p>
        </w:tc>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3.1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3/11/08</w:t>
            </w:r>
          </w:p>
        </w:tc>
        <w:tc>
          <w:tcPr>
            <w:tcW w:w="1140" w:type="dxa"/>
            <w:vAlign w:val="bottom"/>
          </w:tcPr>
          <w:p>
            <w:pPr>
              <w:spacing w:after="0"/>
              <w:rPr>
                <w:sz w:val="24"/>
                <w:szCs w:val="24"/>
                <w:color w:val="auto"/>
              </w:rPr>
            </w:pPr>
          </w:p>
        </w:tc>
      </w:tr>
      <w:tr>
        <w:trPr>
          <w:trHeight w:val="207"/>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8"/>
        </w:trPr>
        <w:tc>
          <w:tcPr>
            <w:tcW w:w="84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3.6</w:t>
            </w:r>
          </w:p>
        </w:tc>
        <w:tc>
          <w:tcPr>
            <w:tcW w:w="5620" w:type="dxa"/>
            <w:vAlign w:val="bottom"/>
            <w:gridSpan w:val="2"/>
          </w:tcPr>
          <w:p>
            <w:pPr>
              <w:spacing w:after="0"/>
              <w:rPr>
                <w:sz w:val="20"/>
                <w:szCs w:val="20"/>
                <w:color w:val="auto"/>
              </w:rPr>
            </w:pPr>
            <w:r>
              <w:rPr>
                <w:rFonts w:ascii="Arial" w:cs="Arial" w:eastAsia="Arial" w:hAnsi="Arial"/>
                <w:sz w:val="16"/>
                <w:szCs w:val="16"/>
                <w:color w:val="auto"/>
              </w:rPr>
              <w:t>Fifth Certificate of Amendment of Third Restated Certificate of Incorporation</w:t>
            </w:r>
          </w:p>
        </w:tc>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3.2</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3/11/08</w:t>
            </w:r>
          </w:p>
        </w:tc>
        <w:tc>
          <w:tcPr>
            <w:tcW w:w="1140" w:type="dxa"/>
            <w:vAlign w:val="bottom"/>
          </w:tcPr>
          <w:p>
            <w:pPr>
              <w:spacing w:after="0"/>
              <w:rPr>
                <w:sz w:val="24"/>
                <w:szCs w:val="24"/>
                <w:color w:val="auto"/>
              </w:rPr>
            </w:pPr>
          </w:p>
        </w:tc>
      </w:tr>
      <w:tr>
        <w:trPr>
          <w:trHeight w:val="207"/>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8"/>
        </w:trPr>
        <w:tc>
          <w:tcPr>
            <w:tcW w:w="84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3.7</w:t>
            </w:r>
          </w:p>
        </w:tc>
        <w:tc>
          <w:tcPr>
            <w:tcW w:w="5620" w:type="dxa"/>
            <w:vAlign w:val="bottom"/>
            <w:gridSpan w:val="2"/>
          </w:tcPr>
          <w:p>
            <w:pPr>
              <w:spacing w:after="0"/>
              <w:rPr>
                <w:sz w:val="20"/>
                <w:szCs w:val="20"/>
                <w:color w:val="auto"/>
              </w:rPr>
            </w:pPr>
            <w:r>
              <w:rPr>
                <w:rFonts w:ascii="Arial" w:cs="Arial" w:eastAsia="Arial" w:hAnsi="Arial"/>
                <w:sz w:val="16"/>
                <w:szCs w:val="16"/>
                <w:color w:val="auto"/>
              </w:rPr>
              <w:t>Sixth Certificate of Amendment of Third Restated Certificate of Incorporation</w:t>
            </w:r>
          </w:p>
        </w:tc>
        <w:tc>
          <w:tcPr>
            <w:tcW w:w="13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3.7</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11/10/08</w:t>
            </w:r>
          </w:p>
        </w:tc>
        <w:tc>
          <w:tcPr>
            <w:tcW w:w="1140" w:type="dxa"/>
            <w:vAlign w:val="bottom"/>
          </w:tcPr>
          <w:p>
            <w:pPr>
              <w:spacing w:after="0"/>
              <w:rPr>
                <w:sz w:val="24"/>
                <w:szCs w:val="24"/>
                <w:color w:val="auto"/>
              </w:rPr>
            </w:pPr>
          </w:p>
        </w:tc>
      </w:tr>
      <w:tr>
        <w:trPr>
          <w:trHeight w:val="207"/>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8"/>
        </w:trPr>
        <w:tc>
          <w:tcPr>
            <w:tcW w:w="84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3.8</w:t>
            </w:r>
          </w:p>
        </w:tc>
        <w:tc>
          <w:tcPr>
            <w:tcW w:w="5620" w:type="dxa"/>
            <w:vAlign w:val="bottom"/>
            <w:gridSpan w:val="2"/>
          </w:tcPr>
          <w:p>
            <w:pPr>
              <w:spacing w:after="0"/>
              <w:rPr>
                <w:sz w:val="20"/>
                <w:szCs w:val="20"/>
                <w:color w:val="auto"/>
              </w:rPr>
            </w:pPr>
            <w:r>
              <w:rPr>
                <w:rFonts w:ascii="Arial" w:cs="Arial" w:eastAsia="Arial" w:hAnsi="Arial"/>
                <w:sz w:val="16"/>
                <w:szCs w:val="16"/>
                <w:color w:val="auto"/>
              </w:rPr>
              <w:t>Amended and Restated By-Laws, dated April 7, 2014</w:t>
            </w:r>
          </w:p>
        </w:tc>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3.1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4"/>
              </w:rPr>
              <w:t>4/8/14</w:t>
            </w:r>
          </w:p>
        </w:tc>
        <w:tc>
          <w:tcPr>
            <w:tcW w:w="1140" w:type="dxa"/>
            <w:vAlign w:val="bottom"/>
          </w:tcPr>
          <w:p>
            <w:pPr>
              <w:spacing w:after="0"/>
              <w:rPr>
                <w:sz w:val="24"/>
                <w:szCs w:val="24"/>
                <w:color w:val="auto"/>
              </w:rPr>
            </w:pPr>
          </w:p>
        </w:tc>
      </w:tr>
      <w:tr>
        <w:trPr>
          <w:trHeight w:val="207"/>
        </w:trPr>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18"/>
        </w:trPr>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40" w:type="dxa"/>
            <w:vAlign w:val="bottom"/>
            <w:gridSpan w:val="4"/>
          </w:tcPr>
          <w:p>
            <w:pPr>
              <w:ind w:left="100"/>
              <w:spacing w:after="0"/>
              <w:rPr>
                <w:sz w:val="20"/>
                <w:szCs w:val="20"/>
                <w:color w:val="auto"/>
              </w:rPr>
            </w:pPr>
            <w:r>
              <w:rPr>
                <w:rFonts w:ascii="Arial" w:cs="Arial" w:eastAsia="Arial" w:hAnsi="Arial"/>
                <w:sz w:val="16"/>
                <w:szCs w:val="16"/>
                <w:i w:val="1"/>
                <w:iCs w:val="1"/>
                <w:color w:val="auto"/>
              </w:rPr>
              <w:t>Instruments Defining the Rights of Security Holders</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7"/>
        </w:trPr>
        <w:tc>
          <w:tcPr>
            <w:tcW w:w="84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4.1</w:t>
            </w:r>
          </w:p>
        </w:tc>
        <w:tc>
          <w:tcPr>
            <w:tcW w:w="5620" w:type="dxa"/>
            <w:vAlign w:val="bottom"/>
            <w:gridSpan w:val="2"/>
          </w:tcPr>
          <w:p>
            <w:pPr>
              <w:spacing w:after="0"/>
              <w:rPr>
                <w:sz w:val="20"/>
                <w:szCs w:val="20"/>
                <w:color w:val="auto"/>
              </w:rPr>
            </w:pPr>
            <w:r>
              <w:rPr>
                <w:rFonts w:ascii="Arial" w:cs="Arial" w:eastAsia="Arial" w:hAnsi="Arial"/>
                <w:sz w:val="16"/>
                <w:szCs w:val="16"/>
                <w:color w:val="auto"/>
              </w:rPr>
              <w:t>Specimen of Common Stock Certificate</w:t>
            </w: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Filed herewith</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00"/>
        </w:trPr>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Pr>
          <w:p>
            <w:pPr>
              <w:ind w:left="3780"/>
              <w:spacing w:after="0"/>
              <w:rPr>
                <w:sz w:val="20"/>
                <w:szCs w:val="20"/>
                <w:color w:val="auto"/>
              </w:rPr>
            </w:pPr>
            <w:r>
              <w:rPr>
                <w:rFonts w:ascii="Arial" w:cs="Arial" w:eastAsia="Arial" w:hAnsi="Arial"/>
                <w:sz w:val="16"/>
                <w:szCs w:val="16"/>
                <w:color w:val="auto"/>
              </w:rPr>
              <w:t>98</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1"/>
        </w:trPr>
        <w:tc>
          <w:tcPr>
            <w:tcW w:w="8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4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1340"/>
        <w:spacing w:after="0"/>
        <w:tabs>
          <w:tab w:leader="none" w:pos="428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635</wp:posOffset>
            </wp:positionV>
            <wp:extent cx="3930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930015" cy="8255"/>
                    </a:xfrm>
                    <a:prstGeom prst="rect">
                      <a:avLst/>
                    </a:prstGeom>
                    <a:noFill/>
                  </pic:spPr>
                </pic:pic>
              </a:graphicData>
            </a:graphic>
          </wp:anchor>
        </w:drawing>
      </w:r>
    </w:p>
    <w:p>
      <w:pPr>
        <w:spacing w:after="0" w:line="210" w:lineRule="exact"/>
        <w:rPr>
          <w:sz w:val="20"/>
          <w:szCs w:val="20"/>
          <w:color w:val="auto"/>
        </w:rPr>
      </w:pPr>
    </w:p>
    <w:p>
      <w:pPr>
        <w:ind w:left="1860" w:right="140" w:hanging="352"/>
        <w:spacing w:after="0" w:line="275" w:lineRule="auto"/>
        <w:tabs>
          <w:tab w:leader="none" w:pos="1840" w:val="left"/>
        </w:tabs>
        <w:rPr>
          <w:sz w:val="20"/>
          <w:szCs w:val="20"/>
          <w:color w:val="auto"/>
        </w:rPr>
      </w:pPr>
      <w:r>
        <w:rPr>
          <w:rFonts w:ascii="Arial" w:cs="Arial" w:eastAsia="Arial" w:hAnsi="Arial"/>
          <w:sz w:val="16"/>
          <w:szCs w:val="16"/>
          <w:color w:val="auto"/>
        </w:rPr>
        <w:t>4.2</w:t>
        <w:tab/>
        <w:t>Certificate of Designations, Preferences and Rights of a Series of Preferred Stock classifying and designating the Series C-1 Junior Participating Cumulative Preferred Stock</w:t>
      </w:r>
    </w:p>
    <w:p>
      <w:pPr>
        <w:spacing w:after="0" w:line="193" w:lineRule="exact"/>
        <w:rPr>
          <w:sz w:val="20"/>
          <w:szCs w:val="20"/>
          <w:color w:val="auto"/>
        </w:rPr>
      </w:pPr>
    </w:p>
    <w:p>
      <w:pPr>
        <w:ind w:left="1240"/>
        <w:spacing w:after="0"/>
        <w:rPr>
          <w:sz w:val="20"/>
          <w:szCs w:val="20"/>
          <w:color w:val="auto"/>
        </w:rPr>
      </w:pPr>
      <w:r>
        <w:rPr>
          <w:rFonts w:ascii="Arial" w:cs="Arial" w:eastAsia="Arial" w:hAnsi="Arial"/>
          <w:sz w:val="16"/>
          <w:szCs w:val="16"/>
          <w:i w:val="1"/>
          <w:iCs w:val="1"/>
          <w:color w:val="auto"/>
        </w:rPr>
        <w:t>Material Contracts—Leases</w:t>
      </w:r>
    </w:p>
    <w:p>
      <w:pPr>
        <w:spacing w:after="0" w:line="23" w:lineRule="exact"/>
        <w:rPr>
          <w:sz w:val="20"/>
          <w:szCs w:val="20"/>
          <w:color w:val="auto"/>
        </w:rPr>
      </w:pPr>
    </w:p>
    <w:p>
      <w:pPr>
        <w:ind w:left="1860" w:right="160" w:hanging="433"/>
        <w:spacing w:after="0" w:line="281" w:lineRule="auto"/>
        <w:tabs>
          <w:tab w:leader="none" w:pos="1840" w:val="left"/>
        </w:tabs>
        <w:rPr>
          <w:sz w:val="20"/>
          <w:szCs w:val="20"/>
          <w:color w:val="auto"/>
        </w:rPr>
      </w:pPr>
      <w:r>
        <w:rPr>
          <w:rFonts w:ascii="Arial" w:cs="Arial" w:eastAsia="Arial" w:hAnsi="Arial"/>
          <w:sz w:val="16"/>
          <w:szCs w:val="16"/>
          <w:color w:val="auto"/>
        </w:rPr>
        <w:t>10.1</w:t>
        <w:tab/>
        <w:t>Commercial Lease Agreement of May 1, 1996 between the Company and Fourth Avenue Ventures Limited Partnership</w:t>
      </w:r>
    </w:p>
    <w:p>
      <w:pPr>
        <w:spacing w:after="0" w:line="188" w:lineRule="exact"/>
        <w:rPr>
          <w:sz w:val="20"/>
          <w:szCs w:val="20"/>
          <w:color w:val="auto"/>
        </w:rPr>
      </w:pPr>
    </w:p>
    <w:p>
      <w:pPr>
        <w:ind w:left="1860" w:right="280" w:hanging="433"/>
        <w:spacing w:after="0" w:line="275" w:lineRule="auto"/>
        <w:tabs>
          <w:tab w:leader="none" w:pos="1840" w:val="left"/>
        </w:tabs>
        <w:rPr>
          <w:sz w:val="20"/>
          <w:szCs w:val="20"/>
          <w:color w:val="auto"/>
        </w:rPr>
      </w:pPr>
      <w:r>
        <w:rPr>
          <w:rFonts w:ascii="Arial" w:cs="Arial" w:eastAsia="Arial" w:hAnsi="Arial"/>
          <w:sz w:val="16"/>
          <w:szCs w:val="16"/>
          <w:color w:val="auto"/>
        </w:rPr>
        <w:t>10.2</w:t>
        <w:tab/>
        <w:t>Extension of Lease Agreement of May 1, 1997 between the Company and DIV Needham 53 LLC (successor in interest to Fourth Avenue Ventures Limited Partnership) dated as of August 23, 2001</w:t>
      </w:r>
    </w:p>
    <w:p>
      <w:pPr>
        <w:spacing w:after="0" w:line="193" w:lineRule="exact"/>
        <w:rPr>
          <w:sz w:val="20"/>
          <w:szCs w:val="20"/>
          <w:color w:val="auto"/>
        </w:rPr>
      </w:pPr>
    </w:p>
    <w:p>
      <w:pPr>
        <w:ind w:left="1440"/>
        <w:spacing w:after="0"/>
        <w:tabs>
          <w:tab w:leader="none" w:pos="184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4"/>
          <w:szCs w:val="14"/>
          <w:color w:val="auto"/>
        </w:rPr>
        <w:t>First Amendment to Lease by and between the Company and DIV Needham</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53 LLC dated November 29, 2005</w:t>
      </w:r>
    </w:p>
    <w:p>
      <w:pPr>
        <w:spacing w:after="0" w:line="234" w:lineRule="exact"/>
        <w:rPr>
          <w:sz w:val="20"/>
          <w:szCs w:val="20"/>
          <w:color w:val="auto"/>
        </w:rPr>
      </w:pPr>
    </w:p>
    <w:p>
      <w:pPr>
        <w:ind w:left="1860" w:right="780" w:hanging="515"/>
        <w:spacing w:after="0" w:line="366" w:lineRule="auto"/>
        <w:tabs>
          <w:tab w:leader="none" w:pos="184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4"/>
          <w:szCs w:val="14"/>
          <w:color w:val="auto"/>
        </w:rPr>
        <w:t>Lease Agreement, by and between the Company and the Massachusetts Development Finance Agency, dated as of December 22, 2003</w:t>
      </w:r>
    </w:p>
    <w:p>
      <w:pPr>
        <w:spacing w:after="0" w:line="134" w:lineRule="exact"/>
        <w:rPr>
          <w:sz w:val="20"/>
          <w:szCs w:val="20"/>
          <w:color w:val="auto"/>
        </w:rPr>
      </w:pPr>
    </w:p>
    <w:p>
      <w:pPr>
        <w:ind w:left="1860" w:right="120" w:hanging="433"/>
        <w:spacing w:after="0" w:line="290" w:lineRule="auto"/>
        <w:tabs>
          <w:tab w:leader="none" w:pos="1840" w:val="left"/>
        </w:tabs>
        <w:rPr>
          <w:sz w:val="20"/>
          <w:szCs w:val="20"/>
          <w:color w:val="auto"/>
        </w:rPr>
      </w:pPr>
      <w:r>
        <w:rPr>
          <w:rFonts w:ascii="Arial" w:cs="Arial" w:eastAsia="Arial" w:hAnsi="Arial"/>
          <w:sz w:val="16"/>
          <w:szCs w:val="16"/>
          <w:color w:val="auto"/>
        </w:rPr>
        <w:t>10.5</w:t>
        <w:tab/>
        <w:t>First Amendment to Lease between Massachusetts Development Finance Agency and the Company dated March 17, 2005</w:t>
      </w:r>
    </w:p>
    <w:p>
      <w:pPr>
        <w:spacing w:after="0" w:line="181" w:lineRule="exact"/>
        <w:rPr>
          <w:sz w:val="20"/>
          <w:szCs w:val="20"/>
          <w:color w:val="auto"/>
        </w:rPr>
      </w:pPr>
    </w:p>
    <w:p>
      <w:pPr>
        <w:ind w:left="1860" w:right="60" w:hanging="433"/>
        <w:spacing w:after="0" w:line="326" w:lineRule="auto"/>
        <w:tabs>
          <w:tab w:leader="none" w:pos="184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5"/>
          <w:szCs w:val="15"/>
          <w:color w:val="auto"/>
        </w:rPr>
        <w:t>Second Amendment to Lease by and between the Company and the Massachusetts Development Finance Agency dated as of November 4, 2005</w:t>
      </w:r>
    </w:p>
    <w:p>
      <w:pPr>
        <w:spacing w:after="0" w:line="157" w:lineRule="exact"/>
        <w:rPr>
          <w:sz w:val="20"/>
          <w:szCs w:val="20"/>
          <w:color w:val="auto"/>
        </w:rPr>
      </w:pPr>
    </w:p>
    <w:p>
      <w:pPr>
        <w:ind w:left="1860" w:right="60" w:hanging="433"/>
        <w:spacing w:after="0" w:line="290" w:lineRule="auto"/>
        <w:tabs>
          <w:tab w:leader="none" w:pos="1840" w:val="left"/>
        </w:tabs>
        <w:rPr>
          <w:sz w:val="20"/>
          <w:szCs w:val="20"/>
          <w:color w:val="auto"/>
        </w:rPr>
      </w:pPr>
      <w:r>
        <w:rPr>
          <w:rFonts w:ascii="Arial" w:cs="Arial" w:eastAsia="Arial" w:hAnsi="Arial"/>
          <w:sz w:val="16"/>
          <w:szCs w:val="16"/>
          <w:color w:val="auto"/>
        </w:rPr>
        <w:t>10.7</w:t>
        <w:tab/>
        <w:t>Third Amendment to Lease between Massachusetts Development Finance Agency and the Company dated December 20, 2006</w:t>
      </w:r>
    </w:p>
    <w:p>
      <w:pPr>
        <w:spacing w:after="0" w:line="181" w:lineRule="exact"/>
        <w:rPr>
          <w:sz w:val="20"/>
          <w:szCs w:val="20"/>
          <w:color w:val="auto"/>
        </w:rPr>
      </w:pPr>
    </w:p>
    <w:p>
      <w:pPr>
        <w:ind w:left="1860" w:right="100" w:hanging="433"/>
        <w:spacing w:after="0" w:line="290" w:lineRule="auto"/>
        <w:tabs>
          <w:tab w:leader="none" w:pos="1840" w:val="left"/>
        </w:tabs>
        <w:rPr>
          <w:sz w:val="20"/>
          <w:szCs w:val="20"/>
          <w:color w:val="auto"/>
        </w:rPr>
      </w:pPr>
      <w:r>
        <w:rPr>
          <w:rFonts w:ascii="Arial" w:cs="Arial" w:eastAsia="Arial" w:hAnsi="Arial"/>
          <w:sz w:val="16"/>
          <w:szCs w:val="16"/>
          <w:color w:val="auto"/>
        </w:rPr>
        <w:t>10.8</w:t>
        <w:tab/>
        <w:t>Fifth Amendment to Lease between Massachusetts Development Finance Agency and the Company dated October 3, 2008</w:t>
      </w:r>
    </w:p>
    <w:p>
      <w:pPr>
        <w:spacing w:after="0" w:line="181" w:lineRule="exact"/>
        <w:rPr>
          <w:sz w:val="20"/>
          <w:szCs w:val="20"/>
          <w:color w:val="auto"/>
        </w:rPr>
      </w:pPr>
    </w:p>
    <w:p>
      <w:pPr>
        <w:ind w:left="1860" w:right="80" w:hanging="433"/>
        <w:spacing w:after="0" w:line="290" w:lineRule="auto"/>
        <w:tabs>
          <w:tab w:leader="none" w:pos="1840" w:val="left"/>
        </w:tabs>
        <w:rPr>
          <w:sz w:val="20"/>
          <w:szCs w:val="20"/>
          <w:color w:val="auto"/>
        </w:rPr>
      </w:pPr>
      <w:r>
        <w:rPr>
          <w:rFonts w:ascii="Arial" w:cs="Arial" w:eastAsia="Arial" w:hAnsi="Arial"/>
          <w:sz w:val="16"/>
          <w:szCs w:val="16"/>
          <w:color w:val="auto"/>
        </w:rPr>
        <w:t>10.9</w:t>
        <w:tab/>
        <w:t>Sixth Amendment to Lease between Massachusetts Development Finance Agency and the Company dated August 20, 2009</w:t>
      </w:r>
    </w:p>
    <w:p>
      <w:pPr>
        <w:spacing w:after="0" w:line="181" w:lineRule="exact"/>
        <w:rPr>
          <w:sz w:val="20"/>
          <w:szCs w:val="20"/>
          <w:color w:val="auto"/>
        </w:rPr>
      </w:pPr>
    </w:p>
    <w:p>
      <w:pPr>
        <w:ind w:left="1860" w:hanging="515"/>
        <w:spacing w:after="0" w:line="290" w:lineRule="auto"/>
        <w:tabs>
          <w:tab w:leader="none" w:pos="1840" w:val="left"/>
        </w:tabs>
        <w:rPr>
          <w:sz w:val="20"/>
          <w:szCs w:val="20"/>
          <w:color w:val="auto"/>
        </w:rPr>
      </w:pPr>
      <w:r>
        <w:rPr>
          <w:rFonts w:ascii="Arial" w:cs="Arial" w:eastAsia="Arial" w:hAnsi="Arial"/>
          <w:sz w:val="16"/>
          <w:szCs w:val="16"/>
          <w:color w:val="auto"/>
        </w:rPr>
        <w:t>10.10</w:t>
        <w:tab/>
        <w:t>Seventh Amendment to Lease by and between the Company and the Massachusetts Development Finance Agency dated as of June 22, 2010</w:t>
      </w:r>
    </w:p>
    <w:p>
      <w:pPr>
        <w:spacing w:after="0" w:line="181" w:lineRule="exact"/>
        <w:rPr>
          <w:sz w:val="20"/>
          <w:szCs w:val="20"/>
          <w:color w:val="auto"/>
        </w:rPr>
      </w:pPr>
    </w:p>
    <w:p>
      <w:pPr>
        <w:ind w:left="1860" w:right="60" w:hanging="509"/>
        <w:spacing w:after="0" w:line="290" w:lineRule="auto"/>
        <w:tabs>
          <w:tab w:leader="none" w:pos="1840" w:val="left"/>
        </w:tabs>
        <w:rPr>
          <w:sz w:val="20"/>
          <w:szCs w:val="20"/>
          <w:color w:val="auto"/>
        </w:rPr>
      </w:pPr>
      <w:r>
        <w:rPr>
          <w:rFonts w:ascii="Arial" w:cs="Arial" w:eastAsia="Arial" w:hAnsi="Arial"/>
          <w:sz w:val="16"/>
          <w:szCs w:val="16"/>
          <w:color w:val="auto"/>
        </w:rPr>
        <w:t>10.11</w:t>
        <w:tab/>
        <w:t>Lease Agreement dated as of May 1, 2013 by and between Crown Perryville, LLC and the Company.</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6"/>
          <w:szCs w:val="16"/>
          <w:i w:val="1"/>
          <w:iCs w:val="1"/>
          <w:color w:val="auto"/>
        </w:rPr>
        <w:t>Material Contracts—License, Collaboration, Supply and Distribution Agreements</w:t>
      </w:r>
    </w:p>
    <w:p>
      <w:pPr>
        <w:spacing w:after="0" w:line="23" w:lineRule="exact"/>
        <w:rPr>
          <w:sz w:val="20"/>
          <w:szCs w:val="20"/>
          <w:color w:val="auto"/>
        </w:rPr>
      </w:pPr>
    </w:p>
    <w:p>
      <w:pPr>
        <w:ind w:left="1860" w:hanging="596"/>
        <w:spacing w:after="0" w:line="281" w:lineRule="auto"/>
        <w:tabs>
          <w:tab w:leader="none" w:pos="1840" w:val="left"/>
        </w:tabs>
        <w:rPr>
          <w:sz w:val="20"/>
          <w:szCs w:val="20"/>
          <w:color w:val="auto"/>
        </w:rPr>
      </w:pPr>
      <w:r>
        <w:rPr>
          <w:rFonts w:ascii="Arial" w:cs="Arial" w:eastAsia="Arial" w:hAnsi="Arial"/>
          <w:sz w:val="16"/>
          <w:szCs w:val="16"/>
          <w:color w:val="auto"/>
        </w:rPr>
        <w:t>*10.12</w:t>
        <w:tab/>
        <w:t>License Agreement dated as of November 1, 2005 by and between The Rockefeller University and the Company</w:t>
      </w:r>
    </w:p>
    <w:p>
      <w:pPr>
        <w:spacing w:after="0" w:line="16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Incorporated by Reference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3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1"/>
              </w:rPr>
              <w:t>Form and</w:t>
            </w: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2"/>
              </w:rPr>
              <w:t>Exhibit</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9"/>
              </w:rPr>
              <w:t>SEC</w:t>
            </w:r>
          </w:p>
        </w:tc>
      </w:tr>
      <w:tr>
        <w:trPr>
          <w:trHeight w:val="150"/>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SEC File No.</w:t>
            </w:r>
          </w:p>
        </w:tc>
        <w:tc>
          <w:tcPr>
            <w:tcW w:w="140" w:type="dxa"/>
            <w:vAlign w:val="bottom"/>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No.</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Filing Date</w:t>
            </w:r>
          </w:p>
        </w:tc>
      </w:tr>
      <w:tr>
        <w:trPr>
          <w:trHeight w:val="409"/>
        </w:trPr>
        <w:tc>
          <w:tcPr>
            <w:tcW w:w="1380" w:type="dxa"/>
            <w:vAlign w:val="bottom"/>
          </w:tcPr>
          <w:p>
            <w:pPr>
              <w:jc w:val="center"/>
              <w:spacing w:after="0"/>
              <w:rPr>
                <w:sz w:val="20"/>
                <w:szCs w:val="20"/>
                <w:color w:val="auto"/>
              </w:rPr>
            </w:pPr>
            <w:r>
              <w:rPr>
                <w:rFonts w:ascii="Arial" w:cs="Arial" w:eastAsia="Arial" w:hAnsi="Arial"/>
                <w:sz w:val="16"/>
                <w:szCs w:val="16"/>
                <w:color w:val="auto"/>
              </w:rPr>
              <w:t>8-A</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3.1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11/8/04</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818"/>
        </w:trPr>
        <w:tc>
          <w:tcPr>
            <w:tcW w:w="1380" w:type="dxa"/>
            <w:vAlign w:val="bottom"/>
          </w:tcPr>
          <w:p>
            <w:pPr>
              <w:jc w:val="center"/>
              <w:spacing w:after="0"/>
              <w:rPr>
                <w:sz w:val="20"/>
                <w:szCs w:val="20"/>
                <w:color w:val="auto"/>
              </w:rPr>
            </w:pPr>
            <w:r>
              <w:rPr>
                <w:rFonts w:ascii="Arial" w:cs="Arial" w:eastAsia="Arial" w:hAnsi="Arial"/>
                <w:sz w:val="16"/>
                <w:szCs w:val="16"/>
                <w:color w:val="auto"/>
                <w:w w:val="98"/>
              </w:rPr>
              <w:t>10-Q/A</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8/23/96</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10.9</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3/27/02</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18"/>
        </w:trPr>
        <w:tc>
          <w:tcPr>
            <w:tcW w:w="1380" w:type="dxa"/>
            <w:vAlign w:val="bottom"/>
          </w:tcPr>
          <w:p>
            <w:pPr>
              <w:jc w:val="center"/>
              <w:spacing w:after="0"/>
              <w:rPr>
                <w:sz w:val="20"/>
                <w:szCs w:val="20"/>
                <w:color w:val="auto"/>
              </w:rPr>
            </w:pPr>
            <w:r>
              <w:rPr>
                <w:rFonts w:ascii="Arial" w:cs="Arial" w:eastAsia="Arial" w:hAnsi="Arial"/>
                <w:sz w:val="16"/>
                <w:szCs w:val="16"/>
                <w:color w:val="auto"/>
              </w:rPr>
              <w:t>10-K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10.40</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3/16/06</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4/30/04</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10-K/A</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10.6</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12/23/10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10.41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3/16/06</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10-K/A</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10.7</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12/23/10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10-K/A</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10.8</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12/23/10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10-K/A</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10.9</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12/23/10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4"/>
              </w:rPr>
              <w:t>8/5/10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5/03/13</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18"/>
        </w:trPr>
        <w:tc>
          <w:tcPr>
            <w:tcW w:w="138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10.2</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1/18/08</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3"/>
              </w:rPr>
              <w:t>(333-148291)</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ectPr>
          <w:pgSz w:w="11900" w:h="16838" w:orient="portrait"/>
          <w:cols w:equalWidth="0" w:num="2">
            <w:col w:w="7300" w:space="180"/>
            <w:col w:w="2800"/>
          </w:cols>
          <w:pgMar w:left="240" w:top="131" w:right="137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1340"/>
        <w:spacing w:after="0"/>
        <w:tabs>
          <w:tab w:leader="none" w:pos="428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635</wp:posOffset>
            </wp:positionV>
            <wp:extent cx="3930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30015" cy="8255"/>
                    </a:xfrm>
                    <a:prstGeom prst="rect">
                      <a:avLst/>
                    </a:prstGeom>
                    <a:noFill/>
                  </pic:spPr>
                </pic:pic>
              </a:graphicData>
            </a:graphic>
          </wp:anchor>
        </w:drawing>
      </w:r>
    </w:p>
    <w:p>
      <w:pPr>
        <w:ind w:left="1860" w:right="100" w:hanging="596"/>
        <w:spacing w:after="0" w:line="281" w:lineRule="auto"/>
        <w:tabs>
          <w:tab w:leader="none" w:pos="1840" w:val="left"/>
        </w:tabs>
        <w:rPr>
          <w:sz w:val="20"/>
          <w:szCs w:val="20"/>
          <w:color w:val="auto"/>
        </w:rPr>
      </w:pPr>
      <w:r>
        <w:rPr>
          <w:rFonts w:ascii="Arial" w:cs="Arial" w:eastAsia="Arial" w:hAnsi="Arial"/>
          <w:sz w:val="16"/>
          <w:szCs w:val="16"/>
          <w:color w:val="auto"/>
        </w:rPr>
        <w:t>*10.13</w:t>
        <w:tab/>
        <w:t>License Agreement dated September 1, 2006 by and between Duke University and the Company</w:t>
      </w:r>
    </w:p>
    <w:p>
      <w:pPr>
        <w:spacing w:after="0" w:line="187" w:lineRule="exact"/>
        <w:rPr>
          <w:sz w:val="20"/>
          <w:szCs w:val="20"/>
          <w:color w:val="auto"/>
        </w:rPr>
      </w:pPr>
    </w:p>
    <w:p>
      <w:pPr>
        <w:ind w:left="1860" w:right="300" w:hanging="515"/>
        <w:spacing w:after="0" w:line="290" w:lineRule="auto"/>
        <w:tabs>
          <w:tab w:leader="none" w:pos="1840" w:val="left"/>
        </w:tabs>
        <w:rPr>
          <w:sz w:val="20"/>
          <w:szCs w:val="20"/>
          <w:color w:val="auto"/>
        </w:rPr>
      </w:pPr>
      <w:r>
        <w:rPr>
          <w:rFonts w:ascii="Arial" w:cs="Arial" w:eastAsia="Arial" w:hAnsi="Arial"/>
          <w:sz w:val="16"/>
          <w:szCs w:val="16"/>
          <w:color w:val="auto"/>
        </w:rPr>
        <w:t>10.14</w:t>
        <w:tab/>
        <w:t>Amendment to License Agreement between Duke University and the Company dated April 2, 2008</w:t>
      </w:r>
    </w:p>
    <w:p>
      <w:pPr>
        <w:spacing w:after="0" w:line="181" w:lineRule="exact"/>
        <w:rPr>
          <w:sz w:val="20"/>
          <w:szCs w:val="20"/>
          <w:color w:val="auto"/>
        </w:rPr>
      </w:pPr>
    </w:p>
    <w:p>
      <w:pPr>
        <w:ind w:left="1860" w:right="180" w:hanging="596"/>
        <w:spacing w:after="0" w:line="290" w:lineRule="auto"/>
        <w:tabs>
          <w:tab w:leader="none" w:pos="1840" w:val="left"/>
        </w:tabs>
        <w:rPr>
          <w:sz w:val="20"/>
          <w:szCs w:val="20"/>
          <w:color w:val="auto"/>
        </w:rPr>
      </w:pPr>
      <w:r>
        <w:rPr>
          <w:rFonts w:ascii="Arial" w:cs="Arial" w:eastAsia="Arial" w:hAnsi="Arial"/>
          <w:sz w:val="16"/>
          <w:szCs w:val="16"/>
          <w:color w:val="auto"/>
        </w:rPr>
        <w:t>*10.15</w:t>
        <w:tab/>
        <w:t>License Agreement between Duke University, The Johns Hopkins University and the Company dated December 31, 2003</w:t>
      </w:r>
    </w:p>
    <w:p>
      <w:pPr>
        <w:spacing w:after="0" w:line="181" w:lineRule="exact"/>
        <w:rPr>
          <w:sz w:val="20"/>
          <w:szCs w:val="20"/>
          <w:color w:val="auto"/>
        </w:rPr>
      </w:pPr>
    </w:p>
    <w:p>
      <w:pPr>
        <w:ind w:left="1860" w:right="160" w:hanging="596"/>
        <w:spacing w:after="0" w:line="290" w:lineRule="auto"/>
        <w:tabs>
          <w:tab w:leader="none" w:pos="1840" w:val="left"/>
        </w:tabs>
        <w:rPr>
          <w:sz w:val="20"/>
          <w:szCs w:val="20"/>
          <w:color w:val="auto"/>
        </w:rPr>
      </w:pPr>
      <w:r>
        <w:rPr>
          <w:rFonts w:ascii="Arial" w:cs="Arial" w:eastAsia="Arial" w:hAnsi="Arial"/>
          <w:sz w:val="16"/>
          <w:szCs w:val="16"/>
          <w:color w:val="auto"/>
        </w:rPr>
        <w:t>*10.16</w:t>
        <w:tab/>
        <w:t>Amendment to License Agreement between Duke University, The Johns Hopkins University and the Company dated April 2, 2008</w:t>
      </w:r>
    </w:p>
    <w:p>
      <w:pPr>
        <w:spacing w:after="0" w:line="181" w:lineRule="exact"/>
        <w:rPr>
          <w:sz w:val="20"/>
          <w:szCs w:val="20"/>
          <w:color w:val="auto"/>
        </w:rPr>
      </w:pPr>
    </w:p>
    <w:p>
      <w:pPr>
        <w:ind w:left="1860" w:right="440" w:hanging="596"/>
        <w:spacing w:after="0" w:line="326" w:lineRule="auto"/>
        <w:tabs>
          <w:tab w:leader="none" w:pos="1840" w:val="left"/>
        </w:tabs>
        <w:rPr>
          <w:sz w:val="20"/>
          <w:szCs w:val="20"/>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5"/>
          <w:szCs w:val="15"/>
          <w:color w:val="auto"/>
        </w:rPr>
        <w:t>Assignment and License Agreement, as amended, dated April 6, 2004 by and among Medarex, Inc., GenPharm International, Inc. and the Company</w:t>
      </w:r>
    </w:p>
    <w:p>
      <w:pPr>
        <w:spacing w:after="0" w:line="157" w:lineRule="exact"/>
        <w:rPr>
          <w:sz w:val="20"/>
          <w:szCs w:val="20"/>
          <w:color w:val="auto"/>
        </w:rPr>
      </w:pPr>
    </w:p>
    <w:p>
      <w:pPr>
        <w:ind w:left="1860" w:hanging="596"/>
        <w:spacing w:after="0" w:line="366" w:lineRule="auto"/>
        <w:tabs>
          <w:tab w:leader="none" w:pos="1840" w:val="left"/>
        </w:tabs>
        <w:rPr>
          <w:sz w:val="20"/>
          <w:szCs w:val="20"/>
          <w:color w:val="auto"/>
        </w:rPr>
      </w:pPr>
      <w:r>
        <w:rPr>
          <w:rFonts w:ascii="Arial" w:cs="Arial" w:eastAsia="Arial" w:hAnsi="Arial"/>
          <w:sz w:val="16"/>
          <w:szCs w:val="16"/>
          <w:color w:val="auto"/>
        </w:rPr>
        <w:t>*10.18</w:t>
      </w:r>
      <w:r>
        <w:rPr>
          <w:sz w:val="20"/>
          <w:szCs w:val="20"/>
          <w:color w:val="auto"/>
        </w:rPr>
        <w:tab/>
      </w:r>
      <w:r>
        <w:rPr>
          <w:rFonts w:ascii="Arial" w:cs="Arial" w:eastAsia="Arial" w:hAnsi="Arial"/>
          <w:sz w:val="14"/>
          <w:szCs w:val="14"/>
          <w:color w:val="auto"/>
        </w:rPr>
        <w:t>Research and Commercialization Agreement, as amended, dated as of April 6, 2004 by and among Medarex, Inc., GenPharm International, Inc. and the Company</w:t>
      </w:r>
    </w:p>
    <w:p>
      <w:pPr>
        <w:spacing w:after="0" w:line="134" w:lineRule="exact"/>
        <w:rPr>
          <w:sz w:val="20"/>
          <w:szCs w:val="20"/>
          <w:color w:val="auto"/>
        </w:rPr>
      </w:pPr>
    </w:p>
    <w:p>
      <w:pPr>
        <w:ind w:left="1280"/>
        <w:spacing w:after="0"/>
        <w:tabs>
          <w:tab w:leader="none" w:pos="1840" w:val="left"/>
        </w:tabs>
        <w:rPr>
          <w:sz w:val="20"/>
          <w:szCs w:val="20"/>
          <w:color w:val="auto"/>
        </w:rPr>
      </w:pPr>
      <w:r>
        <w:rPr>
          <w:rFonts w:ascii="Arial" w:cs="Arial" w:eastAsia="Arial" w:hAnsi="Arial"/>
          <w:sz w:val="16"/>
          <w:szCs w:val="16"/>
          <w:color w:val="auto"/>
        </w:rPr>
        <w:t>*10.19</w:t>
      </w:r>
      <w:r>
        <w:rPr>
          <w:sz w:val="20"/>
          <w:szCs w:val="20"/>
          <w:color w:val="auto"/>
        </w:rPr>
        <w:tab/>
      </w:r>
      <w:r>
        <w:rPr>
          <w:rFonts w:ascii="Arial" w:cs="Arial" w:eastAsia="Arial" w:hAnsi="Arial"/>
          <w:sz w:val="14"/>
          <w:szCs w:val="14"/>
          <w:color w:val="auto"/>
        </w:rPr>
        <w:t>Research Collaboration and Commercialization Agreement effective October 20,</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2006 between the Company and the Ludwig Institute for Cancer Research</w:t>
      </w:r>
    </w:p>
    <w:p>
      <w:pPr>
        <w:spacing w:after="0" w:line="234" w:lineRule="exact"/>
        <w:rPr>
          <w:sz w:val="20"/>
          <w:szCs w:val="20"/>
          <w:color w:val="auto"/>
        </w:rPr>
      </w:pPr>
    </w:p>
    <w:p>
      <w:pPr>
        <w:ind w:left="1280"/>
        <w:spacing w:after="0"/>
        <w:tabs>
          <w:tab w:leader="none" w:pos="1840" w:val="left"/>
        </w:tabs>
        <w:rPr>
          <w:sz w:val="20"/>
          <w:szCs w:val="20"/>
          <w:color w:val="auto"/>
        </w:rPr>
      </w:pPr>
      <w:r>
        <w:rPr>
          <w:rFonts w:ascii="Arial" w:cs="Arial" w:eastAsia="Arial" w:hAnsi="Arial"/>
          <w:sz w:val="16"/>
          <w:szCs w:val="16"/>
          <w:color w:val="auto"/>
        </w:rPr>
        <w:t>*10.20</w:t>
      </w:r>
      <w:r>
        <w:rPr>
          <w:sz w:val="20"/>
          <w:szCs w:val="20"/>
          <w:color w:val="auto"/>
        </w:rPr>
        <w:tab/>
      </w:r>
      <w:r>
        <w:rPr>
          <w:rFonts w:ascii="Arial" w:cs="Arial" w:eastAsia="Arial" w:hAnsi="Arial"/>
          <w:sz w:val="14"/>
          <w:szCs w:val="14"/>
          <w:color w:val="auto"/>
        </w:rPr>
        <w:t>Exclusive Patent and Know-How License Agreement dated as of November 5,</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2008 between the Company and the University of Southampton</w:t>
      </w:r>
    </w:p>
    <w:p>
      <w:pPr>
        <w:spacing w:after="0" w:line="234" w:lineRule="exact"/>
        <w:rPr>
          <w:sz w:val="20"/>
          <w:szCs w:val="20"/>
          <w:color w:val="auto"/>
        </w:rPr>
      </w:pPr>
    </w:p>
    <w:p>
      <w:pPr>
        <w:ind w:left="1860" w:right="100" w:hanging="596"/>
        <w:spacing w:after="0" w:line="290" w:lineRule="auto"/>
        <w:tabs>
          <w:tab w:leader="none" w:pos="1840" w:val="left"/>
        </w:tabs>
        <w:rPr>
          <w:sz w:val="20"/>
          <w:szCs w:val="20"/>
          <w:color w:val="auto"/>
        </w:rPr>
      </w:pPr>
      <w:r>
        <w:rPr>
          <w:rFonts w:ascii="Arial" w:cs="Arial" w:eastAsia="Arial" w:hAnsi="Arial"/>
          <w:sz w:val="16"/>
          <w:szCs w:val="16"/>
          <w:color w:val="auto"/>
        </w:rPr>
        <w:t>*10.21</w:t>
        <w:tab/>
        <w:t>License and Assignment Agreement, between Amgen Inc. and the Company dated March 16, 2009</w:t>
      </w:r>
    </w:p>
    <w:p>
      <w:pPr>
        <w:spacing w:after="0" w:line="181" w:lineRule="exact"/>
        <w:rPr>
          <w:sz w:val="20"/>
          <w:szCs w:val="20"/>
          <w:color w:val="auto"/>
        </w:rPr>
      </w:pPr>
    </w:p>
    <w:p>
      <w:pPr>
        <w:ind w:left="1860" w:right="520" w:hanging="596"/>
        <w:spacing w:after="0" w:line="290" w:lineRule="auto"/>
        <w:tabs>
          <w:tab w:leader="none" w:pos="1840" w:val="left"/>
        </w:tabs>
        <w:rPr>
          <w:sz w:val="20"/>
          <w:szCs w:val="20"/>
          <w:color w:val="auto"/>
        </w:rPr>
      </w:pPr>
      <w:r>
        <w:rPr>
          <w:rFonts w:ascii="Arial" w:cs="Arial" w:eastAsia="Arial" w:hAnsi="Arial"/>
          <w:sz w:val="16"/>
          <w:szCs w:val="16"/>
          <w:color w:val="auto"/>
        </w:rPr>
        <w:t>*10.22</w:t>
        <w:tab/>
        <w:t>Collaboration Agreement dated June 18, 2004 between Seattle Genetics and CuraGen</w:t>
      </w:r>
    </w:p>
    <w:p>
      <w:pPr>
        <w:spacing w:after="0" w:line="181" w:lineRule="exact"/>
        <w:rPr>
          <w:sz w:val="20"/>
          <w:szCs w:val="20"/>
          <w:color w:val="auto"/>
        </w:rPr>
      </w:pPr>
    </w:p>
    <w:p>
      <w:pPr>
        <w:ind w:left="1860" w:right="400" w:hanging="596"/>
        <w:spacing w:after="0" w:line="290" w:lineRule="auto"/>
        <w:tabs>
          <w:tab w:leader="none" w:pos="1840" w:val="left"/>
        </w:tabs>
        <w:rPr>
          <w:sz w:val="20"/>
          <w:szCs w:val="20"/>
          <w:color w:val="auto"/>
        </w:rPr>
      </w:pPr>
      <w:r>
        <w:rPr>
          <w:rFonts w:ascii="Arial" w:cs="Arial" w:eastAsia="Arial" w:hAnsi="Arial"/>
          <w:sz w:val="16"/>
          <w:szCs w:val="16"/>
          <w:color w:val="auto"/>
        </w:rPr>
        <w:t>*10.23</w:t>
        <w:tab/>
        <w:t>Second Restated Collaboration Agreement dated April 12, 2004 and amended October 19, 2004 between Abgenix Inc. and CuraGen</w:t>
      </w:r>
    </w:p>
    <w:p>
      <w:pPr>
        <w:spacing w:after="0" w:line="181" w:lineRule="exact"/>
        <w:rPr>
          <w:sz w:val="20"/>
          <w:szCs w:val="20"/>
          <w:color w:val="auto"/>
        </w:rPr>
      </w:pPr>
    </w:p>
    <w:p>
      <w:pPr>
        <w:ind w:left="1360"/>
        <w:spacing w:after="0"/>
        <w:tabs>
          <w:tab w:leader="none" w:pos="1840" w:val="left"/>
        </w:tabs>
        <w:rPr>
          <w:sz w:val="20"/>
          <w:szCs w:val="20"/>
          <w:color w:val="auto"/>
        </w:rPr>
      </w:pPr>
      <w:r>
        <w:rPr>
          <w:rFonts w:ascii="Arial" w:cs="Arial" w:eastAsia="Arial" w:hAnsi="Arial"/>
          <w:sz w:val="16"/>
          <w:szCs w:val="16"/>
          <w:color w:val="auto"/>
        </w:rPr>
        <w:t>10.24</w:t>
      </w:r>
      <w:r>
        <w:rPr>
          <w:sz w:val="20"/>
          <w:szCs w:val="20"/>
          <w:color w:val="auto"/>
        </w:rPr>
        <w:tab/>
      </w:r>
      <w:r>
        <w:rPr>
          <w:rFonts w:ascii="Arial" w:cs="Arial" w:eastAsia="Arial" w:hAnsi="Arial"/>
          <w:sz w:val="14"/>
          <w:szCs w:val="14"/>
          <w:color w:val="auto"/>
        </w:rPr>
        <w:t>Amgen Letter Agreement, by and between CuraGen and Amgen Fremont, Inc.</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dated May 2, 2009</w:t>
      </w:r>
    </w:p>
    <w:p>
      <w:pPr>
        <w:spacing w:after="0" w:line="234" w:lineRule="exact"/>
        <w:rPr>
          <w:sz w:val="20"/>
          <w:szCs w:val="20"/>
          <w:color w:val="auto"/>
        </w:rPr>
      </w:pPr>
    </w:p>
    <w:p>
      <w:pPr>
        <w:ind w:left="1860" w:right="220" w:hanging="596"/>
        <w:spacing w:after="0" w:line="290" w:lineRule="auto"/>
        <w:tabs>
          <w:tab w:leader="none" w:pos="1840" w:val="left"/>
        </w:tabs>
        <w:rPr>
          <w:sz w:val="20"/>
          <w:szCs w:val="20"/>
          <w:color w:val="auto"/>
        </w:rPr>
      </w:pPr>
      <w:r>
        <w:rPr>
          <w:rFonts w:ascii="Arial" w:cs="Arial" w:eastAsia="Arial" w:hAnsi="Arial"/>
          <w:sz w:val="16"/>
          <w:szCs w:val="16"/>
          <w:color w:val="auto"/>
        </w:rPr>
        <w:t>*10.25</w:t>
        <w:tab/>
        <w:t>Transfer and Termination Agreement, dated as of April 21, 2008 by and between TopoTarget A/S and CuraGen</w:t>
      </w:r>
    </w:p>
    <w:p>
      <w:pPr>
        <w:spacing w:after="0" w:line="181" w:lineRule="exact"/>
        <w:rPr>
          <w:sz w:val="20"/>
          <w:szCs w:val="20"/>
          <w:color w:val="auto"/>
        </w:rPr>
      </w:pPr>
    </w:p>
    <w:p>
      <w:pPr>
        <w:ind w:left="1280"/>
        <w:spacing w:after="0"/>
        <w:tabs>
          <w:tab w:leader="none" w:pos="1840" w:val="left"/>
        </w:tabs>
        <w:rPr>
          <w:sz w:val="20"/>
          <w:szCs w:val="20"/>
          <w:color w:val="auto"/>
        </w:rPr>
      </w:pPr>
      <w:r>
        <w:rPr>
          <w:rFonts w:ascii="Arial" w:cs="Arial" w:eastAsia="Arial" w:hAnsi="Arial"/>
          <w:sz w:val="16"/>
          <w:szCs w:val="16"/>
          <w:color w:val="auto"/>
        </w:rPr>
        <w:t>*10.26</w:t>
      </w:r>
      <w:r>
        <w:rPr>
          <w:sz w:val="20"/>
          <w:szCs w:val="20"/>
          <w:color w:val="auto"/>
        </w:rPr>
        <w:tab/>
      </w:r>
      <w:r>
        <w:rPr>
          <w:rFonts w:ascii="Arial" w:cs="Arial" w:eastAsia="Arial" w:hAnsi="Arial"/>
          <w:sz w:val="14"/>
          <w:szCs w:val="14"/>
          <w:color w:val="auto"/>
        </w:rPr>
        <w:t>License Agreement between Medarex and Company dated September 17, 2010</w:t>
      </w:r>
    </w:p>
    <w:p>
      <w:pPr>
        <w:spacing w:after="0" w:line="200" w:lineRule="exact"/>
        <w:rPr>
          <w:sz w:val="20"/>
          <w:szCs w:val="20"/>
          <w:color w:val="auto"/>
        </w:rPr>
      </w:pPr>
    </w:p>
    <w:p>
      <w:pPr>
        <w:spacing w:after="0" w:line="241" w:lineRule="exact"/>
        <w:rPr>
          <w:sz w:val="20"/>
          <w:szCs w:val="20"/>
          <w:color w:val="auto"/>
        </w:rPr>
      </w:pPr>
    </w:p>
    <w:p>
      <w:pPr>
        <w:ind w:left="1860" w:right="220" w:hanging="515"/>
        <w:spacing w:after="0" w:line="290" w:lineRule="auto"/>
        <w:tabs>
          <w:tab w:leader="none" w:pos="1840" w:val="left"/>
        </w:tabs>
        <w:rPr>
          <w:sz w:val="20"/>
          <w:szCs w:val="20"/>
          <w:color w:val="auto"/>
        </w:rPr>
      </w:pPr>
      <w:r>
        <w:rPr>
          <w:rFonts w:ascii="Arial" w:cs="Arial" w:eastAsia="Arial" w:hAnsi="Arial"/>
          <w:sz w:val="16"/>
          <w:szCs w:val="16"/>
          <w:color w:val="auto"/>
        </w:rPr>
        <w:t>10.27</w:t>
        <w:tab/>
        <w:t>Master Services Agreement dated March 29, 2010 by and between the Company and Prologue Research International, Inc. (Prologue)</w:t>
      </w:r>
    </w:p>
    <w:p>
      <w:pPr>
        <w:spacing w:after="0" w:line="15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Incorporated by Reference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3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1"/>
              </w:rPr>
              <w:t>Form and</w:t>
            </w: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2"/>
              </w:rPr>
              <w:t>Exhibit</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9"/>
              </w:rPr>
              <w:t>SEC</w:t>
            </w:r>
          </w:p>
        </w:tc>
      </w:tr>
      <w:tr>
        <w:trPr>
          <w:trHeight w:val="150"/>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SEC File No.</w:t>
            </w:r>
          </w:p>
        </w:tc>
        <w:tc>
          <w:tcPr>
            <w:tcW w:w="140" w:type="dxa"/>
            <w:vAlign w:val="bottom"/>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No.</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Filing Date</w:t>
            </w:r>
          </w:p>
        </w:tc>
      </w:tr>
      <w:tr>
        <w:trPr>
          <w:trHeight w:val="184"/>
        </w:trPr>
        <w:tc>
          <w:tcPr>
            <w:tcW w:w="138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1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3"/>
              </w:rPr>
              <w:t>1/18/08</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3"/>
              </w:rPr>
              <w:t>(333-148291)</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10-K/A</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10.5</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12/23/10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10-K/A</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12/23/10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10-K/A</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10.13</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12/23/10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10.4</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1/18/08</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3"/>
              </w:rPr>
              <w:t>(333-148291)</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w w:val="88"/>
              </w:rPr>
              <w:t>S-4</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10.5</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1/18/08</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3"/>
              </w:rPr>
              <w:t>(333-148291)</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10.45</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4"/>
              </w:rPr>
              <w:t>3/2/09</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10.47</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4"/>
              </w:rPr>
              <w:t>3/2/09</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10-K/A</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12/23/10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10.27</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3/12/10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10.28</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3/12/10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10.29</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3/12/10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10.30</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3/12/10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w w:val="98"/>
              </w:rPr>
              <w:t>10-Q/A</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10.3</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12/23/10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10.2</w:t>
            </w:r>
          </w:p>
        </w:tc>
        <w:tc>
          <w:tcPr>
            <w:tcW w:w="82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11/3/11</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ectPr>
          <w:pgSz w:w="11900" w:h="16838" w:orient="portrait"/>
          <w:cols w:equalWidth="0" w:num="2">
            <w:col w:w="7340" w:space="140"/>
            <w:col w:w="2800"/>
          </w:cols>
          <w:pgMar w:left="240" w:top="131" w:right="137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1340"/>
        <w:spacing w:after="0"/>
        <w:tabs>
          <w:tab w:leader="none" w:pos="428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635</wp:posOffset>
            </wp:positionV>
            <wp:extent cx="3930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930015" cy="8255"/>
                    </a:xfrm>
                    <a:prstGeom prst="rect">
                      <a:avLst/>
                    </a:prstGeom>
                    <a:noFill/>
                  </pic:spPr>
                </pic:pic>
              </a:graphicData>
            </a:graphic>
          </wp:anchor>
        </w:drawing>
      </w:r>
    </w:p>
    <w:p>
      <w:pPr>
        <w:ind w:left="1860" w:hanging="515"/>
        <w:spacing w:after="0" w:line="316" w:lineRule="auto"/>
        <w:tabs>
          <w:tab w:leader="none" w:pos="1840" w:val="left"/>
        </w:tabs>
        <w:rPr>
          <w:sz w:val="20"/>
          <w:szCs w:val="20"/>
          <w:color w:val="auto"/>
        </w:rPr>
      </w:pPr>
      <w:r>
        <w:rPr>
          <w:rFonts w:ascii="Arial" w:cs="Arial" w:eastAsia="Arial" w:hAnsi="Arial"/>
          <w:sz w:val="16"/>
          <w:szCs w:val="16"/>
          <w:color w:val="auto"/>
        </w:rPr>
        <w:t>10.28</w:t>
      </w:r>
      <w:r>
        <w:rPr>
          <w:sz w:val="20"/>
          <w:szCs w:val="20"/>
          <w:color w:val="auto"/>
        </w:rPr>
        <w:tab/>
      </w:r>
      <w:r>
        <w:rPr>
          <w:rFonts w:ascii="Arial" w:cs="Arial" w:eastAsia="Arial" w:hAnsi="Arial"/>
          <w:sz w:val="15"/>
          <w:szCs w:val="15"/>
          <w:color w:val="auto"/>
        </w:rPr>
        <w:t>Amendment to Master Services Agreement dated July 6, 2011 by and between the Company and Novella Clinical Inc. (formerly known as Prologue)</w:t>
      </w:r>
    </w:p>
    <w:p>
      <w:pPr>
        <w:spacing w:after="0" w:line="164" w:lineRule="exact"/>
        <w:rPr>
          <w:sz w:val="20"/>
          <w:szCs w:val="20"/>
          <w:color w:val="auto"/>
        </w:rPr>
      </w:pPr>
    </w:p>
    <w:p>
      <w:pPr>
        <w:ind w:left="1860" w:right="40" w:hanging="515"/>
        <w:spacing w:after="0" w:line="290" w:lineRule="auto"/>
        <w:tabs>
          <w:tab w:leader="none" w:pos="1840" w:val="left"/>
        </w:tabs>
        <w:rPr>
          <w:sz w:val="20"/>
          <w:szCs w:val="20"/>
          <w:color w:val="auto"/>
        </w:rPr>
      </w:pPr>
      <w:r>
        <w:rPr>
          <w:rFonts w:ascii="Arial" w:cs="Arial" w:eastAsia="Arial" w:hAnsi="Arial"/>
          <w:sz w:val="16"/>
          <w:szCs w:val="16"/>
          <w:color w:val="auto"/>
        </w:rPr>
        <w:t>10.29</w:t>
        <w:tab/>
        <w:t>Master Services Agreement dated May 6, 2013 by and between the Company and PPD Development, LLC</w:t>
      </w:r>
    </w:p>
    <w:p>
      <w:pPr>
        <w:spacing w:after="0" w:line="181" w:lineRule="exact"/>
        <w:rPr>
          <w:sz w:val="20"/>
          <w:szCs w:val="20"/>
          <w:color w:val="auto"/>
        </w:rPr>
      </w:pPr>
    </w:p>
    <w:p>
      <w:pPr>
        <w:ind w:left="1860" w:right="20" w:hanging="596"/>
        <w:spacing w:after="0" w:line="290" w:lineRule="auto"/>
        <w:tabs>
          <w:tab w:leader="none" w:pos="1840" w:val="left"/>
        </w:tabs>
        <w:rPr>
          <w:sz w:val="20"/>
          <w:szCs w:val="20"/>
          <w:color w:val="auto"/>
        </w:rPr>
      </w:pPr>
      <w:r>
        <w:rPr>
          <w:rFonts w:ascii="Arial" w:cs="Arial" w:eastAsia="Arial" w:hAnsi="Arial"/>
          <w:sz w:val="16"/>
          <w:szCs w:val="16"/>
          <w:color w:val="auto"/>
        </w:rPr>
        <w:t>*10.30</w:t>
        <w:tab/>
        <w:t>Third Amended and Restated Supply Agreement dated October 15, 2014 between the Company and Biosyn Corporation</w:t>
      </w:r>
    </w:p>
    <w:p>
      <w:pPr>
        <w:spacing w:after="0" w:line="181" w:lineRule="exact"/>
        <w:rPr>
          <w:sz w:val="20"/>
          <w:szCs w:val="20"/>
          <w:color w:val="auto"/>
        </w:rPr>
      </w:pPr>
    </w:p>
    <w:p>
      <w:pPr>
        <w:ind w:left="1860" w:right="540" w:hanging="515"/>
        <w:spacing w:after="0" w:line="290" w:lineRule="auto"/>
        <w:tabs>
          <w:tab w:leader="none" w:pos="1840" w:val="left"/>
        </w:tabs>
        <w:rPr>
          <w:sz w:val="20"/>
          <w:szCs w:val="20"/>
          <w:color w:val="auto"/>
        </w:rPr>
      </w:pPr>
      <w:r>
        <w:rPr>
          <w:rFonts w:ascii="Arial" w:cs="Arial" w:eastAsia="Arial" w:hAnsi="Arial"/>
          <w:sz w:val="16"/>
          <w:szCs w:val="16"/>
          <w:color w:val="auto"/>
        </w:rPr>
        <w:t>10.31</w:t>
        <w:tab/>
        <w:t>Subscription Agreement dated as of October 15, 2014 by and between the Company and Biosyn Corporation</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6"/>
          <w:szCs w:val="16"/>
          <w:i w:val="1"/>
          <w:iCs w:val="1"/>
          <w:color w:val="auto"/>
        </w:rPr>
        <w:t>Material Contracts—Stock Purchase, Financing and Credit Agreements</w:t>
      </w:r>
    </w:p>
    <w:p>
      <w:pPr>
        <w:spacing w:after="0" w:line="23" w:lineRule="exact"/>
        <w:rPr>
          <w:sz w:val="20"/>
          <w:szCs w:val="20"/>
          <w:color w:val="auto"/>
        </w:rPr>
      </w:pPr>
    </w:p>
    <w:p>
      <w:pPr>
        <w:ind w:left="1860" w:right="80" w:hanging="515"/>
        <w:spacing w:after="0" w:line="281" w:lineRule="auto"/>
        <w:tabs>
          <w:tab w:leader="none" w:pos="1840" w:val="left"/>
        </w:tabs>
        <w:rPr>
          <w:sz w:val="20"/>
          <w:szCs w:val="20"/>
          <w:color w:val="auto"/>
        </w:rPr>
      </w:pPr>
      <w:r>
        <w:rPr>
          <w:rFonts w:ascii="Arial" w:cs="Arial" w:eastAsia="Arial" w:hAnsi="Arial"/>
          <w:sz w:val="16"/>
          <w:szCs w:val="16"/>
          <w:color w:val="auto"/>
        </w:rPr>
        <w:t>10.32</w:t>
        <w:tab/>
        <w:t>Sales Agreement, dated January 6, 2011, between Celldex Therapeutics, Inc. and Cantor Fitzgerald &amp; Co.</w:t>
      </w:r>
    </w:p>
    <w:p>
      <w:pPr>
        <w:spacing w:after="0" w:line="188" w:lineRule="exact"/>
        <w:rPr>
          <w:sz w:val="20"/>
          <w:szCs w:val="20"/>
          <w:color w:val="auto"/>
        </w:rPr>
      </w:pPr>
    </w:p>
    <w:p>
      <w:pPr>
        <w:ind w:left="1860" w:right="160" w:hanging="515"/>
        <w:spacing w:after="0" w:line="366" w:lineRule="auto"/>
        <w:tabs>
          <w:tab w:leader="none" w:pos="1840" w:val="left"/>
        </w:tabs>
        <w:rPr>
          <w:sz w:val="20"/>
          <w:szCs w:val="20"/>
          <w:color w:val="auto"/>
        </w:rPr>
      </w:pPr>
      <w:r>
        <w:rPr>
          <w:rFonts w:ascii="Arial" w:cs="Arial" w:eastAsia="Arial" w:hAnsi="Arial"/>
          <w:sz w:val="16"/>
          <w:szCs w:val="16"/>
          <w:color w:val="auto"/>
        </w:rPr>
        <w:t>10.33</w:t>
      </w:r>
      <w:r>
        <w:rPr>
          <w:sz w:val="20"/>
          <w:szCs w:val="20"/>
          <w:color w:val="auto"/>
        </w:rPr>
        <w:tab/>
      </w:r>
      <w:r>
        <w:rPr>
          <w:rFonts w:ascii="Arial" w:cs="Arial" w:eastAsia="Arial" w:hAnsi="Arial"/>
          <w:sz w:val="14"/>
          <w:szCs w:val="14"/>
          <w:color w:val="auto"/>
        </w:rPr>
        <w:t>Amendment No. 1 to Sales Agreement, dated January 6, 2011, between Celldex Therapeutics, Inc. and Cantor Fitzgerald &amp; Co., dated September 20, 2012</w:t>
      </w:r>
    </w:p>
    <w:p>
      <w:pPr>
        <w:spacing w:after="0" w:line="134" w:lineRule="exact"/>
        <w:rPr>
          <w:sz w:val="20"/>
          <w:szCs w:val="20"/>
          <w:color w:val="auto"/>
        </w:rPr>
      </w:pPr>
    </w:p>
    <w:p>
      <w:pPr>
        <w:ind w:left="1280" w:right="1200" w:hanging="40"/>
        <w:spacing w:after="0" w:line="366" w:lineRule="auto"/>
        <w:rPr>
          <w:sz w:val="20"/>
          <w:szCs w:val="20"/>
          <w:color w:val="auto"/>
        </w:rPr>
      </w:pPr>
      <w:r>
        <w:rPr>
          <w:rFonts w:ascii="Arial" w:cs="Arial" w:eastAsia="Arial" w:hAnsi="Arial"/>
          <w:sz w:val="14"/>
          <w:szCs w:val="14"/>
          <w:i w:val="1"/>
          <w:iCs w:val="1"/>
          <w:color w:val="auto"/>
        </w:rPr>
        <w:t xml:space="preserve">Material Contracts—Management Contracts and Compensatory Plans </w:t>
      </w:r>
      <w:r>
        <w:rPr>
          <w:rFonts w:ascii="Arial" w:cs="Arial" w:eastAsia="Arial" w:hAnsi="Arial"/>
          <w:sz w:val="14"/>
          <w:szCs w:val="14"/>
          <w:color w:val="auto"/>
        </w:rPr>
        <w:t>†10.34 2008 Stock Option and Incentive Plan, as amended and restated</w:t>
      </w:r>
    </w:p>
    <w:p>
      <w:pPr>
        <w:spacing w:after="0" w:line="334" w:lineRule="exact"/>
        <w:rPr>
          <w:sz w:val="20"/>
          <w:szCs w:val="20"/>
          <w:color w:val="auto"/>
        </w:rPr>
      </w:pPr>
    </w:p>
    <w:p>
      <w:pPr>
        <w:ind w:left="1280"/>
        <w:spacing w:after="0"/>
        <w:tabs>
          <w:tab w:leader="none" w:pos="1840" w:val="left"/>
        </w:tabs>
        <w:rPr>
          <w:sz w:val="20"/>
          <w:szCs w:val="20"/>
          <w:color w:val="auto"/>
        </w:rPr>
      </w:pPr>
      <w:r>
        <w:rPr>
          <w:rFonts w:ascii="Arial" w:cs="Arial" w:eastAsia="Arial" w:hAnsi="Arial"/>
          <w:sz w:val="16"/>
          <w:szCs w:val="16"/>
          <w:color w:val="auto"/>
        </w:rPr>
        <w:t>†10.35</w:t>
      </w:r>
      <w:r>
        <w:rPr>
          <w:sz w:val="20"/>
          <w:szCs w:val="20"/>
          <w:color w:val="auto"/>
        </w:rPr>
        <w:tab/>
      </w:r>
      <w:r>
        <w:rPr>
          <w:rFonts w:ascii="Arial" w:cs="Arial" w:eastAsia="Arial" w:hAnsi="Arial"/>
          <w:sz w:val="14"/>
          <w:szCs w:val="14"/>
          <w:color w:val="auto"/>
        </w:rPr>
        <w:t>2004 Employee Stock Purchase Plan, as amended and restated</w:t>
      </w:r>
    </w:p>
    <w:p>
      <w:pPr>
        <w:spacing w:after="0" w:line="200" w:lineRule="exact"/>
        <w:rPr>
          <w:sz w:val="20"/>
          <w:szCs w:val="20"/>
          <w:color w:val="auto"/>
        </w:rPr>
      </w:pPr>
    </w:p>
    <w:p>
      <w:pPr>
        <w:spacing w:after="0" w:line="241" w:lineRule="exact"/>
        <w:rPr>
          <w:sz w:val="20"/>
          <w:szCs w:val="20"/>
          <w:color w:val="auto"/>
        </w:rPr>
      </w:pPr>
    </w:p>
    <w:p>
      <w:pPr>
        <w:ind w:left="1860" w:right="540" w:hanging="579"/>
        <w:spacing w:after="0" w:line="290" w:lineRule="auto"/>
        <w:tabs>
          <w:tab w:leader="none" w:pos="1840" w:val="left"/>
        </w:tabs>
        <w:rPr>
          <w:sz w:val="20"/>
          <w:szCs w:val="20"/>
          <w:color w:val="auto"/>
        </w:rPr>
      </w:pPr>
      <w:r>
        <w:rPr>
          <w:rFonts w:ascii="Arial" w:cs="Arial" w:eastAsia="Arial" w:hAnsi="Arial"/>
          <w:sz w:val="16"/>
          <w:szCs w:val="16"/>
          <w:color w:val="auto"/>
        </w:rPr>
        <w:t>†10.36</w:t>
        <w:tab/>
        <w:t>Employment Agreement, dated as of January 1, 2013, by and between the Company and Anthony S. Marucci</w:t>
      </w:r>
    </w:p>
    <w:p>
      <w:pPr>
        <w:spacing w:after="0" w:line="181" w:lineRule="exact"/>
        <w:rPr>
          <w:sz w:val="20"/>
          <w:szCs w:val="20"/>
          <w:color w:val="auto"/>
        </w:rPr>
      </w:pPr>
    </w:p>
    <w:p>
      <w:pPr>
        <w:ind w:left="1860" w:right="540" w:hanging="579"/>
        <w:spacing w:after="0" w:line="290" w:lineRule="auto"/>
        <w:tabs>
          <w:tab w:leader="none" w:pos="1840" w:val="left"/>
        </w:tabs>
        <w:rPr>
          <w:sz w:val="20"/>
          <w:szCs w:val="20"/>
          <w:color w:val="auto"/>
        </w:rPr>
      </w:pPr>
      <w:r>
        <w:rPr>
          <w:rFonts w:ascii="Arial" w:cs="Arial" w:eastAsia="Arial" w:hAnsi="Arial"/>
          <w:sz w:val="16"/>
          <w:szCs w:val="16"/>
          <w:color w:val="auto"/>
        </w:rPr>
        <w:t>†10.37</w:t>
        <w:tab/>
        <w:t>Employment Agreement, dated as of January 1, 2013, by and between the Company and Avery W. Catlin</w:t>
      </w:r>
    </w:p>
    <w:p>
      <w:pPr>
        <w:spacing w:after="0" w:line="181" w:lineRule="exact"/>
        <w:rPr>
          <w:sz w:val="20"/>
          <w:szCs w:val="20"/>
          <w:color w:val="auto"/>
        </w:rPr>
      </w:pPr>
    </w:p>
    <w:p>
      <w:pPr>
        <w:ind w:left="1860" w:right="540" w:hanging="579"/>
        <w:spacing w:after="0" w:line="290" w:lineRule="auto"/>
        <w:tabs>
          <w:tab w:leader="none" w:pos="1840" w:val="left"/>
        </w:tabs>
        <w:rPr>
          <w:sz w:val="20"/>
          <w:szCs w:val="20"/>
          <w:color w:val="auto"/>
        </w:rPr>
      </w:pPr>
      <w:r>
        <w:rPr>
          <w:rFonts w:ascii="Arial" w:cs="Arial" w:eastAsia="Arial" w:hAnsi="Arial"/>
          <w:sz w:val="16"/>
          <w:szCs w:val="16"/>
          <w:color w:val="auto"/>
        </w:rPr>
        <w:t>†10.38</w:t>
        <w:tab/>
        <w:t>Employment Agreement, dated as of January 1, 2013, by and between the Company and Thomas Davis, MD</w:t>
      </w:r>
    </w:p>
    <w:p>
      <w:pPr>
        <w:spacing w:after="0" w:line="181" w:lineRule="exact"/>
        <w:rPr>
          <w:sz w:val="20"/>
          <w:szCs w:val="20"/>
          <w:color w:val="auto"/>
        </w:rPr>
      </w:pPr>
    </w:p>
    <w:p>
      <w:pPr>
        <w:ind w:left="1860" w:right="540" w:hanging="579"/>
        <w:spacing w:after="0" w:line="290" w:lineRule="auto"/>
        <w:tabs>
          <w:tab w:leader="none" w:pos="1840" w:val="left"/>
        </w:tabs>
        <w:rPr>
          <w:sz w:val="20"/>
          <w:szCs w:val="20"/>
          <w:color w:val="auto"/>
        </w:rPr>
      </w:pPr>
      <w:r>
        <w:rPr>
          <w:rFonts w:ascii="Arial" w:cs="Arial" w:eastAsia="Arial" w:hAnsi="Arial"/>
          <w:sz w:val="16"/>
          <w:szCs w:val="16"/>
          <w:color w:val="auto"/>
        </w:rPr>
        <w:t>†10.39</w:t>
        <w:tab/>
        <w:t>Employment Agreement, dated as of January 1, 2013, by and between the Company and Tibor Keler, Ph.D.</w:t>
      </w:r>
    </w:p>
    <w:p>
      <w:pPr>
        <w:spacing w:after="0" w:line="181" w:lineRule="exact"/>
        <w:rPr>
          <w:sz w:val="20"/>
          <w:szCs w:val="20"/>
          <w:color w:val="auto"/>
        </w:rPr>
      </w:pPr>
    </w:p>
    <w:p>
      <w:pPr>
        <w:ind w:left="1860" w:right="540" w:hanging="579"/>
        <w:spacing w:after="0" w:line="290" w:lineRule="auto"/>
        <w:tabs>
          <w:tab w:leader="none" w:pos="1840" w:val="left"/>
        </w:tabs>
        <w:rPr>
          <w:sz w:val="20"/>
          <w:szCs w:val="20"/>
          <w:color w:val="auto"/>
        </w:rPr>
      </w:pPr>
      <w:r>
        <w:rPr>
          <w:rFonts w:ascii="Arial" w:cs="Arial" w:eastAsia="Arial" w:hAnsi="Arial"/>
          <w:sz w:val="16"/>
          <w:szCs w:val="16"/>
          <w:color w:val="auto"/>
        </w:rPr>
        <w:t>†10.40</w:t>
        <w:tab/>
        <w:t>Employment Agreement, dated as of January 1, 2013, by and between the Company and Ronald A. Pepin, Ph.D.</w:t>
      </w:r>
    </w:p>
    <w:p>
      <w:pPr>
        <w:spacing w:after="0" w:line="181" w:lineRule="exact"/>
        <w:rPr>
          <w:sz w:val="20"/>
          <w:szCs w:val="20"/>
          <w:color w:val="auto"/>
        </w:rPr>
      </w:pPr>
    </w:p>
    <w:p>
      <w:pPr>
        <w:ind w:left="1280"/>
        <w:spacing w:after="0"/>
        <w:tabs>
          <w:tab w:leader="none" w:pos="1840" w:val="left"/>
        </w:tabs>
        <w:rPr>
          <w:sz w:val="20"/>
          <w:szCs w:val="20"/>
          <w:color w:val="auto"/>
        </w:rPr>
      </w:pPr>
      <w:r>
        <w:rPr>
          <w:rFonts w:ascii="Arial" w:cs="Arial" w:eastAsia="Arial" w:hAnsi="Arial"/>
          <w:sz w:val="16"/>
          <w:szCs w:val="16"/>
          <w:color w:val="auto"/>
        </w:rPr>
        <w:t>†10.41</w:t>
      </w:r>
      <w:r>
        <w:rPr>
          <w:sz w:val="20"/>
          <w:szCs w:val="20"/>
          <w:color w:val="auto"/>
        </w:rPr>
        <w:tab/>
      </w:r>
      <w:r>
        <w:rPr>
          <w:rFonts w:ascii="Arial" w:cs="Arial" w:eastAsia="Arial" w:hAnsi="Arial"/>
          <w:sz w:val="15"/>
          <w:szCs w:val="15"/>
          <w:color w:val="auto"/>
        </w:rPr>
        <w:t>Form of Stock Option Agreement</w:t>
      </w:r>
    </w:p>
    <w:p>
      <w:pPr>
        <w:spacing w:after="0" w:line="200" w:lineRule="exact"/>
        <w:rPr>
          <w:sz w:val="20"/>
          <w:szCs w:val="20"/>
          <w:color w:val="auto"/>
        </w:rPr>
      </w:pPr>
    </w:p>
    <w:p>
      <w:pPr>
        <w:spacing w:after="0" w:line="241" w:lineRule="exact"/>
        <w:rPr>
          <w:sz w:val="20"/>
          <w:szCs w:val="20"/>
          <w:color w:val="auto"/>
        </w:rPr>
      </w:pPr>
    </w:p>
    <w:p>
      <w:pPr>
        <w:ind w:left="1280"/>
        <w:spacing w:after="0"/>
        <w:tabs>
          <w:tab w:leader="none" w:pos="1840" w:val="left"/>
        </w:tabs>
        <w:rPr>
          <w:sz w:val="20"/>
          <w:szCs w:val="20"/>
          <w:color w:val="auto"/>
        </w:rPr>
      </w:pPr>
      <w:r>
        <w:rPr>
          <w:rFonts w:ascii="Arial" w:cs="Arial" w:eastAsia="Arial" w:hAnsi="Arial"/>
          <w:sz w:val="16"/>
          <w:szCs w:val="16"/>
          <w:color w:val="auto"/>
        </w:rPr>
        <w:t>†10.42</w:t>
      </w:r>
      <w:r>
        <w:rPr>
          <w:sz w:val="20"/>
          <w:szCs w:val="20"/>
          <w:color w:val="auto"/>
        </w:rPr>
        <w:tab/>
      </w:r>
      <w:r>
        <w:rPr>
          <w:rFonts w:ascii="Arial" w:cs="Arial" w:eastAsia="Arial" w:hAnsi="Arial"/>
          <w:sz w:val="14"/>
          <w:szCs w:val="14"/>
          <w:color w:val="auto"/>
        </w:rPr>
        <w:t>CuraGen 2007 Stock Incentive Plan, amended and restated</w:t>
      </w:r>
    </w:p>
    <w:p>
      <w:pPr>
        <w:spacing w:after="0" w:line="200" w:lineRule="exact"/>
        <w:rPr>
          <w:sz w:val="20"/>
          <w:szCs w:val="20"/>
          <w:color w:val="auto"/>
        </w:rPr>
      </w:pPr>
    </w:p>
    <w:p>
      <w:pPr>
        <w:spacing w:after="0" w:line="241" w:lineRule="exact"/>
        <w:rPr>
          <w:sz w:val="20"/>
          <w:szCs w:val="20"/>
          <w:color w:val="auto"/>
        </w:rPr>
      </w:pPr>
    </w:p>
    <w:p>
      <w:pPr>
        <w:ind w:left="1280"/>
        <w:spacing w:after="0"/>
        <w:tabs>
          <w:tab w:leader="none" w:pos="1840" w:val="left"/>
        </w:tabs>
        <w:rPr>
          <w:sz w:val="20"/>
          <w:szCs w:val="20"/>
          <w:color w:val="auto"/>
        </w:rPr>
      </w:pPr>
      <w:r>
        <w:rPr>
          <w:rFonts w:ascii="Arial" w:cs="Arial" w:eastAsia="Arial" w:hAnsi="Arial"/>
          <w:sz w:val="16"/>
          <w:szCs w:val="16"/>
          <w:color w:val="auto"/>
        </w:rPr>
        <w:t>†10.43</w:t>
      </w:r>
      <w:r>
        <w:rPr>
          <w:sz w:val="20"/>
          <w:szCs w:val="20"/>
          <w:color w:val="auto"/>
        </w:rPr>
        <w:tab/>
      </w:r>
      <w:r>
        <w:rPr>
          <w:rFonts w:ascii="Arial" w:cs="Arial" w:eastAsia="Arial" w:hAnsi="Arial"/>
          <w:sz w:val="15"/>
          <w:szCs w:val="15"/>
          <w:color w:val="auto"/>
        </w:rPr>
        <w:t>Form of Restricted Stock Award</w:t>
      </w:r>
    </w:p>
    <w:p>
      <w:pPr>
        <w:spacing w:after="0" w:line="200" w:lineRule="exact"/>
        <w:rPr>
          <w:sz w:val="20"/>
          <w:szCs w:val="20"/>
          <w:color w:val="auto"/>
        </w:rPr>
      </w:pPr>
    </w:p>
    <w:p>
      <w:pPr>
        <w:spacing w:after="0" w:line="21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26122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Incorporated by Reference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3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1"/>
              </w:rPr>
              <w:t>Form and</w:t>
            </w: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2"/>
              </w:rPr>
              <w:t>Exhibit</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89"/>
              </w:rPr>
              <w:t>SEC</w:t>
            </w:r>
          </w:p>
        </w:tc>
      </w:tr>
      <w:tr>
        <w:trPr>
          <w:trHeight w:val="150"/>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SEC File No.</w:t>
            </w:r>
          </w:p>
        </w:tc>
        <w:tc>
          <w:tcPr>
            <w:tcW w:w="140" w:type="dxa"/>
            <w:vAlign w:val="bottom"/>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No.</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Filing Date</w:t>
            </w:r>
          </w:p>
        </w:tc>
      </w:tr>
      <w:tr>
        <w:trPr>
          <w:trHeight w:val="184"/>
        </w:trPr>
        <w:tc>
          <w:tcPr>
            <w:tcW w:w="13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11/3/11</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10.3</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4"/>
              </w:rPr>
              <w:t>8/6/13</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11/5/14</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10/20/14</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18"/>
        </w:trPr>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10.1.3</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4"/>
              </w:rPr>
              <w:t>1/6/11</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9/24/12</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18"/>
        </w:trPr>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6/14/12</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6/13/13</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12/21/12</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10.2</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12/21/12</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10.3</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12/21/12</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10.4</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12/21/12</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10.5</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12/21/12</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8-K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1/25/10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10.41</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3/12/10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6"/>
                <w:szCs w:val="16"/>
                <w:color w:val="auto"/>
              </w:rPr>
              <w:t>10-K</w:t>
            </w:r>
          </w:p>
        </w:tc>
        <w:tc>
          <w:tcPr>
            <w:tcW w:w="600" w:type="dxa"/>
            <w:vAlign w:val="bottom"/>
            <w:gridSpan w:val="2"/>
          </w:tcPr>
          <w:p>
            <w:pPr>
              <w:jc w:val="center"/>
              <w:ind w:left="79"/>
              <w:spacing w:after="0"/>
              <w:rPr>
                <w:sz w:val="20"/>
                <w:szCs w:val="20"/>
                <w:color w:val="auto"/>
              </w:rPr>
            </w:pPr>
            <w:r>
              <w:rPr>
                <w:rFonts w:ascii="Arial" w:cs="Arial" w:eastAsia="Arial" w:hAnsi="Arial"/>
                <w:sz w:val="16"/>
                <w:szCs w:val="16"/>
                <w:color w:val="auto"/>
                <w:w w:val="89"/>
              </w:rPr>
              <w:t>10.42</w:t>
            </w:r>
          </w:p>
        </w:tc>
        <w:tc>
          <w:tcPr>
            <w:tcW w:w="820" w:type="dxa"/>
            <w:vAlign w:val="bottom"/>
            <w:gridSpan w:val="2"/>
          </w:tcPr>
          <w:p>
            <w:pPr>
              <w:jc w:val="center"/>
              <w:ind w:left="79"/>
              <w:spacing w:after="0"/>
              <w:rPr>
                <w:sz w:val="20"/>
                <w:szCs w:val="20"/>
                <w:color w:val="auto"/>
              </w:rPr>
            </w:pPr>
            <w:r>
              <w:rPr>
                <w:rFonts w:ascii="Arial" w:cs="Arial" w:eastAsia="Arial" w:hAnsi="Arial"/>
                <w:sz w:val="16"/>
                <w:szCs w:val="16"/>
                <w:color w:val="auto"/>
                <w:w w:val="93"/>
              </w:rPr>
              <w:t>3/12/10</w:t>
            </w:r>
          </w:p>
        </w:tc>
      </w:tr>
      <w:tr>
        <w:trPr>
          <w:trHeight w:val="207"/>
        </w:trPr>
        <w:tc>
          <w:tcPr>
            <w:tcW w:w="1380" w:type="dxa"/>
            <w:vAlign w:val="bottom"/>
          </w:tcPr>
          <w:p>
            <w:pPr>
              <w:jc w:val="center"/>
              <w:spacing w:after="0"/>
              <w:rPr>
                <w:sz w:val="20"/>
                <w:szCs w:val="20"/>
                <w:color w:val="auto"/>
              </w:rPr>
            </w:pPr>
            <w:r>
              <w:rPr>
                <w:rFonts w:ascii="Arial" w:cs="Arial" w:eastAsia="Arial" w:hAnsi="Arial"/>
                <w:sz w:val="16"/>
                <w:szCs w:val="16"/>
                <w:color w:val="auto"/>
                <w:w w:val="94"/>
              </w:rPr>
              <w:t>(000-15006)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ectPr>
          <w:pgSz w:w="11900" w:h="16838" w:orient="portrait"/>
          <w:cols w:equalWidth="0" w:num="2">
            <w:col w:w="7220" w:space="260"/>
            <w:col w:w="2800"/>
          </w:cols>
          <w:pgMar w:left="240" w:top="131" w:right="137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Borders>
              <w:bottom w:val="single" w:sz="8" w:color="auto"/>
            </w:tcBorders>
            <w:gridSpan w:val="5"/>
          </w:tcPr>
          <w:p>
            <w:pPr>
              <w:ind w:left="620"/>
              <w:spacing w:after="0"/>
              <w:rPr>
                <w:sz w:val="20"/>
                <w:szCs w:val="20"/>
                <w:color w:val="auto"/>
              </w:rPr>
            </w:pPr>
            <w:r>
              <w:rPr>
                <w:rFonts w:ascii="Arial" w:cs="Arial" w:eastAsia="Arial" w:hAnsi="Arial"/>
                <w:sz w:val="13"/>
                <w:szCs w:val="13"/>
                <w:b w:val="1"/>
                <w:bCs w:val="1"/>
                <w:color w:val="auto"/>
              </w:rPr>
              <w:t>Incorporated by Reference to</w:t>
            </w:r>
          </w:p>
        </w:tc>
      </w:tr>
      <w:tr>
        <w:trPr>
          <w:trHeight w:val="117"/>
        </w:trPr>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1"/>
              </w:rPr>
              <w:t>Form and</w:t>
            </w:r>
          </w:p>
        </w:tc>
        <w:tc>
          <w:tcPr>
            <w:tcW w:w="140" w:type="dxa"/>
            <w:vAlign w:val="bottom"/>
          </w:tcPr>
          <w:p>
            <w:pPr>
              <w:spacing w:after="0"/>
              <w:rPr>
                <w:sz w:val="10"/>
                <w:szCs w:val="10"/>
                <w:color w:val="auto"/>
              </w:rPr>
            </w:pPr>
          </w:p>
        </w:tc>
        <w:tc>
          <w:tcPr>
            <w:tcW w:w="4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2"/>
              </w:rPr>
              <w:t>Exhibit</w:t>
            </w:r>
          </w:p>
        </w:tc>
        <w:tc>
          <w:tcPr>
            <w:tcW w:w="14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89"/>
              </w:rPr>
              <w:t>SEC</w:t>
            </w:r>
          </w:p>
        </w:tc>
      </w:tr>
      <w:tr>
        <w:trPr>
          <w:trHeight w:val="150"/>
        </w:trPr>
        <w:tc>
          <w:tcPr>
            <w:tcW w:w="720" w:type="dxa"/>
            <w:vAlign w:val="bottom"/>
            <w:gridSpan w:val="2"/>
          </w:tcPr>
          <w:p>
            <w:pPr>
              <w:ind w:left="200"/>
              <w:spacing w:after="0"/>
              <w:rPr>
                <w:sz w:val="20"/>
                <w:szCs w:val="20"/>
                <w:color w:val="auto"/>
              </w:rPr>
            </w:pPr>
            <w:r>
              <w:rPr>
                <w:rFonts w:ascii="Arial" w:cs="Arial" w:eastAsia="Arial" w:hAnsi="Arial"/>
                <w:sz w:val="13"/>
                <w:szCs w:val="13"/>
                <w:b w:val="1"/>
                <w:bCs w:val="1"/>
                <w:color w:val="auto"/>
              </w:rPr>
              <w:t>No.</w:t>
            </w:r>
          </w:p>
        </w:tc>
        <w:tc>
          <w:tcPr>
            <w:tcW w:w="1680" w:type="dxa"/>
            <w:vAlign w:val="bottom"/>
          </w:tcPr>
          <w:p>
            <w:pPr>
              <w:spacing w:after="0"/>
              <w:rPr>
                <w:sz w:val="13"/>
                <w:szCs w:val="13"/>
                <w:color w:val="auto"/>
              </w:rPr>
            </w:pPr>
          </w:p>
        </w:tc>
        <w:tc>
          <w:tcPr>
            <w:tcW w:w="3940" w:type="dxa"/>
            <w:vAlign w:val="bottom"/>
            <w:gridSpan w:val="2"/>
          </w:tcPr>
          <w:p>
            <w:pPr>
              <w:ind w:left="760"/>
              <w:spacing w:after="0"/>
              <w:rPr>
                <w:sz w:val="20"/>
                <w:szCs w:val="20"/>
                <w:color w:val="auto"/>
              </w:rPr>
            </w:pPr>
            <w:r>
              <w:rPr>
                <w:rFonts w:ascii="Arial" w:cs="Arial" w:eastAsia="Arial" w:hAnsi="Arial"/>
                <w:sz w:val="13"/>
                <w:szCs w:val="13"/>
                <w:b w:val="1"/>
                <w:bCs w:val="1"/>
                <w:color w:val="auto"/>
              </w:rPr>
              <w:t>Description</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0"/>
              </w:rPr>
              <w:t>SEC File No.</w:t>
            </w:r>
          </w:p>
        </w:tc>
        <w:tc>
          <w:tcPr>
            <w:tcW w:w="14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5"/>
              </w:rPr>
              <w:t>No.</w:t>
            </w:r>
          </w:p>
        </w:tc>
        <w:tc>
          <w:tcPr>
            <w:tcW w:w="1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0"/>
              </w:rPr>
              <w:t>Filing Date</w:t>
            </w:r>
          </w:p>
        </w:tc>
      </w:tr>
      <w:tr>
        <w:trPr>
          <w:trHeight w:val="184"/>
        </w:trPr>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40" w:type="dxa"/>
            <w:vAlign w:val="bottom"/>
          </w:tcPr>
          <w:p>
            <w:pPr>
              <w:spacing w:after="0"/>
              <w:rPr>
                <w:sz w:val="15"/>
                <w:szCs w:val="15"/>
                <w:color w:val="auto"/>
              </w:rPr>
            </w:pPr>
          </w:p>
        </w:tc>
        <w:tc>
          <w:tcPr>
            <w:tcW w:w="54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w w:val="99"/>
              </w:rPr>
              <w:t>Consent of PricewaterhouseCoopers LLP, an Independent Registered Public</w:t>
            </w:r>
          </w:p>
        </w:tc>
        <w:tc>
          <w:tcPr>
            <w:tcW w:w="160" w:type="dxa"/>
            <w:vAlign w:val="bottom"/>
          </w:tcPr>
          <w:p>
            <w:pPr>
              <w:spacing w:after="0"/>
              <w:rPr>
                <w:sz w:val="15"/>
                <w:szCs w:val="15"/>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Filed herewith</w:t>
            </w:r>
          </w:p>
        </w:tc>
        <w:tc>
          <w:tcPr>
            <w:tcW w:w="14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207"/>
        </w:trPr>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20" w:type="dxa"/>
            <w:vAlign w:val="bottom"/>
            <w:gridSpan w:val="3"/>
          </w:tcPr>
          <w:p>
            <w:pPr>
              <w:spacing w:after="0"/>
              <w:rPr>
                <w:sz w:val="20"/>
                <w:szCs w:val="20"/>
                <w:color w:val="auto"/>
              </w:rPr>
            </w:pPr>
            <w:r>
              <w:rPr>
                <w:rFonts w:ascii="Arial" w:cs="Arial" w:eastAsia="Arial" w:hAnsi="Arial"/>
                <w:sz w:val="16"/>
                <w:szCs w:val="16"/>
                <w:color w:val="auto"/>
              </w:rPr>
              <w:t>Accounting Firm</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25"/>
        </w:trPr>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31.1</w:t>
            </w:r>
          </w:p>
        </w:tc>
        <w:tc>
          <w:tcPr>
            <w:tcW w:w="5620" w:type="dxa"/>
            <w:vAlign w:val="bottom"/>
            <w:gridSpan w:val="3"/>
          </w:tcPr>
          <w:p>
            <w:pPr>
              <w:spacing w:after="0"/>
              <w:rPr>
                <w:sz w:val="20"/>
                <w:szCs w:val="20"/>
                <w:color w:val="auto"/>
              </w:rPr>
            </w:pPr>
            <w:r>
              <w:rPr>
                <w:rFonts w:ascii="Arial" w:cs="Arial" w:eastAsia="Arial" w:hAnsi="Arial"/>
                <w:sz w:val="16"/>
                <w:szCs w:val="16"/>
                <w:color w:val="auto"/>
              </w:rPr>
              <w:t>Certification of President and Chief Executive Officer</w:t>
            </w: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Filed herewith</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5"/>
        </w:trPr>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31.2</w:t>
            </w:r>
          </w:p>
        </w:tc>
        <w:tc>
          <w:tcPr>
            <w:tcW w:w="5620" w:type="dxa"/>
            <w:vAlign w:val="bottom"/>
            <w:gridSpan w:val="3"/>
          </w:tcPr>
          <w:p>
            <w:pPr>
              <w:spacing w:after="0"/>
              <w:rPr>
                <w:sz w:val="20"/>
                <w:szCs w:val="20"/>
                <w:color w:val="auto"/>
              </w:rPr>
            </w:pPr>
            <w:r>
              <w:rPr>
                <w:rFonts w:ascii="Arial" w:cs="Arial" w:eastAsia="Arial" w:hAnsi="Arial"/>
                <w:sz w:val="16"/>
                <w:szCs w:val="16"/>
                <w:color w:val="auto"/>
              </w:rPr>
              <w:t>Certification of Senior Vice President and Chief Financial Officer</w:t>
            </w: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Filed herewith</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5"/>
        </w:trPr>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32</w:t>
            </w:r>
          </w:p>
        </w:tc>
        <w:tc>
          <w:tcPr>
            <w:tcW w:w="5620" w:type="dxa"/>
            <w:vAlign w:val="bottom"/>
            <w:gridSpan w:val="3"/>
          </w:tcPr>
          <w:p>
            <w:pPr>
              <w:spacing w:after="0"/>
              <w:rPr>
                <w:sz w:val="20"/>
                <w:szCs w:val="20"/>
                <w:color w:val="auto"/>
              </w:rPr>
            </w:pPr>
            <w:r>
              <w:rPr>
                <w:rFonts w:ascii="Arial" w:cs="Arial" w:eastAsia="Arial" w:hAnsi="Arial"/>
                <w:sz w:val="16"/>
                <w:szCs w:val="16"/>
                <w:color w:val="auto"/>
              </w:rPr>
              <w:t>Section 1350 Certifications</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Furnished herewith</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5"/>
        </w:trPr>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101</w:t>
            </w:r>
          </w:p>
        </w:tc>
        <w:tc>
          <w:tcPr>
            <w:tcW w:w="5620" w:type="dxa"/>
            <w:vAlign w:val="bottom"/>
            <w:gridSpan w:val="3"/>
          </w:tcPr>
          <w:p>
            <w:pPr>
              <w:spacing w:after="0"/>
              <w:rPr>
                <w:sz w:val="20"/>
                <w:szCs w:val="20"/>
                <w:color w:val="auto"/>
              </w:rPr>
            </w:pPr>
            <w:r>
              <w:rPr>
                <w:rFonts w:ascii="Arial" w:cs="Arial" w:eastAsia="Arial" w:hAnsi="Arial"/>
                <w:sz w:val="16"/>
                <w:szCs w:val="16"/>
                <w:color w:val="auto"/>
              </w:rPr>
              <w:t>XBRL Instance Document</w:t>
            </w: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Filed herewith</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5"/>
        </w:trPr>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101</w:t>
            </w:r>
          </w:p>
        </w:tc>
        <w:tc>
          <w:tcPr>
            <w:tcW w:w="5620" w:type="dxa"/>
            <w:vAlign w:val="bottom"/>
            <w:gridSpan w:val="3"/>
          </w:tcPr>
          <w:p>
            <w:pPr>
              <w:spacing w:after="0"/>
              <w:rPr>
                <w:sz w:val="20"/>
                <w:szCs w:val="20"/>
                <w:color w:val="auto"/>
              </w:rPr>
            </w:pPr>
            <w:r>
              <w:rPr>
                <w:rFonts w:ascii="Arial" w:cs="Arial" w:eastAsia="Arial" w:hAnsi="Arial"/>
                <w:sz w:val="16"/>
                <w:szCs w:val="16"/>
                <w:color w:val="auto"/>
              </w:rPr>
              <w:t>XBRL Taxonomy Extension Schema Document</w:t>
            </w: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Filed herewith</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5"/>
        </w:trPr>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101</w:t>
            </w:r>
          </w:p>
        </w:tc>
        <w:tc>
          <w:tcPr>
            <w:tcW w:w="562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Filed herewith</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5"/>
        </w:trPr>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101</w:t>
            </w:r>
          </w:p>
        </w:tc>
        <w:tc>
          <w:tcPr>
            <w:tcW w:w="5620" w:type="dxa"/>
            <w:vAlign w:val="bottom"/>
            <w:gridSpan w:val="3"/>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Filed herewith</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5"/>
        </w:trPr>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101</w:t>
            </w:r>
          </w:p>
        </w:tc>
        <w:tc>
          <w:tcPr>
            <w:tcW w:w="5620" w:type="dxa"/>
            <w:vAlign w:val="bottom"/>
            <w:gridSpan w:val="3"/>
          </w:tcPr>
          <w:p>
            <w:pPr>
              <w:spacing w:after="0"/>
              <w:rPr>
                <w:sz w:val="20"/>
                <w:szCs w:val="20"/>
                <w:color w:val="auto"/>
              </w:rPr>
            </w:pPr>
            <w:r>
              <w:rPr>
                <w:rFonts w:ascii="Arial" w:cs="Arial" w:eastAsia="Arial" w:hAnsi="Arial"/>
                <w:sz w:val="16"/>
                <w:szCs w:val="16"/>
                <w:color w:val="auto"/>
              </w:rPr>
              <w:t>XBRL Taxonomy Extension Label Linkbase Document</w:t>
            </w: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Filed herewith</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5"/>
        </w:trPr>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101</w:t>
            </w:r>
          </w:p>
        </w:tc>
        <w:tc>
          <w:tcPr>
            <w:tcW w:w="562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Filed herewith</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204" w:lineRule="exact"/>
        <w:rPr>
          <w:sz w:val="20"/>
          <w:szCs w:val="20"/>
          <w:color w:val="auto"/>
        </w:rPr>
      </w:pPr>
    </w:p>
    <w:p>
      <w:pPr>
        <w:ind w:left="1640" w:hanging="497"/>
        <w:spacing w:after="0" w:line="290"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Confidential treatment has been requested for certain provisions of this Exhibit pursuant to Rule 24b-2 promulgated under the Securities Exchange Act of 1934, as amended.</w:t>
      </w:r>
    </w:p>
    <w:p>
      <w:pPr>
        <w:spacing w:after="0" w:line="181" w:lineRule="exact"/>
        <w:rPr>
          <w:sz w:val="20"/>
          <w:szCs w:val="20"/>
          <w:color w:val="auto"/>
        </w:rPr>
      </w:pPr>
    </w:p>
    <w:p>
      <w:pPr>
        <w:ind w:left="5600" w:right="4300" w:hanging="4457"/>
        <w:spacing w:after="0" w:line="551" w:lineRule="auto"/>
        <w:tabs>
          <w:tab w:leader="none" w:pos="1651"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Indicates a management contract or compensation plan, contract or arrangement.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726122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SIGNATURES</w:t>
      </w:r>
    </w:p>
    <w:p>
      <w:pPr>
        <w:spacing w:after="0" w:line="220" w:lineRule="exact"/>
        <w:rPr>
          <w:sz w:val="20"/>
          <w:szCs w:val="20"/>
          <w:color w:val="auto"/>
        </w:rPr>
      </w:pPr>
    </w:p>
    <w:p>
      <w:pPr>
        <w:ind w:right="340" w:firstLine="325"/>
        <w:spacing w:after="0" w:line="29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89"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CELLDEX THERAPEUTICS, INC.</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040" w:type="dxa"/>
            <w:vAlign w:val="bottom"/>
          </w:tcPr>
          <w:p>
            <w:pPr>
              <w:ind w:left="4660"/>
              <w:spacing w:after="0"/>
              <w:rPr>
                <w:sz w:val="20"/>
                <w:szCs w:val="20"/>
                <w:color w:val="auto"/>
              </w:rPr>
            </w:pPr>
            <w:r>
              <w:rPr>
                <w:rFonts w:ascii="Arial" w:cs="Arial" w:eastAsia="Arial" w:hAnsi="Arial"/>
                <w:sz w:val="16"/>
                <w:szCs w:val="16"/>
                <w:color w:val="auto"/>
              </w:rPr>
              <w:t>By:</w:t>
            </w:r>
          </w:p>
        </w:tc>
        <w:tc>
          <w:tcPr>
            <w:tcW w:w="4120" w:type="dxa"/>
            <w:vAlign w:val="bottom"/>
          </w:tcPr>
          <w:p>
            <w:pPr>
              <w:jc w:val="center"/>
              <w:spacing w:after="0"/>
              <w:rPr>
                <w:sz w:val="20"/>
                <w:szCs w:val="20"/>
                <w:color w:val="auto"/>
              </w:rPr>
            </w:pPr>
            <w:r>
              <w:rPr>
                <w:rFonts w:ascii="Arial" w:cs="Arial" w:eastAsia="Arial" w:hAnsi="Arial"/>
                <w:sz w:val="16"/>
                <w:szCs w:val="16"/>
                <w:color w:val="auto"/>
                <w:w w:val="98"/>
              </w:rPr>
              <w:t>/s/ ANTHONY S. MARUCCI</w:t>
            </w:r>
          </w:p>
        </w:tc>
        <w:tc>
          <w:tcPr>
            <w:tcW w:w="0" w:type="dxa"/>
            <w:vAlign w:val="bottom"/>
          </w:tcPr>
          <w:p>
            <w:pPr>
              <w:spacing w:after="0"/>
              <w:rPr>
                <w:sz w:val="1"/>
                <w:szCs w:val="1"/>
                <w:color w:val="auto"/>
              </w:rPr>
            </w:pPr>
          </w:p>
        </w:tc>
      </w:tr>
      <w:tr>
        <w:trPr>
          <w:trHeight w:val="202"/>
        </w:trPr>
        <w:tc>
          <w:tcPr>
            <w:tcW w:w="5040" w:type="dxa"/>
            <w:vAlign w:val="bottom"/>
            <w:vMerge w:val="restart"/>
          </w:tcPr>
          <w:p>
            <w:pPr>
              <w:spacing w:after="0"/>
              <w:rPr>
                <w:sz w:val="20"/>
                <w:szCs w:val="20"/>
                <w:color w:val="auto"/>
              </w:rPr>
            </w:pPr>
            <w:r>
              <w:rPr>
                <w:rFonts w:ascii="Arial" w:cs="Arial" w:eastAsia="Arial" w:hAnsi="Arial"/>
                <w:sz w:val="16"/>
                <w:szCs w:val="16"/>
                <w:b w:val="1"/>
                <w:bCs w:val="1"/>
                <w:color w:val="auto"/>
              </w:rPr>
              <w:t>Date</w:t>
            </w:r>
          </w:p>
        </w:tc>
        <w:tc>
          <w:tcPr>
            <w:tcW w:w="4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040" w:type="dxa"/>
            <w:vAlign w:val="bottom"/>
            <w:vMerge w:val="continue"/>
          </w:tcPr>
          <w:p>
            <w:pPr>
              <w:spacing w:after="0"/>
              <w:rPr>
                <w:sz w:val="24"/>
                <w:szCs w:val="24"/>
                <w:color w:val="auto"/>
              </w:rPr>
            </w:pPr>
          </w:p>
        </w:tc>
        <w:tc>
          <w:tcPr>
            <w:tcW w:w="4120" w:type="dxa"/>
            <w:vAlign w:val="bottom"/>
          </w:tcPr>
          <w:p>
            <w:pPr>
              <w:jc w:val="center"/>
              <w:spacing w:after="0"/>
              <w:rPr>
                <w:sz w:val="20"/>
                <w:szCs w:val="20"/>
                <w:color w:val="auto"/>
              </w:rPr>
            </w:pPr>
            <w:r>
              <w:rPr>
                <w:rFonts w:ascii="Arial" w:cs="Arial" w:eastAsia="Arial" w:hAnsi="Arial"/>
                <w:sz w:val="16"/>
                <w:szCs w:val="16"/>
                <w:color w:val="auto"/>
                <w:w w:val="95"/>
              </w:rPr>
              <w:t>Anthony S. Marucci</w:t>
            </w:r>
          </w:p>
        </w:tc>
        <w:tc>
          <w:tcPr>
            <w:tcW w:w="0" w:type="dxa"/>
            <w:vAlign w:val="bottom"/>
          </w:tcPr>
          <w:p>
            <w:pPr>
              <w:spacing w:after="0"/>
              <w:rPr>
                <w:sz w:val="1"/>
                <w:szCs w:val="1"/>
                <w:color w:val="auto"/>
              </w:rPr>
            </w:pPr>
          </w:p>
        </w:tc>
      </w:tr>
      <w:tr>
        <w:trPr>
          <w:trHeight w:val="207"/>
        </w:trPr>
        <w:tc>
          <w:tcPr>
            <w:tcW w:w="5040" w:type="dxa"/>
            <w:vAlign w:val="bottom"/>
          </w:tcPr>
          <w:p>
            <w:pPr>
              <w:spacing w:after="0"/>
              <w:rPr>
                <w:sz w:val="20"/>
                <w:szCs w:val="20"/>
                <w:color w:val="auto"/>
              </w:rPr>
            </w:pPr>
            <w:r>
              <w:rPr>
                <w:rFonts w:ascii="Arial" w:cs="Arial" w:eastAsia="Arial" w:hAnsi="Arial"/>
                <w:sz w:val="16"/>
                <w:szCs w:val="16"/>
                <w:color w:val="auto"/>
              </w:rPr>
              <w:t>February 24, 2015</w:t>
            </w:r>
          </w:p>
        </w:tc>
        <w:tc>
          <w:tcPr>
            <w:tcW w:w="4120" w:type="dxa"/>
            <w:vAlign w:val="bottom"/>
          </w:tcPr>
          <w:p>
            <w:pPr>
              <w:jc w:val="center"/>
              <w:spacing w:after="0"/>
              <w:rPr>
                <w:sz w:val="20"/>
                <w:szCs w:val="20"/>
                <w:color w:val="auto"/>
              </w:rPr>
            </w:pPr>
            <w:r>
              <w:rPr>
                <w:rFonts w:ascii="Arial" w:cs="Arial" w:eastAsia="Arial" w:hAnsi="Arial"/>
                <w:sz w:val="16"/>
                <w:szCs w:val="16"/>
                <w:i w:val="1"/>
                <w:iCs w:val="1"/>
                <w:color w:val="auto"/>
                <w:w w:val="92"/>
              </w:rPr>
              <w:t>President and Chief Executive Officer</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80" w:firstLine="325"/>
        <w:spacing w:after="0" w:line="290" w:lineRule="auto"/>
        <w:rPr>
          <w:sz w:val="20"/>
          <w:szCs w:val="20"/>
          <w:color w:val="auto"/>
        </w:rPr>
      </w:pPr>
      <w:r>
        <w:rPr>
          <w:rFonts w:ascii="Arial" w:cs="Arial" w:eastAsia="Arial" w:hAnsi="Arial"/>
          <w:sz w:val="16"/>
          <w:szCs w:val="16"/>
          <w:color w:val="auto"/>
        </w:rPr>
        <w:t>Pursuant to the requirements of the Securities Exchange Act of 1934, this report has been signed by the following persons on behalf of the registrant and in the capacities and on the dates indicated.</w:t>
      </w:r>
    </w:p>
    <w:p>
      <w:pPr>
        <w:spacing w:after="0" w:line="151" w:lineRule="exact"/>
        <w:rPr>
          <w:sz w:val="20"/>
          <w:szCs w:val="20"/>
          <w:color w:val="auto"/>
        </w:rPr>
      </w:pPr>
    </w:p>
    <w:p>
      <w:pPr>
        <w:ind w:left="2240"/>
        <w:spacing w:after="0"/>
        <w:tabs>
          <w:tab w:leader="none" w:pos="6280" w:val="left"/>
          <w:tab w:leader="none" w:pos="950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40" w:type="dxa"/>
            <w:vAlign w:val="bottom"/>
          </w:tcPr>
          <w:p>
            <w:pPr>
              <w:spacing w:after="0"/>
              <w:rPr>
                <w:sz w:val="17"/>
                <w:szCs w:val="17"/>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8"/>
              </w:rPr>
              <w:t>/s/ ANTHONY S. MARUCCI</w:t>
            </w:r>
          </w:p>
        </w:tc>
        <w:tc>
          <w:tcPr>
            <w:tcW w:w="4620" w:type="dxa"/>
            <w:vAlign w:val="bottom"/>
          </w:tcPr>
          <w:p>
            <w:pPr>
              <w:ind w:left="140"/>
              <w:spacing w:after="0"/>
              <w:rPr>
                <w:sz w:val="20"/>
                <w:szCs w:val="20"/>
                <w:color w:val="auto"/>
              </w:rPr>
            </w:pPr>
            <w:r>
              <w:rPr>
                <w:rFonts w:ascii="Arial" w:cs="Arial" w:eastAsia="Arial" w:hAnsi="Arial"/>
                <w:sz w:val="16"/>
                <w:szCs w:val="16"/>
                <w:color w:val="auto"/>
              </w:rPr>
              <w:t>President, Chief Executive Officer, and Director</w:t>
            </w:r>
          </w:p>
        </w:tc>
        <w:tc>
          <w:tcPr>
            <w:tcW w:w="2920" w:type="dxa"/>
            <w:vAlign w:val="bottom"/>
          </w:tcPr>
          <w:p>
            <w:pPr>
              <w:ind w:left="540"/>
              <w:spacing w:after="0"/>
              <w:rPr>
                <w:sz w:val="20"/>
                <w:szCs w:val="20"/>
                <w:color w:val="auto"/>
              </w:rPr>
            </w:pPr>
            <w:r>
              <w:rPr>
                <w:rFonts w:ascii="Arial" w:cs="Arial" w:eastAsia="Arial" w:hAnsi="Arial"/>
                <w:sz w:val="16"/>
                <w:szCs w:val="16"/>
                <w:color w:val="auto"/>
              </w:rPr>
              <w:t>February 24, 2015</w:t>
            </w: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4620" w:type="dxa"/>
            <w:vAlign w:val="bottom"/>
            <w:vMerge w:val="restart"/>
          </w:tcPr>
          <w:p>
            <w:pPr>
              <w:ind w:left="140"/>
              <w:spacing w:after="0"/>
              <w:rPr>
                <w:sz w:val="20"/>
                <w:szCs w:val="20"/>
                <w:color w:val="auto"/>
              </w:rPr>
            </w:pPr>
            <w:r>
              <w:rPr>
                <w:rFonts w:ascii="Arial" w:cs="Arial" w:eastAsia="Arial" w:hAnsi="Arial"/>
                <w:sz w:val="16"/>
                <w:szCs w:val="16"/>
                <w:color w:val="auto"/>
              </w:rPr>
              <w:t>(Principal Executive Officer)</w:t>
            </w: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tcPr>
          <w:p>
            <w:pPr>
              <w:spacing w:after="0"/>
              <w:rPr>
                <w:sz w:val="7"/>
                <w:szCs w:val="7"/>
                <w:color w:val="auto"/>
              </w:rPr>
            </w:pPr>
          </w:p>
        </w:tc>
        <w:tc>
          <w:tcPr>
            <w:tcW w:w="2740" w:type="dxa"/>
            <w:vAlign w:val="bottom"/>
            <w:vMerge w:val="restart"/>
          </w:tcPr>
          <w:p>
            <w:pPr>
              <w:jc w:val="center"/>
              <w:spacing w:after="0"/>
              <w:rPr>
                <w:sz w:val="20"/>
                <w:szCs w:val="20"/>
                <w:color w:val="auto"/>
              </w:rPr>
            </w:pPr>
            <w:r>
              <w:rPr>
                <w:rFonts w:ascii="Arial" w:cs="Arial" w:eastAsia="Arial" w:hAnsi="Arial"/>
                <w:sz w:val="16"/>
                <w:szCs w:val="16"/>
                <w:color w:val="auto"/>
                <w:w w:val="95"/>
              </w:rPr>
              <w:t>Anthony S. Marucci</w:t>
            </w:r>
          </w:p>
        </w:tc>
        <w:tc>
          <w:tcPr>
            <w:tcW w:w="462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2740" w:type="dxa"/>
            <w:vAlign w:val="bottom"/>
            <w:vMerge w:val="continue"/>
          </w:tcPr>
          <w:p>
            <w:pPr>
              <w:spacing w:after="0"/>
              <w:rPr>
                <w:sz w:val="15"/>
                <w:szCs w:val="15"/>
                <w:color w:val="auto"/>
              </w:rPr>
            </w:pPr>
          </w:p>
        </w:tc>
        <w:tc>
          <w:tcPr>
            <w:tcW w:w="46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5"/>
              </w:rPr>
              <w:t>/s/ AVERY W. CATLIN</w:t>
            </w:r>
          </w:p>
        </w:tc>
        <w:tc>
          <w:tcPr>
            <w:tcW w:w="4620" w:type="dxa"/>
            <w:vAlign w:val="bottom"/>
          </w:tcPr>
          <w:p>
            <w:pPr>
              <w:ind w:left="140"/>
              <w:spacing w:after="0"/>
              <w:rPr>
                <w:sz w:val="20"/>
                <w:szCs w:val="20"/>
                <w:color w:val="auto"/>
              </w:rPr>
            </w:pPr>
            <w:r>
              <w:rPr>
                <w:rFonts w:ascii="Arial" w:cs="Arial" w:eastAsia="Arial" w:hAnsi="Arial"/>
                <w:sz w:val="16"/>
                <w:szCs w:val="16"/>
                <w:color w:val="auto"/>
              </w:rPr>
              <w:t>Senior Vice President, Chief Financial Officer and Treasurer</w:t>
            </w:r>
          </w:p>
        </w:tc>
        <w:tc>
          <w:tcPr>
            <w:tcW w:w="2920" w:type="dxa"/>
            <w:vAlign w:val="bottom"/>
          </w:tcPr>
          <w:p>
            <w:pPr>
              <w:ind w:left="540"/>
              <w:spacing w:after="0"/>
              <w:rPr>
                <w:sz w:val="20"/>
                <w:szCs w:val="20"/>
                <w:color w:val="auto"/>
              </w:rPr>
            </w:pPr>
            <w:r>
              <w:rPr>
                <w:rFonts w:ascii="Arial" w:cs="Arial" w:eastAsia="Arial" w:hAnsi="Arial"/>
                <w:sz w:val="16"/>
                <w:szCs w:val="16"/>
                <w:color w:val="auto"/>
              </w:rPr>
              <w:t>February 24, 2015</w:t>
            </w: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4620" w:type="dxa"/>
            <w:vAlign w:val="bottom"/>
            <w:vMerge w:val="restart"/>
          </w:tcPr>
          <w:p>
            <w:pPr>
              <w:ind w:left="140"/>
              <w:spacing w:after="0"/>
              <w:rPr>
                <w:sz w:val="20"/>
                <w:szCs w:val="20"/>
                <w:color w:val="auto"/>
              </w:rPr>
            </w:pPr>
            <w:r>
              <w:rPr>
                <w:rFonts w:ascii="Arial" w:cs="Arial" w:eastAsia="Arial" w:hAnsi="Arial"/>
                <w:sz w:val="16"/>
                <w:szCs w:val="16"/>
                <w:color w:val="auto"/>
              </w:rPr>
              <w:t>(Principal Financial and Accounting Officer)</w:t>
            </w: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tcPr>
          <w:p>
            <w:pPr>
              <w:spacing w:after="0"/>
              <w:rPr>
                <w:sz w:val="7"/>
                <w:szCs w:val="7"/>
                <w:color w:val="auto"/>
              </w:rPr>
            </w:pPr>
          </w:p>
        </w:tc>
        <w:tc>
          <w:tcPr>
            <w:tcW w:w="2740" w:type="dxa"/>
            <w:vAlign w:val="bottom"/>
            <w:vMerge w:val="restart"/>
          </w:tcPr>
          <w:p>
            <w:pPr>
              <w:jc w:val="center"/>
              <w:spacing w:after="0"/>
              <w:rPr>
                <w:sz w:val="20"/>
                <w:szCs w:val="20"/>
                <w:color w:val="auto"/>
              </w:rPr>
            </w:pPr>
            <w:r>
              <w:rPr>
                <w:rFonts w:ascii="Arial" w:cs="Arial" w:eastAsia="Arial" w:hAnsi="Arial"/>
                <w:sz w:val="16"/>
                <w:szCs w:val="16"/>
                <w:color w:val="auto"/>
                <w:w w:val="96"/>
              </w:rPr>
              <w:t>Avery W. Catlin</w:t>
            </w:r>
          </w:p>
        </w:tc>
        <w:tc>
          <w:tcPr>
            <w:tcW w:w="462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2740" w:type="dxa"/>
            <w:vAlign w:val="bottom"/>
            <w:vMerge w:val="continue"/>
          </w:tcPr>
          <w:p>
            <w:pPr>
              <w:spacing w:after="0"/>
              <w:rPr>
                <w:sz w:val="15"/>
                <w:szCs w:val="15"/>
                <w:color w:val="auto"/>
              </w:rPr>
            </w:pPr>
          </w:p>
        </w:tc>
        <w:tc>
          <w:tcPr>
            <w:tcW w:w="46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8"/>
              </w:rPr>
              <w:t>/s/ LARRY ELLBERGER</w:t>
            </w:r>
          </w:p>
        </w:tc>
        <w:tc>
          <w:tcPr>
            <w:tcW w:w="4620" w:type="dxa"/>
            <w:vAlign w:val="bottom"/>
          </w:tcPr>
          <w:p>
            <w:pPr>
              <w:ind w:left="140"/>
              <w:spacing w:after="0"/>
              <w:rPr>
                <w:sz w:val="20"/>
                <w:szCs w:val="20"/>
                <w:color w:val="auto"/>
              </w:rPr>
            </w:pPr>
            <w:r>
              <w:rPr>
                <w:rFonts w:ascii="Arial" w:cs="Arial" w:eastAsia="Arial" w:hAnsi="Arial"/>
                <w:sz w:val="16"/>
                <w:szCs w:val="16"/>
                <w:color w:val="auto"/>
              </w:rPr>
              <w:t>Director, Chairman of the Board of Directors</w:t>
            </w:r>
          </w:p>
        </w:tc>
        <w:tc>
          <w:tcPr>
            <w:tcW w:w="2920" w:type="dxa"/>
            <w:vAlign w:val="bottom"/>
          </w:tcPr>
          <w:p>
            <w:pPr>
              <w:ind w:left="540"/>
              <w:spacing w:after="0"/>
              <w:rPr>
                <w:sz w:val="20"/>
                <w:szCs w:val="20"/>
                <w:color w:val="auto"/>
              </w:rPr>
            </w:pPr>
            <w:r>
              <w:rPr>
                <w:rFonts w:ascii="Arial" w:cs="Arial" w:eastAsia="Arial" w:hAnsi="Arial"/>
                <w:sz w:val="16"/>
                <w:szCs w:val="16"/>
                <w:color w:val="auto"/>
              </w:rPr>
              <w:t>February 24, 2015</w:t>
            </w:r>
          </w:p>
        </w:tc>
        <w:tc>
          <w:tcPr>
            <w:tcW w:w="0" w:type="dxa"/>
            <w:vAlign w:val="bottom"/>
          </w:tcPr>
          <w:p>
            <w:pPr>
              <w:spacing w:after="0"/>
              <w:rPr>
                <w:sz w:val="1"/>
                <w:szCs w:val="1"/>
                <w:color w:val="auto"/>
              </w:rPr>
            </w:pPr>
          </w:p>
        </w:tc>
      </w:tr>
      <w:tr>
        <w:trPr>
          <w:trHeight w:val="90"/>
        </w:trPr>
        <w:tc>
          <w:tcPr>
            <w:tcW w:w="1140" w:type="dxa"/>
            <w:vAlign w:val="bottom"/>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46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3"/>
                <w:szCs w:val="23"/>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5"/>
              </w:rPr>
              <w:t>Larry Ellberger</w:t>
            </w:r>
          </w:p>
        </w:tc>
        <w:tc>
          <w:tcPr>
            <w:tcW w:w="46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5"/>
              </w:rPr>
              <w:t>/s/ HERBERT J. CONRAD</w:t>
            </w:r>
          </w:p>
        </w:tc>
        <w:tc>
          <w:tcPr>
            <w:tcW w:w="4620" w:type="dxa"/>
            <w:vAlign w:val="bottom"/>
          </w:tcPr>
          <w:p>
            <w:pPr>
              <w:ind w:left="140"/>
              <w:spacing w:after="0"/>
              <w:rPr>
                <w:sz w:val="20"/>
                <w:szCs w:val="20"/>
                <w:color w:val="auto"/>
              </w:rPr>
            </w:pPr>
            <w:r>
              <w:rPr>
                <w:rFonts w:ascii="Arial" w:cs="Arial" w:eastAsia="Arial" w:hAnsi="Arial"/>
                <w:sz w:val="16"/>
                <w:szCs w:val="16"/>
                <w:color w:val="auto"/>
              </w:rPr>
              <w:t>Director</w:t>
            </w:r>
          </w:p>
        </w:tc>
        <w:tc>
          <w:tcPr>
            <w:tcW w:w="2920" w:type="dxa"/>
            <w:vAlign w:val="bottom"/>
          </w:tcPr>
          <w:p>
            <w:pPr>
              <w:ind w:left="540"/>
              <w:spacing w:after="0"/>
              <w:rPr>
                <w:sz w:val="20"/>
                <w:szCs w:val="20"/>
                <w:color w:val="auto"/>
              </w:rPr>
            </w:pPr>
            <w:r>
              <w:rPr>
                <w:rFonts w:ascii="Arial" w:cs="Arial" w:eastAsia="Arial" w:hAnsi="Arial"/>
                <w:sz w:val="16"/>
                <w:szCs w:val="16"/>
                <w:color w:val="auto"/>
              </w:rPr>
              <w:t>February 24, 2015</w:t>
            </w:r>
          </w:p>
        </w:tc>
        <w:tc>
          <w:tcPr>
            <w:tcW w:w="0" w:type="dxa"/>
            <w:vAlign w:val="bottom"/>
          </w:tcPr>
          <w:p>
            <w:pPr>
              <w:spacing w:after="0"/>
              <w:rPr>
                <w:sz w:val="1"/>
                <w:szCs w:val="1"/>
                <w:color w:val="auto"/>
              </w:rPr>
            </w:pPr>
          </w:p>
        </w:tc>
      </w:tr>
      <w:tr>
        <w:trPr>
          <w:trHeight w:val="90"/>
        </w:trPr>
        <w:tc>
          <w:tcPr>
            <w:tcW w:w="1140" w:type="dxa"/>
            <w:vAlign w:val="bottom"/>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46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3"/>
                <w:szCs w:val="23"/>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1"/>
              </w:rPr>
              <w:t>Herbert J. Conrad</w:t>
            </w:r>
          </w:p>
        </w:tc>
        <w:tc>
          <w:tcPr>
            <w:tcW w:w="46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3"/>
              </w:rPr>
              <w:t>/s/ GEORGE O. ELSTON</w:t>
            </w:r>
          </w:p>
        </w:tc>
        <w:tc>
          <w:tcPr>
            <w:tcW w:w="4620" w:type="dxa"/>
            <w:vAlign w:val="bottom"/>
          </w:tcPr>
          <w:p>
            <w:pPr>
              <w:ind w:left="140"/>
              <w:spacing w:after="0"/>
              <w:rPr>
                <w:sz w:val="20"/>
                <w:szCs w:val="20"/>
                <w:color w:val="auto"/>
              </w:rPr>
            </w:pPr>
            <w:r>
              <w:rPr>
                <w:rFonts w:ascii="Arial" w:cs="Arial" w:eastAsia="Arial" w:hAnsi="Arial"/>
                <w:sz w:val="16"/>
                <w:szCs w:val="16"/>
                <w:color w:val="auto"/>
              </w:rPr>
              <w:t>Director</w:t>
            </w:r>
          </w:p>
        </w:tc>
        <w:tc>
          <w:tcPr>
            <w:tcW w:w="2920" w:type="dxa"/>
            <w:vAlign w:val="bottom"/>
          </w:tcPr>
          <w:p>
            <w:pPr>
              <w:ind w:left="540"/>
              <w:spacing w:after="0"/>
              <w:rPr>
                <w:sz w:val="20"/>
                <w:szCs w:val="20"/>
                <w:color w:val="auto"/>
              </w:rPr>
            </w:pPr>
            <w:r>
              <w:rPr>
                <w:rFonts w:ascii="Arial" w:cs="Arial" w:eastAsia="Arial" w:hAnsi="Arial"/>
                <w:sz w:val="16"/>
                <w:szCs w:val="16"/>
                <w:color w:val="auto"/>
              </w:rPr>
              <w:t>February 24, 2015</w:t>
            </w:r>
          </w:p>
        </w:tc>
        <w:tc>
          <w:tcPr>
            <w:tcW w:w="0" w:type="dxa"/>
            <w:vAlign w:val="bottom"/>
          </w:tcPr>
          <w:p>
            <w:pPr>
              <w:spacing w:after="0"/>
              <w:rPr>
                <w:sz w:val="1"/>
                <w:szCs w:val="1"/>
                <w:color w:val="auto"/>
              </w:rPr>
            </w:pPr>
          </w:p>
        </w:tc>
      </w:tr>
      <w:tr>
        <w:trPr>
          <w:trHeight w:val="90"/>
        </w:trPr>
        <w:tc>
          <w:tcPr>
            <w:tcW w:w="1140" w:type="dxa"/>
            <w:vAlign w:val="bottom"/>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46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3"/>
                <w:szCs w:val="23"/>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2"/>
              </w:rPr>
              <w:t>George O. Elston</w:t>
            </w:r>
          </w:p>
        </w:tc>
        <w:tc>
          <w:tcPr>
            <w:tcW w:w="46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5"/>
              </w:rPr>
              <w:t>/s/ HARRY H. PENNER, JR.</w:t>
            </w:r>
          </w:p>
        </w:tc>
        <w:tc>
          <w:tcPr>
            <w:tcW w:w="4620" w:type="dxa"/>
            <w:vAlign w:val="bottom"/>
          </w:tcPr>
          <w:p>
            <w:pPr>
              <w:ind w:left="140"/>
              <w:spacing w:after="0"/>
              <w:rPr>
                <w:sz w:val="20"/>
                <w:szCs w:val="20"/>
                <w:color w:val="auto"/>
              </w:rPr>
            </w:pPr>
            <w:r>
              <w:rPr>
                <w:rFonts w:ascii="Arial" w:cs="Arial" w:eastAsia="Arial" w:hAnsi="Arial"/>
                <w:sz w:val="16"/>
                <w:szCs w:val="16"/>
                <w:color w:val="auto"/>
              </w:rPr>
              <w:t>Director</w:t>
            </w:r>
          </w:p>
        </w:tc>
        <w:tc>
          <w:tcPr>
            <w:tcW w:w="2920" w:type="dxa"/>
            <w:vAlign w:val="bottom"/>
          </w:tcPr>
          <w:p>
            <w:pPr>
              <w:ind w:left="540"/>
              <w:spacing w:after="0"/>
              <w:rPr>
                <w:sz w:val="20"/>
                <w:szCs w:val="20"/>
                <w:color w:val="auto"/>
              </w:rPr>
            </w:pPr>
            <w:r>
              <w:rPr>
                <w:rFonts w:ascii="Arial" w:cs="Arial" w:eastAsia="Arial" w:hAnsi="Arial"/>
                <w:sz w:val="16"/>
                <w:szCs w:val="16"/>
                <w:color w:val="auto"/>
              </w:rPr>
              <w:t>February 24, 2015</w:t>
            </w:r>
          </w:p>
        </w:tc>
        <w:tc>
          <w:tcPr>
            <w:tcW w:w="0" w:type="dxa"/>
            <w:vAlign w:val="bottom"/>
          </w:tcPr>
          <w:p>
            <w:pPr>
              <w:spacing w:after="0"/>
              <w:rPr>
                <w:sz w:val="1"/>
                <w:szCs w:val="1"/>
                <w:color w:val="auto"/>
              </w:rPr>
            </w:pPr>
          </w:p>
        </w:tc>
      </w:tr>
      <w:tr>
        <w:trPr>
          <w:trHeight w:val="90"/>
        </w:trPr>
        <w:tc>
          <w:tcPr>
            <w:tcW w:w="1140" w:type="dxa"/>
            <w:vAlign w:val="bottom"/>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46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3"/>
                <w:szCs w:val="23"/>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1"/>
              </w:rPr>
              <w:t>Harry H. Penner, Jr.</w:t>
            </w:r>
          </w:p>
        </w:tc>
        <w:tc>
          <w:tcPr>
            <w:tcW w:w="46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5"/>
              </w:rPr>
              <w:t>/s/ KAREN L. SHOOS</w:t>
            </w:r>
          </w:p>
        </w:tc>
        <w:tc>
          <w:tcPr>
            <w:tcW w:w="4620" w:type="dxa"/>
            <w:vAlign w:val="bottom"/>
          </w:tcPr>
          <w:p>
            <w:pPr>
              <w:ind w:left="140"/>
              <w:spacing w:after="0"/>
              <w:rPr>
                <w:sz w:val="20"/>
                <w:szCs w:val="20"/>
                <w:color w:val="auto"/>
              </w:rPr>
            </w:pPr>
            <w:r>
              <w:rPr>
                <w:rFonts w:ascii="Arial" w:cs="Arial" w:eastAsia="Arial" w:hAnsi="Arial"/>
                <w:sz w:val="16"/>
                <w:szCs w:val="16"/>
                <w:color w:val="auto"/>
              </w:rPr>
              <w:t>Director</w:t>
            </w:r>
          </w:p>
        </w:tc>
        <w:tc>
          <w:tcPr>
            <w:tcW w:w="2920" w:type="dxa"/>
            <w:vAlign w:val="bottom"/>
          </w:tcPr>
          <w:p>
            <w:pPr>
              <w:ind w:left="540"/>
              <w:spacing w:after="0"/>
              <w:rPr>
                <w:sz w:val="20"/>
                <w:szCs w:val="20"/>
                <w:color w:val="auto"/>
              </w:rPr>
            </w:pPr>
            <w:r>
              <w:rPr>
                <w:rFonts w:ascii="Arial" w:cs="Arial" w:eastAsia="Arial" w:hAnsi="Arial"/>
                <w:sz w:val="16"/>
                <w:szCs w:val="16"/>
                <w:color w:val="auto"/>
              </w:rPr>
              <w:t>February 24, 2015</w:t>
            </w:r>
          </w:p>
        </w:tc>
        <w:tc>
          <w:tcPr>
            <w:tcW w:w="0" w:type="dxa"/>
            <w:vAlign w:val="bottom"/>
          </w:tcPr>
          <w:p>
            <w:pPr>
              <w:spacing w:after="0"/>
              <w:rPr>
                <w:sz w:val="1"/>
                <w:szCs w:val="1"/>
                <w:color w:val="auto"/>
              </w:rPr>
            </w:pPr>
          </w:p>
        </w:tc>
      </w:tr>
      <w:tr>
        <w:trPr>
          <w:trHeight w:val="90"/>
        </w:trPr>
        <w:tc>
          <w:tcPr>
            <w:tcW w:w="1140" w:type="dxa"/>
            <w:vAlign w:val="bottom"/>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46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3"/>
                <w:szCs w:val="23"/>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2"/>
              </w:rPr>
              <w:t>Karen L. Shoos</w:t>
            </w:r>
          </w:p>
        </w:tc>
        <w:tc>
          <w:tcPr>
            <w:tcW w:w="46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8"/>
              </w:rPr>
              <w:t>/s/ RICHARD A. VAN DEN BROEK</w:t>
            </w:r>
          </w:p>
        </w:tc>
        <w:tc>
          <w:tcPr>
            <w:tcW w:w="4620" w:type="dxa"/>
            <w:vAlign w:val="bottom"/>
          </w:tcPr>
          <w:p>
            <w:pPr>
              <w:ind w:left="140"/>
              <w:spacing w:after="0"/>
              <w:rPr>
                <w:sz w:val="20"/>
                <w:szCs w:val="20"/>
                <w:color w:val="auto"/>
              </w:rPr>
            </w:pPr>
            <w:r>
              <w:rPr>
                <w:rFonts w:ascii="Arial" w:cs="Arial" w:eastAsia="Arial" w:hAnsi="Arial"/>
                <w:sz w:val="16"/>
                <w:szCs w:val="16"/>
                <w:color w:val="auto"/>
              </w:rPr>
              <w:t>Director</w:t>
            </w:r>
          </w:p>
        </w:tc>
        <w:tc>
          <w:tcPr>
            <w:tcW w:w="2920" w:type="dxa"/>
            <w:vAlign w:val="bottom"/>
          </w:tcPr>
          <w:p>
            <w:pPr>
              <w:ind w:left="540"/>
              <w:spacing w:after="0"/>
              <w:rPr>
                <w:sz w:val="20"/>
                <w:szCs w:val="20"/>
                <w:color w:val="auto"/>
              </w:rPr>
            </w:pPr>
            <w:r>
              <w:rPr>
                <w:rFonts w:ascii="Arial" w:cs="Arial" w:eastAsia="Arial" w:hAnsi="Arial"/>
                <w:sz w:val="16"/>
                <w:szCs w:val="16"/>
                <w:color w:val="auto"/>
              </w:rPr>
              <w:t>February 24, 2015</w:t>
            </w:r>
          </w:p>
        </w:tc>
        <w:tc>
          <w:tcPr>
            <w:tcW w:w="0" w:type="dxa"/>
            <w:vAlign w:val="bottom"/>
          </w:tcPr>
          <w:p>
            <w:pPr>
              <w:spacing w:after="0"/>
              <w:rPr>
                <w:sz w:val="1"/>
                <w:szCs w:val="1"/>
                <w:color w:val="auto"/>
              </w:rPr>
            </w:pPr>
          </w:p>
        </w:tc>
      </w:tr>
      <w:tr>
        <w:trPr>
          <w:trHeight w:val="90"/>
        </w:trPr>
        <w:tc>
          <w:tcPr>
            <w:tcW w:w="1140" w:type="dxa"/>
            <w:vAlign w:val="bottom"/>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46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140" w:type="dxa"/>
            <w:vAlign w:val="bottom"/>
          </w:tcPr>
          <w:p>
            <w:pPr>
              <w:spacing w:after="0"/>
              <w:rPr>
                <w:sz w:val="23"/>
                <w:szCs w:val="23"/>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3"/>
              </w:rPr>
              <w:t>Richard A. van den Broek</w:t>
            </w:r>
          </w:p>
        </w:tc>
        <w:tc>
          <w:tcPr>
            <w:tcW w:w="46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20" w:type="dxa"/>
            <w:vAlign w:val="bottom"/>
          </w:tcPr>
          <w:p>
            <w:pPr>
              <w:ind w:left="1720"/>
              <w:spacing w:after="0"/>
              <w:rPr>
                <w:sz w:val="20"/>
                <w:szCs w:val="20"/>
                <w:color w:val="auto"/>
              </w:rPr>
            </w:pPr>
            <w:r>
              <w:rPr>
                <w:rFonts w:ascii="Arial" w:cs="Arial" w:eastAsia="Arial" w:hAnsi="Arial"/>
                <w:sz w:val="16"/>
                <w:szCs w:val="16"/>
                <w:color w:val="auto"/>
              </w:rPr>
              <w:t>103</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40" w:type="dxa"/>
            <w:vAlign w:val="bottom"/>
            <w:tcBorders>
              <w:bottom w:val="single" w:sz="8" w:color="808080"/>
            </w:tcBorders>
          </w:tcPr>
          <w:p>
            <w:pPr>
              <w:spacing w:after="0"/>
              <w:rPr>
                <w:sz w:val="18"/>
                <w:szCs w:val="18"/>
                <w:color w:val="auto"/>
              </w:rPr>
            </w:pPr>
          </w:p>
        </w:tc>
        <w:tc>
          <w:tcPr>
            <w:tcW w:w="2740" w:type="dxa"/>
            <w:vAlign w:val="bottom"/>
            <w:tcBorders>
              <w:bottom w:val="single" w:sz="8" w:color="808080"/>
            </w:tcBorders>
          </w:tcPr>
          <w:p>
            <w:pPr>
              <w:spacing w:after="0"/>
              <w:rPr>
                <w:sz w:val="18"/>
                <w:szCs w:val="18"/>
                <w:color w:val="auto"/>
              </w:rPr>
            </w:pPr>
          </w:p>
        </w:tc>
        <w:tc>
          <w:tcPr>
            <w:tcW w:w="4620" w:type="dxa"/>
            <w:vAlign w:val="bottom"/>
            <w:tcBorders>
              <w:bottom w:val="single" w:sz="8" w:color="808080"/>
            </w:tcBorders>
          </w:tcPr>
          <w:p>
            <w:pPr>
              <w:spacing w:after="0"/>
              <w:rPr>
                <w:sz w:val="18"/>
                <w:szCs w:val="18"/>
                <w:color w:val="auto"/>
              </w:rPr>
            </w:pPr>
          </w:p>
        </w:tc>
        <w:tc>
          <w:tcPr>
            <w:tcW w:w="29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ind w:left="946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27940</wp:posOffset>
            </wp:positionV>
            <wp:extent cx="5398770" cy="32791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98770" cy="3279140"/>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1208405</wp:posOffset>
            </wp:positionH>
            <wp:positionV relativeFrom="page">
              <wp:posOffset>88900</wp:posOffset>
            </wp:positionV>
            <wp:extent cx="5398770" cy="88842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5398770" cy="8884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rFonts w:ascii="Arial" w:cs="Arial" w:eastAsia="Arial" w:hAnsi="Arial"/>
          <w:sz w:val="20"/>
          <w:szCs w:val="20"/>
          <w:color w:val="0000EE"/>
        </w:rPr>
      </w:pPr>
      <w:hyperlink w:anchor="page113">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20" w:lineRule="exact"/>
        <w:rPr>
          <w:sz w:val="20"/>
          <w:szCs w:val="20"/>
          <w:color w:val="auto"/>
        </w:rPr>
      </w:pPr>
    </w:p>
    <w:p>
      <w:pPr>
        <w:ind w:right="200" w:firstLine="322"/>
        <w:spacing w:after="0" w:line="275"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333-182142, 333-189336, 333-151728, 333-117602 and 333-162423) and on Form S-3 (No. 333-192640) of Celldex Therapeutics, Inc. of our report dated February 24, 2015 relating to the financial statements and the effectiveness of internal control over financial reporting, which appears in this Form 10-K.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135890</wp:posOffset>
            </wp:positionV>
            <wp:extent cx="726122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343" w:right="27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QuickLinks</w:t>
      </w:r>
    </w:p>
    <w:p>
      <w:pPr>
        <w:spacing w:after="0" w:line="208" w:lineRule="exact"/>
        <w:rPr>
          <w:sz w:val="20"/>
          <w:szCs w:val="20"/>
          <w:color w:val="auto"/>
        </w:rPr>
      </w:pPr>
    </w:p>
    <w:p>
      <w:pPr>
        <w:ind w:left="500"/>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Exhibit 23.1</w:t>
        </w:r>
      </w:hyperlink>
    </w:p>
    <w:p>
      <w:pPr>
        <w:spacing w:after="0" w:line="216" w:lineRule="exact"/>
        <w:rPr>
          <w:sz w:val="20"/>
          <w:szCs w:val="20"/>
          <w:color w:val="auto"/>
        </w:rPr>
      </w:pPr>
    </w:p>
    <w:p>
      <w:pPr>
        <w:spacing w:after="0"/>
        <w:rPr>
          <w:rFonts w:ascii="Arial" w:cs="Arial" w:eastAsia="Arial" w:hAnsi="Arial"/>
          <w:sz w:val="15"/>
          <w:szCs w:val="15"/>
          <w:u w:val="single" w:color="auto"/>
          <w:color w:val="0000EE"/>
        </w:rPr>
      </w:pPr>
      <w:hyperlink w:anchor="page112">
        <w:r>
          <w:rPr>
            <w:rFonts w:ascii="Arial" w:cs="Arial" w:eastAsia="Arial" w:hAnsi="Arial"/>
            <w:sz w:val="15"/>
            <w:szCs w:val="15"/>
            <w:u w:val="single" w:color="auto"/>
            <w:color w:val="0000EE"/>
          </w:rPr>
          <w:t>CONSENT OF INDEPENDENT REGISTERED PUBLIC ACCOUNTING FIRM</w:t>
        </w:r>
      </w:hyperlink>
    </w:p>
    <w:p>
      <w:pPr>
        <w:sectPr>
          <w:pgSz w:w="11900" w:h="16838" w:orient="portrait"/>
          <w:cols w:equalWidth="0" w:num="1">
            <w:col w:w="10219"/>
          </w:cols>
          <w:pgMar w:left="240" w:top="768" w:right="1440" w:bottom="1440" w:gutter="0" w:footer="0" w:header="0"/>
        </w:sectPr>
      </w:pPr>
    </w:p>
    <w:bookmarkStart w:id="113" w:name="page114"/>
    <w:bookmarkEnd w:id="113"/>
    <w:p>
      <w:pPr>
        <w:spacing w:after="0"/>
        <w:rPr>
          <w:rFonts w:ascii="Arial" w:cs="Arial" w:eastAsia="Arial" w:hAnsi="Arial"/>
          <w:sz w:val="20"/>
          <w:szCs w:val="20"/>
          <w:color w:val="0000EE"/>
        </w:rPr>
      </w:pPr>
      <w:hyperlink w:anchor="page115">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200" w:lineRule="exact"/>
        <w:rPr>
          <w:sz w:val="20"/>
          <w:szCs w:val="20"/>
          <w:color w:val="auto"/>
        </w:rPr>
      </w:pPr>
    </w:p>
    <w:p>
      <w:pPr>
        <w:spacing w:after="0" w:line="204" w:lineRule="exact"/>
        <w:rPr>
          <w:sz w:val="20"/>
          <w:szCs w:val="20"/>
          <w:color w:val="auto"/>
        </w:rPr>
      </w:pPr>
    </w:p>
    <w:p>
      <w:pPr>
        <w:ind w:left="10540"/>
        <w:spacing w:after="0"/>
        <w:rPr>
          <w:sz w:val="20"/>
          <w:szCs w:val="20"/>
          <w:color w:val="auto"/>
        </w:rPr>
      </w:pPr>
      <w:r>
        <w:rPr>
          <w:rFonts w:ascii="Arial" w:cs="Arial" w:eastAsia="Arial" w:hAnsi="Arial"/>
          <w:sz w:val="15"/>
          <w:szCs w:val="15"/>
          <w:b w:val="1"/>
          <w:bCs w:val="1"/>
          <w:color w:val="auto"/>
        </w:rPr>
        <w:t>Exhibit 31.1</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 Anthony S. Marucci, certify that:</w:t>
      </w:r>
    </w:p>
    <w:p>
      <w:pPr>
        <w:spacing w:after="0" w:line="216" w:lineRule="exact"/>
        <w:rPr>
          <w:sz w:val="20"/>
          <w:szCs w:val="20"/>
          <w:color w:val="auto"/>
        </w:rPr>
      </w:pPr>
    </w:p>
    <w:p>
      <w:pPr>
        <w:ind w:left="660" w:hanging="335"/>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Celldex Therapeutics, Inc.;</w:t>
      </w:r>
    </w:p>
    <w:p>
      <w:pPr>
        <w:spacing w:after="0" w:line="216" w:lineRule="exact"/>
        <w:rPr>
          <w:rFonts w:ascii="Arial" w:cs="Arial" w:eastAsia="Arial" w:hAnsi="Arial"/>
          <w:sz w:val="16"/>
          <w:szCs w:val="16"/>
          <w:color w:val="auto"/>
        </w:rPr>
      </w:pPr>
    </w:p>
    <w:p>
      <w:pPr>
        <w:ind w:right="160" w:firstLine="325"/>
        <w:spacing w:after="0" w:line="290" w:lineRule="auto"/>
        <w:tabs>
          <w:tab w:leader="none" w:pos="65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right="680" w:firstLine="325"/>
        <w:spacing w:after="0" w:line="290" w:lineRule="auto"/>
        <w:tabs>
          <w:tab w:leader="none" w:pos="65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jc w:val="both"/>
        <w:ind w:right="500" w:firstLine="325"/>
        <w:spacing w:after="0" w:line="366" w:lineRule="auto"/>
        <w:tabs>
          <w:tab w:leader="none" w:pos="64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09" w:lineRule="exact"/>
        <w:rPr>
          <w:rFonts w:ascii="Arial" w:cs="Arial" w:eastAsia="Arial" w:hAnsi="Arial"/>
          <w:sz w:val="14"/>
          <w:szCs w:val="14"/>
          <w:color w:val="auto"/>
        </w:rPr>
      </w:pPr>
    </w:p>
    <w:p>
      <w:pPr>
        <w:ind w:left="500" w:right="20" w:firstLine="325"/>
        <w:spacing w:after="0" w:line="275" w:lineRule="auto"/>
        <w:tabs>
          <w:tab w:leader="none" w:pos="1127"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6"/>
          <w:szCs w:val="16"/>
          <w:color w:val="auto"/>
        </w:rPr>
      </w:pPr>
    </w:p>
    <w:p>
      <w:pPr>
        <w:ind w:left="500" w:right="420" w:firstLine="325"/>
        <w:spacing w:after="0" w:line="275" w:lineRule="auto"/>
        <w:tabs>
          <w:tab w:leader="none" w:pos="1136"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6"/>
          <w:szCs w:val="16"/>
          <w:color w:val="auto"/>
        </w:rPr>
      </w:pPr>
    </w:p>
    <w:p>
      <w:pPr>
        <w:ind w:left="500" w:right="240" w:firstLine="325"/>
        <w:spacing w:after="0" w:line="290" w:lineRule="auto"/>
        <w:tabs>
          <w:tab w:leader="none" w:pos="112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500" w:right="200" w:firstLine="325"/>
        <w:spacing w:after="0" w:line="275" w:lineRule="auto"/>
        <w:tabs>
          <w:tab w:leader="none" w:pos="1136"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6"/>
          <w:szCs w:val="16"/>
          <w:color w:val="auto"/>
        </w:rPr>
      </w:pPr>
    </w:p>
    <w:p>
      <w:pPr>
        <w:ind w:right="480" w:firstLine="325"/>
        <w:spacing w:after="0" w:line="290" w:lineRule="auto"/>
        <w:tabs>
          <w:tab w:leader="none" w:pos="64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500" w:right="420" w:firstLine="325"/>
        <w:spacing w:after="0" w:line="290" w:lineRule="auto"/>
        <w:tabs>
          <w:tab w:leader="none" w:pos="1118"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500" w:right="20" w:firstLine="325"/>
        <w:spacing w:after="0" w:line="290" w:lineRule="auto"/>
        <w:tabs>
          <w:tab w:leader="none" w:pos="1128"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ind w:left="1140"/>
              <w:spacing w:after="0"/>
              <w:rPr>
                <w:sz w:val="20"/>
                <w:szCs w:val="20"/>
                <w:color w:val="auto"/>
              </w:rPr>
            </w:pPr>
            <w:r>
              <w:rPr>
                <w:rFonts w:ascii="Arial" w:cs="Arial" w:eastAsia="Arial" w:hAnsi="Arial"/>
                <w:sz w:val="16"/>
                <w:szCs w:val="16"/>
                <w:color w:val="auto"/>
              </w:rPr>
              <w:t>Date: February 24, 2015</w:t>
            </w:r>
          </w:p>
        </w:tc>
        <w:tc>
          <w:tcPr>
            <w:tcW w:w="7260" w:type="dxa"/>
            <w:vAlign w:val="bottom"/>
            <w:gridSpan w:val="4"/>
          </w:tcPr>
          <w:p>
            <w:pPr>
              <w:ind w:left="1440"/>
              <w:spacing w:after="0"/>
              <w:rPr>
                <w:sz w:val="20"/>
                <w:szCs w:val="20"/>
                <w:color w:val="auto"/>
              </w:rPr>
            </w:pPr>
            <w:r>
              <w:rPr>
                <w:rFonts w:ascii="Arial" w:cs="Arial" w:eastAsia="Arial" w:hAnsi="Arial"/>
                <w:sz w:val="16"/>
                <w:szCs w:val="16"/>
                <w:color w:val="auto"/>
              </w:rPr>
              <w:t>By:   /s/ ANTHONY S. MARUCCI</w:t>
            </w:r>
          </w:p>
        </w:tc>
      </w:tr>
      <w:tr>
        <w:trPr>
          <w:trHeight w:val="90"/>
        </w:trPr>
        <w:tc>
          <w:tcPr>
            <w:tcW w:w="41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r>
      <w:tr>
        <w:trPr>
          <w:trHeight w:val="259"/>
        </w:trPr>
        <w:tc>
          <w:tcPr>
            <w:tcW w:w="41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Name:</w:t>
            </w:r>
          </w:p>
        </w:tc>
        <w:tc>
          <w:tcPr>
            <w:tcW w:w="4760" w:type="dxa"/>
            <w:vAlign w:val="bottom"/>
            <w:gridSpan w:val="2"/>
          </w:tcPr>
          <w:p>
            <w:pPr>
              <w:ind w:left="160"/>
              <w:spacing w:after="0"/>
              <w:rPr>
                <w:sz w:val="20"/>
                <w:szCs w:val="20"/>
                <w:color w:val="auto"/>
              </w:rPr>
            </w:pPr>
            <w:r>
              <w:rPr>
                <w:rFonts w:ascii="Arial" w:cs="Arial" w:eastAsia="Arial" w:hAnsi="Arial"/>
                <w:sz w:val="16"/>
                <w:szCs w:val="16"/>
                <w:color w:val="auto"/>
              </w:rPr>
              <w:t>Anthony S. Marucci</w:t>
            </w:r>
          </w:p>
        </w:tc>
      </w:tr>
      <w:tr>
        <w:trPr>
          <w:trHeight w:val="207"/>
        </w:trPr>
        <w:tc>
          <w:tcPr>
            <w:tcW w:w="4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Title:</w:t>
            </w:r>
          </w:p>
        </w:tc>
        <w:tc>
          <w:tcPr>
            <w:tcW w:w="4760" w:type="dxa"/>
            <w:vAlign w:val="bottom"/>
            <w:gridSpan w:val="2"/>
          </w:tcPr>
          <w:p>
            <w:pPr>
              <w:ind w:left="160"/>
              <w:spacing w:after="0"/>
              <w:rPr>
                <w:sz w:val="20"/>
                <w:szCs w:val="20"/>
                <w:color w:val="auto"/>
              </w:rPr>
            </w:pPr>
            <w:r>
              <w:rPr>
                <w:rFonts w:ascii="Arial" w:cs="Arial" w:eastAsia="Arial" w:hAnsi="Arial"/>
                <w:sz w:val="16"/>
                <w:szCs w:val="16"/>
                <w:i w:val="1"/>
                <w:iCs w:val="1"/>
                <w:color w:val="auto"/>
              </w:rPr>
              <w:t>President and Chief Executive Officer</w:t>
            </w:r>
          </w:p>
        </w:tc>
      </w:tr>
      <w:tr>
        <w:trPr>
          <w:trHeight w:val="111"/>
        </w:trPr>
        <w:tc>
          <w:tcPr>
            <w:tcW w:w="416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color w:val="auto"/>
        </w:rPr>
        <w:t>QuickLinks</w:t>
      </w:r>
    </w:p>
    <w:p>
      <w:pPr>
        <w:spacing w:after="0" w:line="208" w:lineRule="exact"/>
        <w:rPr>
          <w:sz w:val="20"/>
          <w:szCs w:val="20"/>
          <w:color w:val="auto"/>
        </w:rPr>
      </w:pPr>
    </w:p>
    <w:p>
      <w:pPr>
        <w:ind w:left="500"/>
        <w:spacing w:after="0"/>
        <w:rPr>
          <w:rFonts w:ascii="Arial" w:cs="Arial" w:eastAsia="Arial" w:hAnsi="Arial"/>
          <w:sz w:val="15"/>
          <w:szCs w:val="15"/>
          <w:u w:val="single" w:color="auto"/>
          <w:color w:val="0000EE"/>
        </w:rPr>
      </w:pPr>
      <w:hyperlink w:anchor="page114">
        <w:r>
          <w:rPr>
            <w:rFonts w:ascii="Arial" w:cs="Arial" w:eastAsia="Arial" w:hAnsi="Arial"/>
            <w:sz w:val="15"/>
            <w:szCs w:val="15"/>
            <w:u w:val="single" w:color="auto"/>
            <w:color w:val="0000EE"/>
          </w:rPr>
          <w:t>Exhibit 31.1</w:t>
        </w:r>
      </w:hyperlink>
    </w:p>
    <w:p>
      <w:pPr>
        <w:spacing w:after="0" w:line="228" w:lineRule="exact"/>
        <w:rPr>
          <w:sz w:val="20"/>
          <w:szCs w:val="20"/>
          <w:color w:val="auto"/>
        </w:rPr>
      </w:pPr>
    </w:p>
    <w:p>
      <w:pPr>
        <w:spacing w:after="0"/>
        <w:rPr>
          <w:rFonts w:ascii="Arial" w:cs="Arial" w:eastAsia="Arial" w:hAnsi="Arial"/>
          <w:sz w:val="16"/>
          <w:szCs w:val="16"/>
          <w:u w:val="single" w:color="auto"/>
          <w:color w:val="0000EE"/>
        </w:rPr>
      </w:pPr>
      <w:hyperlink w:anchor="page114">
        <w:r>
          <w:rPr>
            <w:rFonts w:ascii="Arial" w:cs="Arial" w:eastAsia="Arial" w:hAnsi="Arial"/>
            <w:sz w:val="16"/>
            <w:szCs w:val="16"/>
            <w:u w:val="single" w:color="auto"/>
            <w:color w:val="0000EE"/>
          </w:rPr>
          <w:t>CERTIFICATION</w:t>
        </w:r>
      </w:hyperlink>
    </w:p>
    <w:p>
      <w:pPr>
        <w:sectPr>
          <w:pgSz w:w="11900" w:h="16838" w:orient="portrait"/>
          <w:cols w:equalWidth="0" w:num="1">
            <w:col w:w="10219"/>
          </w:cols>
          <w:pgMar w:left="240" w:top="769" w:right="1440" w:bottom="1440" w:gutter="0" w:footer="0" w:header="0"/>
        </w:sectPr>
      </w:pPr>
    </w:p>
    <w:bookmarkStart w:id="115" w:name="page116"/>
    <w:bookmarkEnd w:id="115"/>
    <w:p>
      <w:pPr>
        <w:spacing w:after="0"/>
        <w:rPr>
          <w:rFonts w:ascii="Arial" w:cs="Arial" w:eastAsia="Arial" w:hAnsi="Arial"/>
          <w:sz w:val="20"/>
          <w:szCs w:val="20"/>
          <w:color w:val="0000EE"/>
        </w:rPr>
      </w:pPr>
      <w:hyperlink w:anchor="page117">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200" w:lineRule="exact"/>
        <w:rPr>
          <w:sz w:val="20"/>
          <w:szCs w:val="20"/>
          <w:color w:val="auto"/>
        </w:rPr>
      </w:pPr>
    </w:p>
    <w:p>
      <w:pPr>
        <w:spacing w:after="0" w:line="204" w:lineRule="exact"/>
        <w:rPr>
          <w:sz w:val="20"/>
          <w:szCs w:val="20"/>
          <w:color w:val="auto"/>
        </w:rPr>
      </w:pPr>
    </w:p>
    <w:p>
      <w:pPr>
        <w:ind w:left="10540"/>
        <w:spacing w:after="0"/>
        <w:rPr>
          <w:sz w:val="20"/>
          <w:szCs w:val="20"/>
          <w:color w:val="auto"/>
        </w:rPr>
      </w:pPr>
      <w:r>
        <w:rPr>
          <w:rFonts w:ascii="Arial" w:cs="Arial" w:eastAsia="Arial" w:hAnsi="Arial"/>
          <w:sz w:val="15"/>
          <w:szCs w:val="15"/>
          <w:b w:val="1"/>
          <w:bCs w:val="1"/>
          <w:color w:val="auto"/>
        </w:rPr>
        <w:t>Exhibit 31.2</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 Avery W. Catlin, certify that:</w:t>
      </w:r>
    </w:p>
    <w:p>
      <w:pPr>
        <w:spacing w:after="0" w:line="216" w:lineRule="exact"/>
        <w:rPr>
          <w:sz w:val="20"/>
          <w:szCs w:val="20"/>
          <w:color w:val="auto"/>
        </w:rPr>
      </w:pPr>
    </w:p>
    <w:p>
      <w:pPr>
        <w:ind w:left="660" w:hanging="335"/>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Celldex Therapeutics, Inc.;</w:t>
      </w:r>
    </w:p>
    <w:p>
      <w:pPr>
        <w:spacing w:after="0" w:line="216" w:lineRule="exact"/>
        <w:rPr>
          <w:rFonts w:ascii="Arial" w:cs="Arial" w:eastAsia="Arial" w:hAnsi="Arial"/>
          <w:sz w:val="16"/>
          <w:szCs w:val="16"/>
          <w:color w:val="auto"/>
        </w:rPr>
      </w:pPr>
    </w:p>
    <w:p>
      <w:pPr>
        <w:ind w:right="160" w:firstLine="325"/>
        <w:spacing w:after="0" w:line="290" w:lineRule="auto"/>
        <w:tabs>
          <w:tab w:leader="none" w:pos="65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right="680" w:firstLine="325"/>
        <w:spacing w:after="0" w:line="290" w:lineRule="auto"/>
        <w:tabs>
          <w:tab w:leader="none" w:pos="65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jc w:val="both"/>
        <w:ind w:right="500" w:firstLine="325"/>
        <w:spacing w:after="0" w:line="366" w:lineRule="auto"/>
        <w:tabs>
          <w:tab w:leader="none" w:pos="64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09" w:lineRule="exact"/>
        <w:rPr>
          <w:rFonts w:ascii="Arial" w:cs="Arial" w:eastAsia="Arial" w:hAnsi="Arial"/>
          <w:sz w:val="14"/>
          <w:szCs w:val="14"/>
          <w:color w:val="auto"/>
        </w:rPr>
      </w:pPr>
    </w:p>
    <w:p>
      <w:pPr>
        <w:ind w:left="500" w:right="20" w:firstLine="325"/>
        <w:spacing w:after="0" w:line="275" w:lineRule="auto"/>
        <w:tabs>
          <w:tab w:leader="none" w:pos="1127"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6"/>
          <w:szCs w:val="16"/>
          <w:color w:val="auto"/>
        </w:rPr>
      </w:pPr>
    </w:p>
    <w:p>
      <w:pPr>
        <w:ind w:left="500" w:right="420" w:firstLine="325"/>
        <w:spacing w:after="0" w:line="275" w:lineRule="auto"/>
        <w:tabs>
          <w:tab w:leader="none" w:pos="1136"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6"/>
          <w:szCs w:val="16"/>
          <w:color w:val="auto"/>
        </w:rPr>
      </w:pPr>
    </w:p>
    <w:p>
      <w:pPr>
        <w:ind w:left="500" w:right="240" w:firstLine="325"/>
        <w:spacing w:after="0" w:line="290" w:lineRule="auto"/>
        <w:tabs>
          <w:tab w:leader="none" w:pos="1127"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500" w:right="200" w:firstLine="325"/>
        <w:spacing w:after="0" w:line="275" w:lineRule="auto"/>
        <w:tabs>
          <w:tab w:leader="none" w:pos="1136"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6"/>
          <w:szCs w:val="16"/>
          <w:color w:val="auto"/>
        </w:rPr>
      </w:pPr>
    </w:p>
    <w:p>
      <w:pPr>
        <w:ind w:right="480" w:firstLine="325"/>
        <w:spacing w:after="0" w:line="290" w:lineRule="auto"/>
        <w:tabs>
          <w:tab w:leader="none" w:pos="64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500" w:right="420" w:firstLine="325"/>
        <w:spacing w:after="0" w:line="290" w:lineRule="auto"/>
        <w:tabs>
          <w:tab w:leader="none" w:pos="1118"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500" w:right="20" w:firstLine="325"/>
        <w:spacing w:after="0" w:line="290" w:lineRule="auto"/>
        <w:tabs>
          <w:tab w:leader="none" w:pos="1128"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ind w:left="1140"/>
              <w:spacing w:after="0"/>
              <w:rPr>
                <w:sz w:val="20"/>
                <w:szCs w:val="20"/>
                <w:color w:val="auto"/>
              </w:rPr>
            </w:pPr>
            <w:r>
              <w:rPr>
                <w:rFonts w:ascii="Arial" w:cs="Arial" w:eastAsia="Arial" w:hAnsi="Arial"/>
                <w:sz w:val="16"/>
                <w:szCs w:val="16"/>
                <w:color w:val="auto"/>
              </w:rPr>
              <w:t>Date: February 24, 2015</w:t>
            </w:r>
          </w:p>
        </w:tc>
        <w:tc>
          <w:tcPr>
            <w:tcW w:w="7260" w:type="dxa"/>
            <w:vAlign w:val="bottom"/>
            <w:gridSpan w:val="4"/>
          </w:tcPr>
          <w:p>
            <w:pPr>
              <w:ind w:left="1440"/>
              <w:spacing w:after="0"/>
              <w:rPr>
                <w:sz w:val="20"/>
                <w:szCs w:val="20"/>
                <w:color w:val="auto"/>
              </w:rPr>
            </w:pPr>
            <w:r>
              <w:rPr>
                <w:rFonts w:ascii="Arial" w:cs="Arial" w:eastAsia="Arial" w:hAnsi="Arial"/>
                <w:sz w:val="16"/>
                <w:szCs w:val="16"/>
                <w:color w:val="auto"/>
              </w:rPr>
              <w:t>By:   /s/ AVERY W. CATLIN</w:t>
            </w:r>
          </w:p>
        </w:tc>
      </w:tr>
      <w:tr>
        <w:trPr>
          <w:trHeight w:val="90"/>
        </w:trPr>
        <w:tc>
          <w:tcPr>
            <w:tcW w:w="41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r>
      <w:tr>
        <w:trPr>
          <w:trHeight w:val="259"/>
        </w:trPr>
        <w:tc>
          <w:tcPr>
            <w:tcW w:w="41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Name:</w:t>
            </w:r>
          </w:p>
        </w:tc>
        <w:tc>
          <w:tcPr>
            <w:tcW w:w="4760" w:type="dxa"/>
            <w:vAlign w:val="bottom"/>
            <w:gridSpan w:val="2"/>
          </w:tcPr>
          <w:p>
            <w:pPr>
              <w:ind w:left="160"/>
              <w:spacing w:after="0"/>
              <w:rPr>
                <w:sz w:val="20"/>
                <w:szCs w:val="20"/>
                <w:color w:val="auto"/>
              </w:rPr>
            </w:pPr>
            <w:r>
              <w:rPr>
                <w:rFonts w:ascii="Arial" w:cs="Arial" w:eastAsia="Arial" w:hAnsi="Arial"/>
                <w:sz w:val="16"/>
                <w:szCs w:val="16"/>
                <w:color w:val="auto"/>
              </w:rPr>
              <w:t>Avery W. Catlin</w:t>
            </w:r>
          </w:p>
        </w:tc>
      </w:tr>
      <w:tr>
        <w:trPr>
          <w:trHeight w:val="200"/>
        </w:trPr>
        <w:tc>
          <w:tcPr>
            <w:tcW w:w="4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Title:</w:t>
            </w:r>
          </w:p>
        </w:tc>
        <w:tc>
          <w:tcPr>
            <w:tcW w:w="4760" w:type="dxa"/>
            <w:vAlign w:val="bottom"/>
            <w:gridSpan w:val="2"/>
          </w:tcPr>
          <w:p>
            <w:pPr>
              <w:ind w:left="160"/>
              <w:spacing w:after="0"/>
              <w:rPr>
                <w:sz w:val="20"/>
                <w:szCs w:val="20"/>
                <w:color w:val="auto"/>
              </w:rPr>
            </w:pPr>
            <w:r>
              <w:rPr>
                <w:rFonts w:ascii="Arial" w:cs="Arial" w:eastAsia="Arial" w:hAnsi="Arial"/>
                <w:sz w:val="16"/>
                <w:szCs w:val="16"/>
                <w:i w:val="1"/>
                <w:iCs w:val="1"/>
                <w:color w:val="auto"/>
              </w:rPr>
              <w:t>Senior Vice President and</w:t>
            </w:r>
          </w:p>
        </w:tc>
      </w:tr>
      <w:tr>
        <w:trPr>
          <w:trHeight w:val="207"/>
        </w:trPr>
        <w:tc>
          <w:tcPr>
            <w:tcW w:w="4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60" w:type="dxa"/>
            <w:vAlign w:val="bottom"/>
            <w:gridSpan w:val="2"/>
          </w:tcPr>
          <w:p>
            <w:pPr>
              <w:ind w:left="160"/>
              <w:spacing w:after="0"/>
              <w:rPr>
                <w:sz w:val="20"/>
                <w:szCs w:val="20"/>
                <w:color w:val="auto"/>
              </w:rPr>
            </w:pPr>
            <w:r>
              <w:rPr>
                <w:rFonts w:ascii="Arial" w:cs="Arial" w:eastAsia="Arial" w:hAnsi="Arial"/>
                <w:sz w:val="16"/>
                <w:szCs w:val="16"/>
                <w:i w:val="1"/>
                <w:iCs w:val="1"/>
                <w:color w:val="auto"/>
              </w:rPr>
              <w:t>Chief Financial Officer</w:t>
            </w:r>
          </w:p>
        </w:tc>
      </w:tr>
      <w:tr>
        <w:trPr>
          <w:trHeight w:val="111"/>
        </w:trPr>
        <w:tc>
          <w:tcPr>
            <w:tcW w:w="416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QuickLinks</w:t>
      </w:r>
    </w:p>
    <w:p>
      <w:pPr>
        <w:spacing w:after="0" w:line="208" w:lineRule="exact"/>
        <w:rPr>
          <w:sz w:val="20"/>
          <w:szCs w:val="20"/>
          <w:color w:val="auto"/>
        </w:rPr>
      </w:pPr>
    </w:p>
    <w:p>
      <w:pPr>
        <w:ind w:left="500"/>
        <w:spacing w:after="0"/>
        <w:rPr>
          <w:rFonts w:ascii="Arial" w:cs="Arial" w:eastAsia="Arial" w:hAnsi="Arial"/>
          <w:sz w:val="15"/>
          <w:szCs w:val="15"/>
          <w:u w:val="single" w:color="auto"/>
          <w:color w:val="0000EE"/>
        </w:rPr>
      </w:pPr>
      <w:hyperlink w:anchor="page116">
        <w:r>
          <w:rPr>
            <w:rFonts w:ascii="Arial" w:cs="Arial" w:eastAsia="Arial" w:hAnsi="Arial"/>
            <w:sz w:val="15"/>
            <w:szCs w:val="15"/>
            <w:u w:val="single" w:color="auto"/>
            <w:color w:val="0000EE"/>
          </w:rPr>
          <w:t>Exhibit 31.2</w:t>
        </w:r>
      </w:hyperlink>
    </w:p>
    <w:p>
      <w:pPr>
        <w:spacing w:after="0" w:line="228" w:lineRule="exact"/>
        <w:rPr>
          <w:sz w:val="20"/>
          <w:szCs w:val="20"/>
          <w:color w:val="auto"/>
        </w:rPr>
      </w:pPr>
    </w:p>
    <w:p>
      <w:pPr>
        <w:spacing w:after="0"/>
        <w:rPr>
          <w:rFonts w:ascii="Arial" w:cs="Arial" w:eastAsia="Arial" w:hAnsi="Arial"/>
          <w:sz w:val="16"/>
          <w:szCs w:val="16"/>
          <w:u w:val="single" w:color="auto"/>
          <w:color w:val="0000EE"/>
        </w:rPr>
      </w:pPr>
      <w:hyperlink w:anchor="page116">
        <w:r>
          <w:rPr>
            <w:rFonts w:ascii="Arial" w:cs="Arial" w:eastAsia="Arial" w:hAnsi="Arial"/>
            <w:sz w:val="16"/>
            <w:szCs w:val="16"/>
            <w:u w:val="single" w:color="auto"/>
            <w:color w:val="0000EE"/>
          </w:rPr>
          <w:t>CERTIFICATION</w:t>
        </w:r>
      </w:hyperlink>
    </w:p>
    <w:p>
      <w:pPr>
        <w:sectPr>
          <w:pgSz w:w="11900" w:h="16838" w:orient="portrait"/>
          <w:cols w:equalWidth="0" w:num="1">
            <w:col w:w="10219"/>
          </w:cols>
          <w:pgMar w:left="240" w:top="768" w:right="1440" w:bottom="1440" w:gutter="0" w:footer="0" w:header="0"/>
        </w:sectPr>
      </w:pPr>
    </w:p>
    <w:bookmarkStart w:id="117" w:name="page118"/>
    <w:bookmarkEnd w:id="117"/>
    <w:p>
      <w:pPr>
        <w:spacing w:after="0"/>
        <w:rPr>
          <w:rFonts w:ascii="Arial" w:cs="Arial" w:eastAsia="Arial" w:hAnsi="Arial"/>
          <w:sz w:val="20"/>
          <w:szCs w:val="20"/>
          <w:color w:val="0000EE"/>
        </w:rPr>
      </w:pPr>
      <w:hyperlink w:anchor="page119">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OF CHIEF EXECUTIVE OFFICER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CHIEF FINANCIAL OFFICER PURSUANT TO</w:t>
      </w:r>
    </w:p>
    <w:p>
      <w:pPr>
        <w:spacing w:after="0" w:line="16"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6"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9" w:lineRule="exact"/>
        <w:rPr>
          <w:sz w:val="20"/>
          <w:szCs w:val="20"/>
          <w:color w:val="auto"/>
        </w:rPr>
      </w:pPr>
    </w:p>
    <w:p>
      <w:pPr>
        <w:ind w:firstLine="325"/>
        <w:spacing w:after="0" w:line="287" w:lineRule="auto"/>
        <w:rPr>
          <w:sz w:val="20"/>
          <w:szCs w:val="20"/>
          <w:color w:val="auto"/>
        </w:rPr>
      </w:pPr>
      <w:r>
        <w:rPr>
          <w:rFonts w:ascii="Arial" w:cs="Arial" w:eastAsia="Arial" w:hAnsi="Arial"/>
          <w:sz w:val="15"/>
          <w:szCs w:val="15"/>
          <w:color w:val="auto"/>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2014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020" w:type="dxa"/>
            <w:vAlign w:val="bottom"/>
          </w:tcPr>
          <w:p>
            <w:pPr>
              <w:spacing w:after="0"/>
              <w:rPr>
                <w:sz w:val="20"/>
                <w:szCs w:val="20"/>
                <w:color w:val="auto"/>
              </w:rPr>
            </w:pPr>
            <w:r>
              <w:rPr>
                <w:rFonts w:ascii="Arial" w:cs="Arial" w:eastAsia="Arial" w:hAnsi="Arial"/>
                <w:sz w:val="16"/>
                <w:szCs w:val="16"/>
                <w:color w:val="auto"/>
              </w:rPr>
              <w:t>Date: February 24, 2015</w:t>
            </w:r>
          </w:p>
        </w:tc>
        <w:tc>
          <w:tcPr>
            <w:tcW w:w="1900" w:type="dxa"/>
            <w:vAlign w:val="bottom"/>
          </w:tcPr>
          <w:p>
            <w:pPr>
              <w:ind w:left="1440"/>
              <w:spacing w:after="0"/>
              <w:rPr>
                <w:sz w:val="20"/>
                <w:szCs w:val="20"/>
                <w:color w:val="auto"/>
              </w:rPr>
            </w:pPr>
            <w:r>
              <w:rPr>
                <w:rFonts w:ascii="Arial" w:cs="Arial" w:eastAsia="Arial" w:hAnsi="Arial"/>
                <w:sz w:val="16"/>
                <w:szCs w:val="16"/>
                <w:color w:val="auto"/>
              </w:rPr>
              <w:t>By:</w:t>
            </w:r>
          </w:p>
        </w:tc>
        <w:tc>
          <w:tcPr>
            <w:tcW w:w="4240" w:type="dxa"/>
            <w:vAlign w:val="bottom"/>
            <w:gridSpan w:val="2"/>
          </w:tcPr>
          <w:p>
            <w:pPr>
              <w:ind w:left="20"/>
              <w:spacing w:after="0"/>
              <w:rPr>
                <w:sz w:val="20"/>
                <w:szCs w:val="20"/>
                <w:color w:val="auto"/>
              </w:rPr>
            </w:pPr>
            <w:r>
              <w:rPr>
                <w:rFonts w:ascii="Arial" w:cs="Arial" w:eastAsia="Arial" w:hAnsi="Arial"/>
                <w:sz w:val="16"/>
                <w:szCs w:val="16"/>
                <w:color w:val="auto"/>
              </w:rPr>
              <w:t>/s/ ANTHONY S. MARUCCI</w:t>
            </w:r>
          </w:p>
        </w:tc>
      </w:tr>
      <w:tr>
        <w:trPr>
          <w:trHeight w:val="90"/>
        </w:trPr>
        <w:tc>
          <w:tcPr>
            <w:tcW w:w="30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r>
      <w:tr>
        <w:trPr>
          <w:trHeight w:val="259"/>
        </w:trPr>
        <w:tc>
          <w:tcPr>
            <w:tcW w:w="30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Name:</w:t>
            </w:r>
          </w:p>
        </w:tc>
        <w:tc>
          <w:tcPr>
            <w:tcW w:w="3640" w:type="dxa"/>
            <w:vAlign w:val="bottom"/>
          </w:tcPr>
          <w:p>
            <w:pPr>
              <w:ind w:left="160"/>
              <w:spacing w:after="0"/>
              <w:rPr>
                <w:sz w:val="20"/>
                <w:szCs w:val="20"/>
                <w:color w:val="auto"/>
              </w:rPr>
            </w:pPr>
            <w:r>
              <w:rPr>
                <w:rFonts w:ascii="Arial" w:cs="Arial" w:eastAsia="Arial" w:hAnsi="Arial"/>
                <w:sz w:val="16"/>
                <w:szCs w:val="16"/>
                <w:color w:val="auto"/>
              </w:rPr>
              <w:t>Anthony S. Marucci</w:t>
            </w:r>
          </w:p>
        </w:tc>
      </w:tr>
      <w:tr>
        <w:trPr>
          <w:trHeight w:val="207"/>
        </w:trPr>
        <w:tc>
          <w:tcPr>
            <w:tcW w:w="30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Title:</w:t>
            </w:r>
          </w:p>
        </w:tc>
        <w:tc>
          <w:tcPr>
            <w:tcW w:w="3640" w:type="dxa"/>
            <w:vAlign w:val="bottom"/>
          </w:tcPr>
          <w:p>
            <w:pPr>
              <w:ind w:left="160"/>
              <w:spacing w:after="0"/>
              <w:rPr>
                <w:sz w:val="20"/>
                <w:szCs w:val="20"/>
                <w:color w:val="auto"/>
              </w:rPr>
            </w:pPr>
            <w:r>
              <w:rPr>
                <w:rFonts w:ascii="Arial" w:cs="Arial" w:eastAsia="Arial" w:hAnsi="Arial"/>
                <w:sz w:val="16"/>
                <w:szCs w:val="16"/>
                <w:i w:val="1"/>
                <w:iCs w:val="1"/>
                <w:color w:val="auto"/>
              </w:rPr>
              <w:t>President and Chief Executive Officer</w:t>
            </w:r>
          </w:p>
        </w:tc>
      </w:tr>
      <w:tr>
        <w:trPr>
          <w:trHeight w:val="425"/>
        </w:trPr>
        <w:tc>
          <w:tcPr>
            <w:tcW w:w="3020" w:type="dxa"/>
            <w:vAlign w:val="bottom"/>
          </w:tcPr>
          <w:p>
            <w:pPr>
              <w:spacing w:after="0"/>
              <w:rPr>
                <w:sz w:val="20"/>
                <w:szCs w:val="20"/>
                <w:color w:val="auto"/>
              </w:rPr>
            </w:pPr>
            <w:r>
              <w:rPr>
                <w:rFonts w:ascii="Arial" w:cs="Arial" w:eastAsia="Arial" w:hAnsi="Arial"/>
                <w:sz w:val="16"/>
                <w:szCs w:val="16"/>
                <w:color w:val="auto"/>
              </w:rPr>
              <w:t>Date: February 24, 2015</w:t>
            </w:r>
          </w:p>
        </w:tc>
        <w:tc>
          <w:tcPr>
            <w:tcW w:w="1900" w:type="dxa"/>
            <w:vAlign w:val="bottom"/>
          </w:tcPr>
          <w:p>
            <w:pPr>
              <w:ind w:left="1440"/>
              <w:spacing w:after="0"/>
              <w:rPr>
                <w:sz w:val="20"/>
                <w:szCs w:val="20"/>
                <w:color w:val="auto"/>
              </w:rPr>
            </w:pPr>
            <w:r>
              <w:rPr>
                <w:rFonts w:ascii="Arial" w:cs="Arial" w:eastAsia="Arial" w:hAnsi="Arial"/>
                <w:sz w:val="16"/>
                <w:szCs w:val="16"/>
                <w:color w:val="auto"/>
              </w:rPr>
              <w:t>By:</w:t>
            </w:r>
          </w:p>
        </w:tc>
        <w:tc>
          <w:tcPr>
            <w:tcW w:w="4240" w:type="dxa"/>
            <w:vAlign w:val="bottom"/>
            <w:gridSpan w:val="2"/>
          </w:tcPr>
          <w:p>
            <w:pPr>
              <w:ind w:left="20"/>
              <w:spacing w:after="0"/>
              <w:rPr>
                <w:sz w:val="20"/>
                <w:szCs w:val="20"/>
                <w:color w:val="auto"/>
              </w:rPr>
            </w:pPr>
            <w:r>
              <w:rPr>
                <w:rFonts w:ascii="Arial" w:cs="Arial" w:eastAsia="Arial" w:hAnsi="Arial"/>
                <w:sz w:val="16"/>
                <w:szCs w:val="16"/>
                <w:color w:val="auto"/>
              </w:rPr>
              <w:t>/s/ AVERY W. CATLIN</w:t>
            </w:r>
          </w:p>
        </w:tc>
      </w:tr>
      <w:tr>
        <w:trPr>
          <w:trHeight w:val="90"/>
        </w:trPr>
        <w:tc>
          <w:tcPr>
            <w:tcW w:w="30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r>
      <w:tr>
        <w:trPr>
          <w:trHeight w:val="259"/>
        </w:trPr>
        <w:tc>
          <w:tcPr>
            <w:tcW w:w="30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Name:</w:t>
            </w:r>
          </w:p>
        </w:tc>
        <w:tc>
          <w:tcPr>
            <w:tcW w:w="3640" w:type="dxa"/>
            <w:vAlign w:val="bottom"/>
          </w:tcPr>
          <w:p>
            <w:pPr>
              <w:ind w:left="160"/>
              <w:spacing w:after="0"/>
              <w:rPr>
                <w:sz w:val="20"/>
                <w:szCs w:val="20"/>
                <w:color w:val="auto"/>
              </w:rPr>
            </w:pPr>
            <w:r>
              <w:rPr>
                <w:rFonts w:ascii="Arial" w:cs="Arial" w:eastAsia="Arial" w:hAnsi="Arial"/>
                <w:sz w:val="16"/>
                <w:szCs w:val="16"/>
                <w:color w:val="auto"/>
              </w:rPr>
              <w:t>Avery W. Catlin</w:t>
            </w:r>
          </w:p>
        </w:tc>
      </w:tr>
      <w:tr>
        <w:trPr>
          <w:trHeight w:val="200"/>
        </w:trPr>
        <w:tc>
          <w:tcPr>
            <w:tcW w:w="30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Title:</w:t>
            </w:r>
          </w:p>
        </w:tc>
        <w:tc>
          <w:tcPr>
            <w:tcW w:w="3640" w:type="dxa"/>
            <w:vAlign w:val="bottom"/>
          </w:tcPr>
          <w:p>
            <w:pPr>
              <w:ind w:left="160"/>
              <w:spacing w:after="0"/>
              <w:rPr>
                <w:sz w:val="20"/>
                <w:szCs w:val="20"/>
                <w:color w:val="auto"/>
              </w:rPr>
            </w:pPr>
            <w:r>
              <w:rPr>
                <w:rFonts w:ascii="Arial" w:cs="Arial" w:eastAsia="Arial" w:hAnsi="Arial"/>
                <w:sz w:val="16"/>
                <w:szCs w:val="16"/>
                <w:i w:val="1"/>
                <w:iCs w:val="1"/>
                <w:color w:val="auto"/>
              </w:rPr>
              <w:t>Senior Vice President and</w:t>
            </w:r>
          </w:p>
        </w:tc>
      </w:tr>
      <w:tr>
        <w:trPr>
          <w:trHeight w:val="207"/>
        </w:trPr>
        <w:tc>
          <w:tcPr>
            <w:tcW w:w="30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40" w:type="dxa"/>
            <w:vAlign w:val="bottom"/>
          </w:tcPr>
          <w:p>
            <w:pPr>
              <w:ind w:left="160"/>
              <w:spacing w:after="0"/>
              <w:rPr>
                <w:sz w:val="20"/>
                <w:szCs w:val="20"/>
                <w:color w:val="auto"/>
              </w:rPr>
            </w:pPr>
            <w:r>
              <w:rPr>
                <w:rFonts w:ascii="Arial" w:cs="Arial" w:eastAsia="Arial" w:hAnsi="Arial"/>
                <w:sz w:val="16"/>
                <w:szCs w:val="16"/>
                <w:i w:val="1"/>
                <w:iCs w:val="1"/>
                <w:color w:val="auto"/>
              </w:rPr>
              <w:t>Chief Financial Officer</w:t>
            </w:r>
          </w:p>
        </w:tc>
      </w:tr>
    </w:tbl>
    <w:p>
      <w:pPr>
        <w:spacing w:after="0" w:line="193" w:lineRule="exact"/>
        <w:rPr>
          <w:sz w:val="20"/>
          <w:szCs w:val="20"/>
          <w:color w:val="auto"/>
        </w:rPr>
      </w:pPr>
    </w:p>
    <w:p>
      <w:pPr>
        <w:ind w:firstLine="322"/>
        <w:spacing w:after="0" w:line="290" w:lineRule="auto"/>
        <w:rPr>
          <w:sz w:val="20"/>
          <w:szCs w:val="20"/>
          <w:color w:val="auto"/>
        </w:rPr>
      </w:pPr>
      <w:r>
        <w:rPr>
          <w:rFonts w:ascii="Arial" w:cs="Arial" w:eastAsia="Arial" w:hAnsi="Arial"/>
          <w:sz w:val="16"/>
          <w:szCs w:val="16"/>
          <w:color w:val="auto"/>
        </w:rPr>
        <w:t>This certification shall be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726122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380"/>
          </w:cols>
          <w:pgMar w:left="240" w:top="343" w:right="27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QuickLinks</w:t>
      </w:r>
    </w:p>
    <w:p>
      <w:pPr>
        <w:spacing w:after="0" w:line="208" w:lineRule="exact"/>
        <w:rPr>
          <w:sz w:val="20"/>
          <w:szCs w:val="20"/>
          <w:color w:val="auto"/>
        </w:rPr>
      </w:pPr>
    </w:p>
    <w:p>
      <w:pPr>
        <w:ind w:left="500"/>
        <w:spacing w:after="0"/>
        <w:rPr>
          <w:rFonts w:ascii="Arial" w:cs="Arial" w:eastAsia="Arial" w:hAnsi="Arial"/>
          <w:sz w:val="16"/>
          <w:szCs w:val="16"/>
          <w:u w:val="single" w:color="auto"/>
          <w:color w:val="0000EE"/>
        </w:rPr>
      </w:pPr>
      <w:hyperlink w:anchor="page118">
        <w:r>
          <w:rPr>
            <w:rFonts w:ascii="Arial" w:cs="Arial" w:eastAsia="Arial" w:hAnsi="Arial"/>
            <w:sz w:val="16"/>
            <w:szCs w:val="16"/>
            <w:u w:val="single" w:color="auto"/>
            <w:color w:val="0000EE"/>
          </w:rPr>
          <w:t>Exhibit 32</w:t>
        </w:r>
      </w:hyperlink>
    </w:p>
    <w:p>
      <w:pPr>
        <w:spacing w:after="0" w:line="216" w:lineRule="exact"/>
        <w:rPr>
          <w:sz w:val="20"/>
          <w:szCs w:val="20"/>
          <w:color w:val="auto"/>
        </w:rPr>
      </w:pPr>
    </w:p>
    <w:p>
      <w:pPr>
        <w:spacing w:after="0" w:line="290" w:lineRule="auto"/>
        <w:rPr>
          <w:rFonts w:ascii="Arial" w:cs="Arial" w:eastAsia="Arial" w:hAnsi="Arial"/>
          <w:sz w:val="16"/>
          <w:szCs w:val="16"/>
          <w:u w:val="single" w:color="auto"/>
          <w:color w:val="0000EE"/>
        </w:rPr>
      </w:pPr>
      <w:hyperlink w:anchor="page118">
        <w:r>
          <w:rPr>
            <w:rFonts w:ascii="Arial" w:cs="Arial" w:eastAsia="Arial" w:hAnsi="Arial"/>
            <w:sz w:val="16"/>
            <w:szCs w:val="16"/>
            <w:u w:val="single" w:color="auto"/>
            <w:color w:val="0000EE"/>
          </w:rPr>
          <w:t>CERTIFICATION OF CHIEF EXECUTIVE OFFICER AND CHIEF FINANCIAL OFFICER PURSUANT TO 18 U.S.C. SECTION 1350, AS ADOPTED PURSUANT TO</w:t>
        </w:r>
      </w:hyperlink>
      <w:r>
        <w:rPr>
          <w:rFonts w:ascii="Arial" w:cs="Arial" w:eastAsia="Arial" w:hAnsi="Arial"/>
          <w:sz w:val="16"/>
          <w:szCs w:val="16"/>
          <w:u w:val="single" w:color="auto"/>
          <w:color w:val="0000EE"/>
        </w:rPr>
        <w:t xml:space="preserve"> </w:t>
      </w:r>
      <w:hyperlink w:anchor="page118">
        <w:r>
          <w:rPr>
            <w:rFonts w:ascii="Arial" w:cs="Arial" w:eastAsia="Arial" w:hAnsi="Arial"/>
            <w:sz w:val="16"/>
            <w:szCs w:val="16"/>
            <w:u w:val="single" w:color="auto"/>
            <w:color w:val="0000EE"/>
          </w:rPr>
          <w:t>SECTION 906 OF THE SARBANES-OXLEY ACT OF 2002</w:t>
        </w:r>
      </w:hyperlink>
    </w:p>
    <w:sectPr>
      <w:pgSz w:w="11900" w:h="16838" w:orient="portrait"/>
      <w:cols w:equalWidth="0" w:num="1">
        <w:col w:w="11320"/>
      </w:cols>
      <w:pgMar w:left="24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30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lowerRoman"/>
      <w:start w:val="2"/>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5"/>
    </w:lvl>
  </w:abstractNum>
  <w:abstractNum w:abstractNumId="32">
    <w:nsid w:val="7724C67E"/>
    <w:multiLevelType w:val="hybridMultilevel"/>
    <w:lvl w:ilvl="0">
      <w:lvlJc w:val="left"/>
      <w:lvlText w:val="(%1)"/>
      <w:numFmt w:val="decimal"/>
      <w:start w:val="15"/>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upperLetter"/>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2"/>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2019-12-29T18:03:50Z</dcterms:created>
  <dcterms:modified xsi:type="dcterms:W3CDTF">2019-12-29T18:03:50Z</dcterms:modified>
</cp:coreProperties>
</file>