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4060" w:right="1680" w:hanging="3640"/>
        <w:spacing w:after="0" w:line="532" w:lineRule="auto"/>
        <w:tabs>
          <w:tab w:leader="none" w:pos="11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160" w:hanging="703"/>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000-15006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CELLDEX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13-3191702</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433-0771</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Name of Each Exchange on Which</w:t>
            </w:r>
          </w:p>
        </w:tc>
        <w:tc>
          <w:tcPr>
            <w:tcW w:w="580" w:type="dxa"/>
            <w:vAlign w:val="bottom"/>
          </w:tcPr>
          <w:p>
            <w:pPr>
              <w:spacing w:after="0"/>
              <w:rPr>
                <w:sz w:val="14"/>
                <w:szCs w:val="14"/>
                <w:color w:val="auto"/>
              </w:rPr>
            </w:pPr>
          </w:p>
        </w:tc>
      </w:tr>
      <w:tr>
        <w:trPr>
          <w:trHeight w:val="161"/>
        </w:trPr>
        <w:tc>
          <w:tcPr>
            <w:tcW w:w="20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1200" w:type="dxa"/>
            <w:vAlign w:val="bottom"/>
          </w:tcPr>
          <w:p>
            <w:pPr>
              <w:spacing w:after="0"/>
              <w:rPr>
                <w:sz w:val="14"/>
                <w:szCs w:val="1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Registered:</w:t>
            </w:r>
          </w:p>
        </w:tc>
        <w:tc>
          <w:tcPr>
            <w:tcW w:w="580" w:type="dxa"/>
            <w:vAlign w:val="bottom"/>
          </w:tcPr>
          <w:p>
            <w:pPr>
              <w:spacing w:after="0"/>
              <w:rPr>
                <w:sz w:val="14"/>
                <w:szCs w:val="14"/>
                <w:color w:val="auto"/>
              </w:rPr>
            </w:pPr>
          </w:p>
        </w:tc>
      </w:tr>
      <w:tr>
        <w:trPr>
          <w:trHeight w:val="216"/>
        </w:trPr>
        <w:tc>
          <w:tcPr>
            <w:tcW w:w="202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par value $.001</w:t>
            </w:r>
          </w:p>
        </w:tc>
        <w:tc>
          <w:tcPr>
            <w:tcW w:w="120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Market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24"/>
        </w:trPr>
        <w:tc>
          <w:tcPr>
            <w:tcW w:w="2020" w:type="dxa"/>
            <w:vAlign w:val="bottom"/>
          </w:tcPr>
          <w:p>
            <w:pPr>
              <w:spacing w:after="0"/>
              <w:rPr>
                <w:sz w:val="24"/>
                <w:szCs w:val="24"/>
                <w:color w:val="auto"/>
              </w:rPr>
            </w:pPr>
          </w:p>
        </w:tc>
        <w:tc>
          <w:tcPr>
            <w:tcW w:w="6800" w:type="dxa"/>
            <w:vAlign w:val="bottom"/>
            <w:gridSpan w:val="4"/>
          </w:tcPr>
          <w:p>
            <w:pPr>
              <w:ind w:left="10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80" w:type="dxa"/>
            <w:vAlign w:val="bottom"/>
          </w:tcPr>
          <w:p>
            <w:pPr>
              <w:spacing w:after="0"/>
              <w:rPr>
                <w:sz w:val="24"/>
                <w:szCs w:val="24"/>
                <w:color w:val="auto"/>
              </w:rPr>
            </w:pPr>
          </w:p>
        </w:tc>
      </w:tr>
      <w:tr>
        <w:trPr>
          <w:trHeight w:val="452"/>
        </w:trPr>
        <w:tc>
          <w:tcPr>
            <w:tcW w:w="88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5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2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80" w:type="dxa"/>
            <w:vAlign w:val="bottom"/>
          </w:tcPr>
          <w:p>
            <w:pPr>
              <w:ind w:left="180"/>
              <w:spacing w:after="0" w:line="207" w:lineRule="exact"/>
              <w:rPr>
                <w:sz w:val="20"/>
                <w:szCs w:val="20"/>
                <w:color w:val="auto"/>
              </w:rPr>
            </w:pPr>
            <w:r>
              <w:rPr>
                <w:rFonts w:ascii="Arial" w:cs="Arial" w:eastAsia="Arial" w:hAnsi="Arial"/>
                <w:sz w:val="18"/>
                <w:szCs w:val="18"/>
                <w:color w:val="auto"/>
                <w:w w:val="82"/>
              </w:rPr>
              <w:t xml:space="preserve">No </w:t>
            </w:r>
            <w:r>
              <w:rPr>
                <w:rFonts w:ascii="MS PGothic" w:cs="MS PGothic" w:eastAsia="MS PGothic" w:hAnsi="MS PGothic"/>
                <w:sz w:val="18"/>
                <w:szCs w:val="18"/>
                <w:color w:val="auto"/>
                <w:w w:val="82"/>
              </w:rPr>
              <w:t>☒</w:t>
            </w:r>
          </w:p>
        </w:tc>
      </w:tr>
    </w:tbl>
    <w:p>
      <w:pPr>
        <w:spacing w:after="0" w:line="190" w:lineRule="exact"/>
        <w:rPr>
          <w:sz w:val="24"/>
          <w:szCs w:val="24"/>
          <w:color w:val="auto"/>
        </w:rPr>
      </w:pPr>
    </w:p>
    <w:p>
      <w:pPr>
        <w:ind w:right="3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3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685" w:right="239" w:bottom="0" w:gutter="0" w:footer="0" w:header="0"/>
        </w:sectPr>
      </w:pPr>
    </w:p>
    <w:p>
      <w:pPr>
        <w:spacing w:after="0" w:line="139"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460" w:space="720"/>
            <w:col w:w="1880" w:space="720"/>
            <w:col w:w="2320" w:space="720"/>
            <w:col w:w="2600"/>
          </w:cols>
          <w:pgMar w:left="240" w:top="685" w:right="239" w:bottom="0" w:gutter="0" w:footer="0" w:header="0"/>
          <w:type w:val="continuous"/>
        </w:sectPr>
      </w:pPr>
    </w:p>
    <w:p>
      <w:pPr>
        <w:jc w:val="center"/>
        <w:ind w:left="1760"/>
        <w:spacing w:after="0"/>
        <w:rPr>
          <w:sz w:val="20"/>
          <w:szCs w:val="20"/>
          <w:color w:val="auto"/>
        </w:rPr>
      </w:pPr>
      <w:r>
        <w:rPr>
          <w:rFonts w:ascii="Arial" w:cs="Arial" w:eastAsia="Arial" w:hAnsi="Arial"/>
          <w:sz w:val="14"/>
          <w:szCs w:val="14"/>
          <w:color w:val="auto"/>
        </w:rPr>
        <w:t>(Do not check if a</w:t>
      </w:r>
    </w:p>
    <w:p>
      <w:pPr>
        <w:jc w:val="center"/>
        <w:ind w:left="17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20"/>
          </w:cols>
          <w:pgMar w:left="240" w:top="685" w:right="239" w:bottom="0" w:gutter="0" w:footer="0" w:header="0"/>
          <w:type w:val="continuous"/>
        </w:sectPr>
      </w:pPr>
    </w:p>
    <w:p>
      <w:pPr>
        <w:spacing w:after="0" w:line="217"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2">
            <w:col w:w="8060" w:space="180"/>
            <w:col w:w="3180"/>
          </w:cols>
          <w:pgMar w:left="240" w:top="685" w:right="239" w:bottom="0" w:gutter="0" w:footer="0" w:header="0"/>
          <w:type w:val="continuous"/>
        </w:sectPr>
      </w:pPr>
    </w:p>
    <w:p>
      <w:pPr>
        <w:spacing w:after="0" w:line="60" w:lineRule="exact"/>
        <w:rPr>
          <w:sz w:val="24"/>
          <w:szCs w:val="24"/>
          <w:color w:val="auto"/>
        </w:rPr>
      </w:pPr>
    </w:p>
    <w:p>
      <w:pPr>
        <w:ind w:right="60" w:firstLine="392"/>
        <w:spacing w:after="0" w:line="370" w:lineRule="auto"/>
        <w:rPr>
          <w:sz w:val="20"/>
          <w:szCs w:val="20"/>
          <w:color w:val="auto"/>
        </w:rPr>
      </w:pPr>
      <w:r>
        <w:rPr>
          <w:rFonts w:ascii="Arial" w:cs="Arial" w:eastAsia="Arial" w:hAnsi="Arial"/>
          <w:sz w:val="15"/>
          <w:szCs w:val="15"/>
          <w:color w:val="auto"/>
        </w:rPr>
        <w:t>The aggregate market value of the registrant's common stock held by non-affiliates as of June 30, 2012 was $303.2 million. Exclusion of shares held by any person should not be construed to indicate that such person possesses the power, direct or indirect, to direct or cause the actions of the management or policies of</w:t>
      </w:r>
    </w:p>
    <w:p>
      <w:pPr>
        <w:sectPr>
          <w:pgSz w:w="11900" w:h="16838" w:orient="portrait"/>
          <w:cols w:equalWidth="0" w:num="1">
            <w:col w:w="11420"/>
          </w:cols>
          <w:pgMar w:left="240" w:top="68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registrant, or that such person is controlled by or under common control with the registrant.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common stock outstanding at February 28, 2013 was 80,599,319 shares.</w:t>
      </w:r>
    </w:p>
    <w:p>
      <w:pPr>
        <w:spacing w:after="0" w:line="21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definitive Proxy Statement for our 2013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131" w:right="10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CELLDEX THERAPEUTICS, INC.</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YEAR ENDED DECEMBER 31, 2012</w:t>
      </w:r>
    </w:p>
    <w:p>
      <w:pPr>
        <w:spacing w:after="0" w:line="21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0" w:type="dxa"/>
            <w:vAlign w:val="bottom"/>
            <w:gridSpan w:val="2"/>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Part I</w:t>
              </w:r>
            </w:hyperlink>
          </w:p>
        </w:tc>
        <w:tc>
          <w:tcPr>
            <w:tcW w:w="140" w:type="dxa"/>
            <w:vAlign w:val="bottom"/>
            <w:gridSpan w:val="3"/>
            <w:vMerge w:val="restart"/>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400" w:type="dxa"/>
            <w:vAlign w:val="bottom"/>
            <w:tcBorders>
              <w:bottom w:val="single" w:sz="8" w:color="0000EE"/>
            </w:tcBorders>
            <w:gridSpan w:val="2"/>
            <w:vMerge w:val="continue"/>
          </w:tcPr>
          <w:p>
            <w:pPr>
              <w:spacing w:after="0"/>
              <w:rPr>
                <w:sz w:val="14"/>
                <w:szCs w:val="14"/>
                <w:color w:val="auto"/>
              </w:rPr>
            </w:pPr>
          </w:p>
        </w:tc>
        <w:tc>
          <w:tcPr>
            <w:tcW w:w="1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6">
              <w:r>
                <w:rPr>
                  <w:rFonts w:ascii="Arial" w:cs="Arial" w:eastAsia="Arial" w:hAnsi="Arial"/>
                  <w:sz w:val="16"/>
                  <w:szCs w:val="16"/>
                  <w:color w:val="0000EE"/>
                  <w:w w:val="74"/>
                </w:rPr>
                <w:t>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Item</w:t>
              </w:r>
            </w:hyperlink>
          </w:p>
        </w:tc>
        <w:tc>
          <w:tcPr>
            <w:tcW w:w="28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1A.</w:t>
              </w:r>
            </w:hyperlink>
          </w:p>
        </w:tc>
        <w:tc>
          <w:tcPr>
            <w:tcW w:w="36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6480" w:type="dxa"/>
            <w:vAlign w:val="bottom"/>
            <w:gridSpan w:val="1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Item</w:t>
              </w:r>
            </w:hyperlink>
          </w:p>
        </w:tc>
        <w:tc>
          <w:tcPr>
            <w:tcW w:w="640" w:type="dxa"/>
            <w:vAlign w:val="bottom"/>
            <w:gridSpan w:val="5"/>
          </w:tcPr>
          <w:p>
            <w:pPr>
              <w:ind w:lef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1B.</w:t>
              </w:r>
            </w:hyperlink>
          </w:p>
        </w:tc>
        <w:tc>
          <w:tcPr>
            <w:tcW w:w="738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Item</w:t>
              </w:r>
            </w:hyperlink>
          </w:p>
        </w:tc>
        <w:tc>
          <w:tcPr>
            <w:tcW w:w="140" w:type="dxa"/>
            <w:vAlign w:val="bottom"/>
            <w:tcBorders>
              <w:top w:val="single" w:sz="8" w:color="0000EE"/>
              <w:bottom w:val="single" w:sz="8" w:color="0000EE"/>
            </w:tcBorders>
          </w:tcPr>
          <w:p>
            <w:pPr>
              <w:ind w:left="20"/>
              <w:spacing w:after="0"/>
              <w:rPr>
                <w:rFonts w:ascii="Arial" w:cs="Arial" w:eastAsia="Arial" w:hAnsi="Arial"/>
                <w:sz w:val="16"/>
                <w:szCs w:val="16"/>
                <w:color w:val="0000EE"/>
                <w:w w:val="74"/>
              </w:rPr>
            </w:pPr>
            <w:hyperlink w:anchor="page41">
              <w:r>
                <w:rPr>
                  <w:rFonts w:ascii="Arial" w:cs="Arial" w:eastAsia="Arial" w:hAnsi="Arial"/>
                  <w:sz w:val="16"/>
                  <w:szCs w:val="16"/>
                  <w:color w:val="0000EE"/>
                  <w:w w:val="74"/>
                </w:rPr>
                <w:t>2.</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17"/>
                <w:szCs w:val="17"/>
                <w:color w:val="auto"/>
              </w:rPr>
            </w:pPr>
          </w:p>
        </w:tc>
        <w:tc>
          <w:tcPr>
            <w:tcW w:w="5380" w:type="dxa"/>
            <w:vAlign w:val="bottom"/>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41">
              <w:r>
                <w:rPr>
                  <w:rFonts w:ascii="Arial" w:cs="Arial" w:eastAsia="Arial" w:hAnsi="Arial"/>
                  <w:sz w:val="16"/>
                  <w:szCs w:val="16"/>
                  <w:color w:val="0000EE"/>
                  <w:w w:val="74"/>
                </w:rPr>
                <w:t>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41">
              <w:r>
                <w:rPr>
                  <w:rFonts w:ascii="Arial" w:cs="Arial" w:eastAsia="Arial" w:hAnsi="Arial"/>
                  <w:sz w:val="16"/>
                  <w:szCs w:val="16"/>
                  <w:color w:val="0000EE"/>
                  <w:w w:val="74"/>
                </w:rPr>
                <w:t>4.</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Mine Safety Disclosures</w:t>
              </w:r>
            </w:hyperlink>
          </w:p>
        </w:tc>
        <w:tc>
          <w:tcPr>
            <w:tcW w:w="5640" w:type="dxa"/>
            <w:vAlign w:val="bottom"/>
            <w:gridSpan w:val="1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196"/>
        </w:trPr>
        <w:tc>
          <w:tcPr>
            <w:tcW w:w="4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Part II</w:t>
              </w:r>
            </w:hyperlink>
          </w:p>
        </w:tc>
        <w:tc>
          <w:tcPr>
            <w:tcW w:w="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42">
              <w:r>
                <w:rPr>
                  <w:rFonts w:ascii="Arial" w:cs="Arial" w:eastAsia="Arial" w:hAnsi="Arial"/>
                  <w:sz w:val="16"/>
                  <w:szCs w:val="16"/>
                  <w:color w:val="0000EE"/>
                  <w:w w:val="74"/>
                </w:rPr>
                <w:t>5.</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Market for Registrant's Common Equity, Related Stockholder Matters and Issuer Purchases of Equity</w:t>
              </w:r>
            </w:hyperlink>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2">
              <w:r>
                <w:rPr>
                  <w:rFonts w:ascii="Arial" w:cs="Arial" w:eastAsia="Arial" w:hAnsi="Arial"/>
                  <w:sz w:val="18"/>
                  <w:szCs w:val="18"/>
                  <w:color w:val="0000EE"/>
                  <w:w w:val="85"/>
                </w:rPr>
                <w:t>Securities</w:t>
              </w:r>
            </w:hyperlink>
          </w:p>
        </w:tc>
        <w:tc>
          <w:tcPr>
            <w:tcW w:w="6500" w:type="dxa"/>
            <w:vAlign w:val="bottom"/>
            <w:gridSpan w:val="1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43">
              <w:r>
                <w:rPr>
                  <w:rFonts w:ascii="Arial" w:cs="Arial" w:eastAsia="Arial" w:hAnsi="Arial"/>
                  <w:sz w:val="16"/>
                  <w:szCs w:val="16"/>
                  <w:color w:val="0000EE"/>
                  <w:w w:val="74"/>
                </w:rPr>
                <w:t>6.</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Selected Financial Data</w:t>
              </w:r>
            </w:hyperlink>
          </w:p>
        </w:tc>
        <w:tc>
          <w:tcPr>
            <w:tcW w:w="5700" w:type="dxa"/>
            <w:vAlign w:val="bottom"/>
            <w:gridSpan w:val="1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38</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45">
              <w:r>
                <w:rPr>
                  <w:rFonts w:ascii="Arial" w:cs="Arial" w:eastAsia="Arial" w:hAnsi="Arial"/>
                  <w:sz w:val="16"/>
                  <w:szCs w:val="16"/>
                  <w:color w:val="0000EE"/>
                  <w:w w:val="74"/>
                </w:rPr>
                <w:t>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6">
              <w:r>
                <w:rPr>
                  <w:rFonts w:ascii="Arial" w:cs="Arial" w:eastAsia="Arial" w:hAnsi="Arial"/>
                  <w:sz w:val="18"/>
                  <w:szCs w:val="18"/>
                  <w:color w:val="0000EE"/>
                  <w:w w:val="96"/>
                </w:rPr>
                <w:t>Item</w:t>
              </w:r>
            </w:hyperlink>
          </w:p>
        </w:tc>
        <w:tc>
          <w:tcPr>
            <w:tcW w:w="28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7A.</w:t>
              </w:r>
            </w:hyperlink>
          </w:p>
        </w:tc>
        <w:tc>
          <w:tcPr>
            <w:tcW w:w="360" w:type="dxa"/>
            <w:vAlign w:val="bottom"/>
          </w:tcPr>
          <w:p>
            <w:pPr>
              <w:spacing w:after="0"/>
              <w:rPr>
                <w:sz w:val="17"/>
                <w:szCs w:val="17"/>
                <w:color w:val="auto"/>
              </w:rPr>
            </w:pPr>
          </w:p>
        </w:tc>
        <w:tc>
          <w:tcPr>
            <w:tcW w:w="42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Quantitative and Qualitative Disclosures About Market Risk</w:t>
              </w:r>
            </w:hyperlink>
          </w:p>
        </w:tc>
        <w:tc>
          <w:tcPr>
            <w:tcW w:w="312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67">
              <w:r>
                <w:rPr>
                  <w:rFonts w:ascii="Arial" w:cs="Arial" w:eastAsia="Arial" w:hAnsi="Arial"/>
                  <w:sz w:val="16"/>
                  <w:szCs w:val="16"/>
                  <w:color w:val="0000EE"/>
                  <w:w w:val="74"/>
                </w:rPr>
                <w:t>8.</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Financial Statements and Supplementary Data</w:t>
              </w:r>
            </w:hyperlink>
          </w:p>
        </w:tc>
        <w:tc>
          <w:tcPr>
            <w:tcW w:w="4120" w:type="dxa"/>
            <w:vAlign w:val="bottom"/>
            <w:gridSpan w:val="8"/>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97">
              <w:r>
                <w:rPr>
                  <w:rFonts w:ascii="Arial" w:cs="Arial" w:eastAsia="Arial" w:hAnsi="Arial"/>
                  <w:sz w:val="16"/>
                  <w:szCs w:val="16"/>
                  <w:color w:val="0000EE"/>
                  <w:w w:val="74"/>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3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Changes in and Disagreements With Accountants on Accounting and Financial Disclosure</w:t>
              </w:r>
            </w:hyperlink>
          </w:p>
        </w:tc>
        <w:tc>
          <w:tcPr>
            <w:tcW w:w="1020" w:type="dxa"/>
            <w:vAlign w:val="bottom"/>
            <w:gridSpan w:val="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92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Item</w:t>
              </w:r>
            </w:hyperlink>
          </w:p>
        </w:tc>
        <w:tc>
          <w:tcPr>
            <w:tcW w:w="28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9A.</w:t>
              </w:r>
            </w:hyperlink>
          </w:p>
        </w:tc>
        <w:tc>
          <w:tcPr>
            <w:tcW w:w="360" w:type="dxa"/>
            <w:vAlign w:val="bottom"/>
          </w:tcPr>
          <w:p>
            <w:pPr>
              <w:spacing w:after="0"/>
              <w:rPr>
                <w:sz w:val="17"/>
                <w:szCs w:val="17"/>
                <w:color w:val="auto"/>
              </w:rPr>
            </w:pP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97">
              <w:r>
                <w:rPr>
                  <w:rFonts w:ascii="Arial" w:cs="Arial" w:eastAsia="Arial" w:hAnsi="Arial"/>
                  <w:sz w:val="18"/>
                  <w:szCs w:val="18"/>
                  <w:color w:val="0000EE"/>
                  <w:w w:val="86"/>
                </w:rPr>
                <w:t>Controls and Procedures</w:t>
              </w:r>
            </w:hyperlink>
          </w:p>
        </w:tc>
        <w:tc>
          <w:tcPr>
            <w:tcW w:w="5640" w:type="dxa"/>
            <w:vAlign w:val="bottom"/>
            <w:gridSpan w:val="1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92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Item</w:t>
              </w:r>
            </w:hyperlink>
          </w:p>
        </w:tc>
        <w:tc>
          <w:tcPr>
            <w:tcW w:w="640" w:type="dxa"/>
            <w:vAlign w:val="bottom"/>
            <w:gridSpan w:val="5"/>
          </w:tcPr>
          <w:p>
            <w:pPr>
              <w:ind w:left="20"/>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9B.</w:t>
              </w:r>
            </w:hyperlink>
          </w:p>
        </w:tc>
        <w:tc>
          <w:tcPr>
            <w:tcW w:w="738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98">
              <w:r>
                <w:rPr>
                  <w:rFonts w:ascii="Arial" w:cs="Arial" w:eastAsia="Arial" w:hAnsi="Arial"/>
                  <w:sz w:val="18"/>
                  <w:szCs w:val="18"/>
                  <w:color w:val="0000EE"/>
                  <w:w w:val="94"/>
                </w:rPr>
                <w:t>Part III</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Item</w:t>
              </w:r>
            </w:hyperlink>
          </w:p>
        </w:tc>
        <w:tc>
          <w:tcPr>
            <w:tcW w:w="2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10.</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Directors, Executive Officers and Corporate Governance</w:t>
              </w:r>
            </w:hyperlink>
          </w:p>
        </w:tc>
        <w:tc>
          <w:tcPr>
            <w:tcW w:w="3380" w:type="dxa"/>
            <w:vAlign w:val="bottom"/>
            <w:gridSpan w:val="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93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Item</w:t>
              </w:r>
            </w:hyperlink>
          </w:p>
        </w:tc>
        <w:tc>
          <w:tcPr>
            <w:tcW w:w="220" w:type="dxa"/>
            <w:vAlign w:val="bottom"/>
            <w:gridSpan w:val="2"/>
          </w:tcPr>
          <w:p>
            <w:pPr>
              <w:ind w:left="20"/>
              <w:spacing w:after="0" w:line="196" w:lineRule="exact"/>
              <w:rPr>
                <w:rFonts w:ascii="Arial" w:cs="Arial" w:eastAsia="Arial" w:hAnsi="Arial"/>
                <w:sz w:val="18"/>
                <w:szCs w:val="18"/>
                <w:color w:val="0000EE"/>
                <w:w w:val="71"/>
              </w:rPr>
            </w:pPr>
            <w:hyperlink w:anchor="page98">
              <w:r>
                <w:rPr>
                  <w:rFonts w:ascii="Arial" w:cs="Arial" w:eastAsia="Arial" w:hAnsi="Arial"/>
                  <w:sz w:val="18"/>
                  <w:szCs w:val="18"/>
                  <w:color w:val="0000EE"/>
                  <w:w w:val="71"/>
                </w:rPr>
                <w:t>11.</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Executive Compensation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Item</w:t>
              </w:r>
            </w:hyperlink>
          </w:p>
        </w:tc>
        <w:tc>
          <w:tcPr>
            <w:tcW w:w="2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12.</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Security Ownership of Certain Beneficial Owners and Management and Related Stockholder Matters</w:t>
              </w:r>
            </w:hyperlink>
          </w:p>
        </w:tc>
        <w:tc>
          <w:tcPr>
            <w:tcW w:w="26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93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Item</w:t>
              </w:r>
            </w:hyperlink>
          </w:p>
        </w:tc>
        <w:tc>
          <w:tcPr>
            <w:tcW w:w="260" w:type="dxa"/>
            <w:vAlign w:val="bottom"/>
            <w:gridSpan w:val="3"/>
          </w:tcPr>
          <w:p>
            <w:pPr>
              <w:ind w:left="20"/>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13.</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Certain Relationships and Related Transactions, and Director Independence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99">
              <w:r>
                <w:rPr>
                  <w:rFonts w:ascii="Arial" w:cs="Arial" w:eastAsia="Arial" w:hAnsi="Arial"/>
                  <w:sz w:val="18"/>
                  <w:szCs w:val="18"/>
                  <w:color w:val="0000EE"/>
                  <w:w w:val="96"/>
                </w:rPr>
                <w:t>Item</w:t>
              </w:r>
            </w:hyperlink>
          </w:p>
        </w:tc>
        <w:tc>
          <w:tcPr>
            <w:tcW w:w="26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14.</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Principal Accountant Fees and Services</w:t>
              </w:r>
            </w:hyperlink>
          </w:p>
        </w:tc>
        <w:tc>
          <w:tcPr>
            <w:tcW w:w="2520" w:type="dxa"/>
            <w:vAlign w:val="bottom"/>
            <w:tcBorders>
              <w:top w:val="single" w:sz="8" w:color="0000EE"/>
            </w:tcBorders>
            <w:gridSpan w:val="5"/>
          </w:tcPr>
          <w:p>
            <w:pPr>
              <w:spacing w:after="0"/>
              <w:rPr>
                <w:sz w:val="17"/>
                <w:szCs w:val="17"/>
                <w:color w:val="auto"/>
              </w:rPr>
            </w:pPr>
          </w:p>
        </w:tc>
        <w:tc>
          <w:tcPr>
            <w:tcW w:w="2060" w:type="dxa"/>
            <w:vAlign w:val="bottom"/>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94</w:t>
              </w:r>
            </w:hyperlink>
          </w:p>
        </w:tc>
        <w:tc>
          <w:tcPr>
            <w:tcW w:w="0" w:type="dxa"/>
            <w:vAlign w:val="bottom"/>
          </w:tcPr>
          <w:p>
            <w:pPr>
              <w:spacing w:after="0"/>
              <w:rPr>
                <w:sz w:val="1"/>
                <w:szCs w:val="1"/>
                <w:color w:val="auto"/>
              </w:rPr>
            </w:pPr>
          </w:p>
        </w:tc>
      </w:tr>
      <w:tr>
        <w:trPr>
          <w:trHeight w:val="196"/>
        </w:trPr>
        <w:tc>
          <w:tcPr>
            <w:tcW w:w="540" w:type="dxa"/>
            <w:vAlign w:val="bottom"/>
            <w:gridSpan w:val="5"/>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Part IV</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Item</w:t>
              </w:r>
            </w:hyperlink>
          </w:p>
        </w:tc>
        <w:tc>
          <w:tcPr>
            <w:tcW w:w="20" w:type="dxa"/>
            <w:vAlign w:val="bottom"/>
            <w:tcBorders>
              <w:bottom w:val="single" w:sz="8" w:color="0000EE"/>
            </w:tcBorders>
          </w:tcPr>
          <w:p>
            <w:pPr>
              <w:spacing w:after="0"/>
              <w:rPr>
                <w:sz w:val="17"/>
                <w:szCs w:val="17"/>
                <w:color w:val="auto"/>
              </w:rPr>
            </w:pPr>
          </w:p>
        </w:tc>
        <w:tc>
          <w:tcPr>
            <w:tcW w:w="2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15.</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Exhibits, Financial Statement Schedules</w:t>
              </w:r>
            </w:hyperlink>
          </w:p>
        </w:tc>
        <w:tc>
          <w:tcPr>
            <w:tcW w:w="4540" w:type="dxa"/>
            <w:vAlign w:val="bottom"/>
            <w:gridSpan w:val="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95</w:t>
              </w:r>
            </w:hyperlink>
          </w:p>
        </w:tc>
        <w:tc>
          <w:tcPr>
            <w:tcW w:w="0" w:type="dxa"/>
            <w:vAlign w:val="bottom"/>
          </w:tcPr>
          <w:p>
            <w:pPr>
              <w:spacing w:after="0"/>
              <w:rPr>
                <w:sz w:val="1"/>
                <w:szCs w:val="1"/>
                <w:color w:val="auto"/>
              </w:rPr>
            </w:pPr>
          </w:p>
        </w:tc>
      </w:tr>
      <w:tr>
        <w:trPr>
          <w:trHeight w:val="196"/>
        </w:trPr>
        <w:tc>
          <w:tcPr>
            <w:tcW w:w="760" w:type="dxa"/>
            <w:vAlign w:val="bottom"/>
            <w:gridSpan w:val="7"/>
          </w:tcPr>
          <w:p>
            <w:pPr>
              <w:spacing w:after="0" w:line="196" w:lineRule="exact"/>
              <w:rPr>
                <w:rFonts w:ascii="Arial" w:cs="Arial" w:eastAsia="Arial" w:hAnsi="Arial"/>
                <w:sz w:val="18"/>
                <w:szCs w:val="18"/>
                <w:color w:val="0000EE"/>
                <w:w w:val="85"/>
              </w:rPr>
            </w:pPr>
            <w:hyperlink w:anchor="page106">
              <w:r>
                <w:rPr>
                  <w:rFonts w:ascii="Arial" w:cs="Arial" w:eastAsia="Arial" w:hAnsi="Arial"/>
                  <w:sz w:val="18"/>
                  <w:szCs w:val="18"/>
                  <w:color w:val="0000EE"/>
                  <w:w w:val="85"/>
                </w:rPr>
                <w:t>Signatures</w:t>
              </w:r>
            </w:hyperlink>
          </w:p>
        </w:tc>
        <w:tc>
          <w:tcPr>
            <w:tcW w:w="4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Annual Report on Form 10-K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sufficient capital to fund our clinical studies to meet our long-term liquidity needs, on terms acceptable to us, or at all;</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commercialization of rindopepimut, CDX-011 and other drug candidates and the growth of the markets for those drug candidates;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our Phase 3 trial for rindopepimut;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cost, timing, scope and results of ongoing safety and efficacy trials of rindopepimut, CDX-011 and other preclinical and clinical testing;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commercialization of rindopepimut for North America internally;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negotiate strategic partnerships, where appropriate, for our programs which may include rindopepimut outside of North America;</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targeted immunotherapeutics;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Celldex Therapeutics, Inc., which we refer to as "Celldex," "we," "us," "our" or the "Company," is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w:t>
      </w:r>
    </w:p>
    <w:p>
      <w:pPr>
        <w:spacing w:after="0" w:line="17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lead drug candidates include rindopepimut (CDX-110), a targeted immunotherapeutic in a pivotal Phase 3 study for the treatment of front-line glioblastoma and a Phase 2 study for the treatment of recurrent glioblastoma and CDX-011, an antibody-drug conjugate which recently completed a randomized Phase 2b study for the treatment of advanced breast cancer. In addition, we have a number of earlier stage candidates in clinical development, including CDX-1135, a molecule that inhibits a part of the immune system called the complement system, CDX-1127, a therapeutic fully human monoclonal antibody for cancer indications, CDX-301, an immune cell mobilizing agent and dendritic cell growth factor and CDX-1401, an APC Targeting Technology™ program for cancer indications. Our drug candidates address market opportunities for which we believe current therapies are inadequate or non-existent.</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1000" w:type="dxa"/>
            <w:vAlign w:val="bottom"/>
          </w:tcPr>
          <w:p>
            <w:pPr>
              <w:spacing w:after="0"/>
              <w:rPr>
                <w:sz w:val="14"/>
                <w:szCs w:val="14"/>
                <w:color w:val="auto"/>
              </w:rPr>
            </w:pPr>
          </w:p>
        </w:tc>
        <w:tc>
          <w:tcPr>
            <w:tcW w:w="3340" w:type="dxa"/>
            <w:vAlign w:val="bottom"/>
          </w:tcPr>
          <w:p>
            <w:pPr>
              <w:ind w:left="120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Partner</w:t>
            </w:r>
          </w:p>
        </w:tc>
        <w:tc>
          <w:tcPr>
            <w:tcW w:w="16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CDX-110</w:t>
            </w: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Front-line glioblastoma</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3</w:t>
            </w:r>
          </w:p>
        </w:tc>
      </w:tr>
      <w:tr>
        <w:trPr>
          <w:trHeight w:val="223"/>
        </w:trPr>
        <w:tc>
          <w:tcPr>
            <w:tcW w:w="20" w:type="dxa"/>
            <w:vAlign w:val="bottom"/>
          </w:tcPr>
          <w:p>
            <w:pPr>
              <w:spacing w:after="0"/>
              <w:rPr>
                <w:sz w:val="19"/>
                <w:szCs w:val="19"/>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rPr>
              <w:t>(rindopepimut)</w:t>
            </w:r>
          </w:p>
        </w:tc>
        <w:tc>
          <w:tcPr>
            <w:tcW w:w="10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CDX-011</w:t>
            </w:r>
          </w:p>
        </w:tc>
        <w:tc>
          <w:tcPr>
            <w:tcW w:w="4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Metastatic breast cancer and melanoma</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Phase 2b</w:t>
            </w:r>
          </w:p>
        </w:tc>
      </w:tr>
      <w:tr>
        <w:trPr>
          <w:trHeight w:val="224"/>
        </w:trPr>
        <w:tc>
          <w:tcPr>
            <w:tcW w:w="20" w:type="dxa"/>
            <w:vAlign w:val="bottom"/>
          </w:tcPr>
          <w:p>
            <w:pPr>
              <w:spacing w:after="0"/>
              <w:rPr>
                <w:sz w:val="19"/>
                <w:szCs w:val="19"/>
                <w:color w:val="auto"/>
              </w:rPr>
            </w:pPr>
          </w:p>
        </w:tc>
        <w:tc>
          <w:tcPr>
            <w:tcW w:w="3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(glembatumumab vedotin)</w:t>
            </w:r>
          </w:p>
        </w:tc>
        <w:tc>
          <w:tcPr>
            <w:tcW w:w="100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CDX-110</w:t>
            </w: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Recurrent glioblastoma</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2</w:t>
            </w:r>
          </w:p>
        </w:tc>
      </w:tr>
      <w:tr>
        <w:trPr>
          <w:trHeight w:val="223"/>
        </w:trPr>
        <w:tc>
          <w:tcPr>
            <w:tcW w:w="20" w:type="dxa"/>
            <w:vAlign w:val="bottom"/>
          </w:tcPr>
          <w:p>
            <w:pPr>
              <w:spacing w:after="0"/>
              <w:rPr>
                <w:sz w:val="19"/>
                <w:szCs w:val="19"/>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rPr>
              <w:t>(rindopepimut)</w:t>
            </w:r>
          </w:p>
        </w:tc>
        <w:tc>
          <w:tcPr>
            <w:tcW w:w="10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CDX-1135</w:t>
            </w:r>
          </w:p>
        </w:tc>
        <w:tc>
          <w:tcPr>
            <w:tcW w:w="4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Renal disease</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Pilot</w:t>
            </w:r>
          </w:p>
        </w:tc>
      </w:tr>
      <w:tr>
        <w:trPr>
          <w:trHeight w:val="216"/>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CDX-1127</w:t>
            </w: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Lymphoma/leukemia and solid tumors</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CDX-301</w:t>
            </w:r>
          </w:p>
        </w:tc>
        <w:tc>
          <w:tcPr>
            <w:tcW w:w="4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4"/>
              </w:rPr>
              <w:t>Cancer, autoimmune disease and transplant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CDX-1401</w:t>
            </w: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Multiple solid tumors</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10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CDX-014</w:t>
            </w: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Ovarian and renal cancer</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7"/>
              </w:rPr>
              <w:t>Preclinical</w:t>
            </w:r>
          </w:p>
        </w:tc>
      </w:tr>
    </w:tbl>
    <w:p>
      <w:pPr>
        <w:spacing w:after="0" w:line="20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Our success has depended and will continue to depend upon many factors, including our ability, and that of our licensees and collaborators, to successfully develop, obtain regulatory approval for and commercialize our drug candidates. We have had no commercial revenues from sales of our drug candidates and we have had a history of operating losses. It is possible that we may not be able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86"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 xml:space="preserve">We are incorporated in Delaware. Our website is located at </w:t>
      </w:r>
      <w:r>
        <w:rPr>
          <w:rFonts w:ascii="Arial" w:cs="Arial" w:eastAsia="Arial" w:hAnsi="Arial"/>
          <w:sz w:val="16"/>
          <w:szCs w:val="16"/>
          <w:i w:val="1"/>
          <w:iCs w:val="1"/>
          <w:color w:val="auto"/>
        </w:rPr>
        <w:t>http://www.celldextherapeutics.com.</w:t>
      </w:r>
      <w:r>
        <w:rPr>
          <w:rFonts w:ascii="Arial" w:cs="Arial" w:eastAsia="Arial" w:hAnsi="Arial"/>
          <w:sz w:val="16"/>
          <w:szCs w:val="16"/>
          <w:color w:val="auto"/>
        </w:rPr>
        <w:t xml:space="preserve"> On our website, investors can obtain, free of charge, a copy of our Annual Report on Form 10-K, Quarterly Reports on Form 10-Q, Current Reports on Form 8-K, and other reports filed or furnished pursuant to</w:t>
      </w:r>
    </w:p>
    <w:p>
      <w:pPr>
        <w:ind w:right="60"/>
        <w:spacing w:after="0" w:line="323" w:lineRule="auto"/>
        <w:rPr>
          <w:sz w:val="20"/>
          <w:szCs w:val="20"/>
          <w:color w:val="auto"/>
        </w:rPr>
      </w:pPr>
      <w:r>
        <w:rPr>
          <w:rFonts w:ascii="Arial" w:cs="Arial" w:eastAsia="Arial" w:hAnsi="Arial"/>
          <w:sz w:val="16"/>
          <w:szCs w:val="16"/>
          <w:color w:val="auto"/>
        </w:rPr>
        <w:t>Section 13(a) or 15(d) of the Exchange Act of 1934, as amended, as soon as reasonably practicable after we file such material electronically with, or furnish it to, the Securities and Exchange Commission, or SEC. None of the information posted on our website is incorporated by reference into this Annual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lead clinical development program, rindopepimut, is a targeted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or GB, tumors, also referred to as glioblastoma multiforme, or GBM,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 The FDA has also granted Fast Track designation.</w:t>
      </w:r>
    </w:p>
    <w:p>
      <w:pPr>
        <w:spacing w:after="0" w:line="172" w:lineRule="exact"/>
        <w:rPr>
          <w:sz w:val="20"/>
          <w:szCs w:val="20"/>
          <w:color w:val="auto"/>
        </w:rPr>
      </w:pPr>
    </w:p>
    <w:p>
      <w:pPr>
        <w:jc w:val="both"/>
        <w:ind w:right="260" w:firstLine="351"/>
        <w:spacing w:after="0" w:line="256" w:lineRule="auto"/>
        <w:rPr>
          <w:sz w:val="20"/>
          <w:szCs w:val="20"/>
          <w:color w:val="auto"/>
        </w:rPr>
      </w:pPr>
      <w:r>
        <w:rPr>
          <w:rFonts w:ascii="Arial" w:cs="Arial" w:eastAsia="Arial" w:hAnsi="Arial"/>
          <w:sz w:val="18"/>
          <w:szCs w:val="18"/>
          <w:color w:val="auto"/>
        </w:rPr>
        <w:t>In April 2008, we and Pfizer Inc. entered into a License and Development Agreement under which Pfizer was granted an exclusive worldwide license to rindopepimut. This agreement provided for reimbursement by Pfizer of all costs incurred by us in connection with the collaboration since the effective date. In November 2010, the agreement was terminated and all rights to rindopepimut were returned to us. Since the termination of this agreement, Pfizer is no longer funding the development of rindopepimut.</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 patients. An extension of the Phase 2a study referred to as ACT II evaluated 22 additional GB patients treated in combination with the current standard of care, maintenance temozolomide, or TMZ, at the same two institutions.</w:t>
      </w:r>
    </w:p>
    <w:p>
      <w:pPr>
        <w:spacing w:after="0" w:line="197"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initiated ACT III, a Phase 2b/3 randomized study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 TMZ.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November 2012, we announced three-year survival data for each of our three Phase 2 studies in rindopepimut, ACT III, ACT II and ACTIVATE. The median overall survival, or OS, in ACT III was 24.6 months from diagnosis (21.8 months from study entry) and OS was 26% at three years. The median OS in ACT II was 24.4 months from diagnosis (20.5 months from study entry) and OS was 23% at three years. The median OS in ACTIVATE was 24.6 months from diagnosis (20.4 months from study entry) and OS was 33% at three years. In addition we also announced data from a retrospective analysis of EGFRvIII expression status and associated clinical outcome in the Phase 3 Radiation Therapy Oncology Group's, or RTOG, 0525 study. This analysis was conducted by The University of Texas MD Anderson Cancer Center in cooperation with RTOG to provide an assessment of the prognosis for patients with EGFRvIII-positive disease contemporary with the ACT III data. Across three Phase 2 studies of rindopepimut, survival data remains consistent and suggests a continuing survival benefit in comparison to independent control datasets (see chart below) at the median and at three years.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Rindopepimut Overall Survival (OS) in EGFRvIII-Positive Glioblastoma vs Independent Control Datasets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Rindopepimut Phase 2 Studies (all data from study entry)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Medium</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OS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6"/>
              </w:rPr>
              <w:t>(months)</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3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ACT III (n=65)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8"/>
                <w:szCs w:val="18"/>
                <w:color w:val="auto"/>
              </w:rPr>
              <w:t>ACT II (n=22)</w:t>
            </w: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ACTIVATE (n=18)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160" w:type="dxa"/>
            <w:vAlign w:val="bottom"/>
            <w:gridSpan w:val="3"/>
          </w:tcPr>
          <w:p>
            <w:pPr>
              <w:ind w:left="20"/>
              <w:spacing w:after="0"/>
              <w:rPr>
                <w:sz w:val="20"/>
                <w:szCs w:val="20"/>
                <w:color w:val="auto"/>
              </w:rPr>
            </w:pPr>
            <w:r>
              <w:rPr>
                <w:rFonts w:ascii="Arial" w:cs="Arial" w:eastAsia="Arial" w:hAnsi="Arial"/>
                <w:sz w:val="18"/>
                <w:szCs w:val="18"/>
                <w:b w:val="1"/>
                <w:bCs w:val="1"/>
                <w:color w:val="auto"/>
              </w:rPr>
              <w:t>Independent Control Datasets (all data from study entry)</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MD Anderson EGFRvIII-positive patients matched(1) to ACTIVATE patient population (n=17)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4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(contemporary with ACTIVATE)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8"/>
                <w:szCs w:val="18"/>
                <w:color w:val="auto"/>
                <w:w w:val="98"/>
              </w:rPr>
              <w:t>Radiation Therapy Oncology Group (RTOG) 0525 study—all EGFRvIII-positive patients (n=142)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gridSpan w:val="4"/>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RTOG 0525 study—all EGFRvIII-positive patients treated with standard dose temozolomide (n=62)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4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8"/>
                <w:szCs w:val="18"/>
                <w:color w:val="auto"/>
                <w:w w:val="96"/>
              </w:rPr>
              <w:t>RTOG 0525 study—EGFRvIII-positive patients matched(1) to ACT III/IV patient population (n=29)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gridSpan w:val="4"/>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4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Controls are closely matched to rindopepimut patient criteria including gross total resection of patient tumor and ~3 months without disease progression at time of study entry</w:t>
      </w:r>
    </w:p>
    <w:p>
      <w:pPr>
        <w:spacing w:after="0" w:line="212" w:lineRule="exact"/>
        <w:rPr>
          <w:rFonts w:ascii="Arial" w:cs="Arial" w:eastAsia="Arial" w:hAnsi="Arial"/>
          <w:sz w:val="18"/>
          <w:szCs w:val="18"/>
          <w:color w:val="auto"/>
        </w:rPr>
      </w:pPr>
    </w:p>
    <w:p>
      <w:pPr>
        <w:ind w:left="1680" w:right="72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to provide comparable timeframes across datasets, data have been estimated assuming study entry at three months from diagnosis.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rindopepimut in patients with surgically resected, EGFRvIII-positive GB. Patients are randomized after the completion of surgery and standard chemoradiation treatment. The treatment regime includes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 after Gross Total Resection, or GTR, when compared to treatment with TMZ and a control injection of KLH. KLH is a component of rindopepimut and was selected due to its ability to generate a similar injection site reaction to that observed with rindopepimut. ACT IV will enroll up to 440 patients at over 150 centers worldwide to recruit approximately 374 patients with GTR to be included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primary analysis. We expect to complete patient accrual by the end of 2013 and anticipate receiving data 18 to 24 months after completing accrual. We anticipate ACT IV to cost over $60 million during its duration.</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December 2011, we also initiated ReACT, a Phase 2 study of rindopepimut in combination with Avastin® in patients with recurrent EGFRvIII-positive GB. ReACT will enroll approximately 95 patients in a first or second relapse of GB following receipt of standard therapy and will be conducted at approximately 20 sites across the United States. Approximately 70 patients who have yet to receive Avastin will be randomized to receive either rindopepimut and Avastin or a control injection of KLH and Avastin in a blinded fashion. Another 25 patients who are refractory to Avastin having received Avastin in either the frontline or recurrent setting with subsequent progression will receive rindopepimut plus Avastin in a single treatment arm. We expect data from this study to be available in the second half of 2013.</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researchers at Stanford University are conducting an investigator sponsored, pilot trial of rindopepimut in pediatric patients with pontine glioma.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ongoing for this trial.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CDX-011 is an antibody-drug conjugate, or ADC, that consists of a fully-human monoclonal antibody, CR011, linked to a potent cell-killing drug, monomethyl-auristatin E, or MMAE. The CR011 antibody specifically targets glycoprotein NMB, referred to as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The FDA has granted Fast Track designation to CDX-011 for the treatment of advanced, refractory/resistant GPNMB-expressing breast cancer.</w:t>
      </w:r>
    </w:p>
    <w:p>
      <w:pPr>
        <w:spacing w:after="0" w:line="168" w:lineRule="exact"/>
        <w:rPr>
          <w:sz w:val="20"/>
          <w:szCs w:val="20"/>
          <w:color w:val="auto"/>
        </w:rPr>
      </w:pPr>
    </w:p>
    <w:p>
      <w:pPr>
        <w:jc w:val="both"/>
        <w:ind w:right="80" w:firstLine="348"/>
        <w:spacing w:after="0" w:line="310"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 every</w:t>
      </w:r>
      <w:r>
        <w:rPr>
          <w:rFonts w:ascii="Arial" w:cs="Arial" w:eastAsia="Arial" w:hAnsi="Arial"/>
          <w:sz w:val="16"/>
          <w:szCs w:val="16"/>
          <w:b w:val="1"/>
          <w:bCs w:val="1"/>
          <w:color w:val="auto"/>
        </w:rPr>
        <w:t xml:space="preserve"> </w:t>
      </w:r>
      <w:r>
        <w:rPr>
          <w:rFonts w:ascii="Arial" w:cs="Arial" w:eastAsia="Arial" w:hAnsi="Arial"/>
          <w:sz w:val="16"/>
          <w:szCs w:val="16"/>
          <w:color w:val="auto"/>
        </w:rPr>
        <w:t>three weeks to patients with locally advanced or metastatic breast cancer who had received prior therapy (median of seven prior regimens). The study began with a bridging phase to confirm the maximum tolerated dose, or MTD, and then expanded into a Phase 2 open-label, multi-center study.</w:t>
      </w:r>
    </w:p>
    <w:p>
      <w:pPr>
        <w:spacing w:after="0" w:line="15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in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December 2011, we completed enrollment of EMERGE, a randomized, multi-center Phase 2b study of CDX-011 in 122 patients with heavily pre-treated, advanced, GPNMB positive breast cancer.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Patients were randomized (2:1) to receive either CDX-011 or single-agent Investigator's Choice, or IC, chemotherapy. Patients randomized to receive IC were allowed to cross over to receive CDX-011 following disease progression. Activity endpoints include response rate, PFS and OS.</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December 2012, we announced final results, as shown below, from the EMERGE study which suggested that CDX-011 induces significant response rates compared to currently available therapies in patient subsets with advanced, refractory breast cancers with GPNMB over-expression (expression in greater than 25% of tumor cells) and in patients with triple negative breast cancer. The overall survival, or OS, and progression free survival, or PFS, of patients treated with CDX-011 was also observed to be greatest in patients with triple negative breast cancer who also over-express GPNMB and all patients with GPNMB over-expression.</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On target effect clearly demonstrated</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in targeted patient populations</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Triple Negative</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95"/>
              </w:rPr>
              <w:t>GPNMB</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and GPNMB</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All Patients</w:t>
            </w:r>
          </w:p>
        </w:tc>
        <w:tc>
          <w:tcPr>
            <w:tcW w:w="1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Triple Negative</w:t>
            </w:r>
          </w:p>
        </w:tc>
        <w:tc>
          <w:tcPr>
            <w:tcW w:w="16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Over-Expression</w:t>
            </w: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Over-Expression</w:t>
            </w: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CDX-011</w:t>
            </w:r>
          </w:p>
        </w:tc>
        <w:tc>
          <w:tcPr>
            <w:tcW w:w="60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IC</w:t>
            </w: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CDX-011</w:t>
            </w:r>
          </w:p>
        </w:tc>
        <w:tc>
          <w:tcPr>
            <w:tcW w:w="5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IC</w:t>
            </w:r>
          </w:p>
        </w:tc>
        <w:tc>
          <w:tcPr>
            <w:tcW w:w="160" w:type="dxa"/>
            <w:vAlign w:val="bottom"/>
          </w:tcPr>
          <w:p>
            <w:pPr>
              <w:spacing w:after="0"/>
              <w:rPr>
                <w:sz w:val="12"/>
                <w:szCs w:val="12"/>
                <w:color w:val="auto"/>
              </w:rPr>
            </w:pPr>
          </w:p>
        </w:tc>
        <w:tc>
          <w:tcPr>
            <w:tcW w:w="98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CDX-011</w:t>
            </w:r>
          </w:p>
        </w:tc>
        <w:tc>
          <w:tcPr>
            <w:tcW w:w="46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IC</w:t>
            </w: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CDX-011</w:t>
            </w:r>
          </w:p>
        </w:tc>
        <w:tc>
          <w:tcPr>
            <w:tcW w:w="58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IC</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(n=81)</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(n=36)</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(n=27)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(n=9)</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(n=25)</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8"/>
              </w:rPr>
              <w:t>(n=8)</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(n=12)</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(n=4)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Response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Disease Control Rate</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102"/>
        </w:trPr>
        <w:tc>
          <w:tcPr>
            <w:tcW w:w="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140" w:right="80"/>
        <w:spacing w:after="0" w:line="259" w:lineRule="auto"/>
        <w:rPr>
          <w:sz w:val="20"/>
          <w:szCs w:val="20"/>
          <w:color w:val="auto"/>
        </w:rPr>
      </w:pPr>
      <w:r>
        <w:rPr>
          <w:rFonts w:ascii="Arial" w:cs="Arial" w:eastAsia="Arial" w:hAnsi="Arial"/>
          <w:sz w:val="18"/>
          <w:szCs w:val="18"/>
          <w:i w:val="1"/>
          <w:iCs w:val="1"/>
          <w:color w:val="auto"/>
        </w:rPr>
        <w:t>Responses per RECIST 1.1; IC = Investigator's Choice; CDX-011 arm includes 15 patients who crossed over to receive CDX-011 treatment after progression on IC. Analysis of best response excludes patients who discontinued from study without evaluable post-baseline radiographic imaging (n=15 for CDX-011 arm; n=5 for IC arm).</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EMERGE: Overall Survival (OS) and Progression Free Survival (PFS)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gridSpan w:val="8"/>
          </w:tcPr>
          <w:p>
            <w:pPr>
              <w:jc w:val="center"/>
              <w:ind w:left="183"/>
              <w:spacing w:after="0"/>
              <w:rPr>
                <w:sz w:val="20"/>
                <w:szCs w:val="20"/>
                <w:color w:val="auto"/>
              </w:rPr>
            </w:pPr>
            <w:r>
              <w:rPr>
                <w:rFonts w:ascii="Arial" w:cs="Arial" w:eastAsia="Arial" w:hAnsi="Arial"/>
                <w:sz w:val="14"/>
                <w:szCs w:val="14"/>
                <w:b w:val="1"/>
                <w:bCs w:val="1"/>
                <w:color w:val="auto"/>
                <w:w w:val="87"/>
              </w:rPr>
              <w:t>On target effect clearly demonstrated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tcBorders>
              <w:bottom w:val="single" w:sz="8" w:color="auto"/>
            </w:tcBorders>
            <w:gridSpan w:val="8"/>
          </w:tcPr>
          <w:p>
            <w:pPr>
              <w:jc w:val="center"/>
              <w:ind w:left="203"/>
              <w:spacing w:after="0"/>
              <w:rPr>
                <w:sz w:val="20"/>
                <w:szCs w:val="20"/>
                <w:color w:val="auto"/>
              </w:rPr>
            </w:pPr>
            <w:r>
              <w:rPr>
                <w:rFonts w:ascii="Arial" w:cs="Arial" w:eastAsia="Arial" w:hAnsi="Arial"/>
                <w:sz w:val="14"/>
                <w:szCs w:val="14"/>
                <w:b w:val="1"/>
                <w:bCs w:val="1"/>
                <w:color w:val="auto"/>
                <w:w w:val="86"/>
              </w:rPr>
              <w:t>in targeted patient populations</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9"/>
              </w:rPr>
              <w:t>Triple Negative</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left="243"/>
              <w:spacing w:after="0" w:line="149" w:lineRule="exact"/>
              <w:rPr>
                <w:sz w:val="20"/>
                <w:szCs w:val="20"/>
                <w:color w:val="auto"/>
              </w:rPr>
            </w:pPr>
            <w:r>
              <w:rPr>
                <w:rFonts w:ascii="Arial" w:cs="Arial" w:eastAsia="Arial" w:hAnsi="Arial"/>
                <w:sz w:val="14"/>
                <w:szCs w:val="14"/>
                <w:b w:val="1"/>
                <w:bCs w:val="1"/>
                <w:color w:val="auto"/>
                <w:w w:val="95"/>
              </w:rPr>
              <w:t>GPNMB</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left="186"/>
              <w:spacing w:after="0" w:line="149" w:lineRule="exact"/>
              <w:rPr>
                <w:sz w:val="20"/>
                <w:szCs w:val="20"/>
                <w:color w:val="auto"/>
              </w:rPr>
            </w:pPr>
            <w:r>
              <w:rPr>
                <w:rFonts w:ascii="Arial" w:cs="Arial" w:eastAsia="Arial" w:hAnsi="Arial"/>
                <w:sz w:val="14"/>
                <w:szCs w:val="14"/>
                <w:b w:val="1"/>
                <w:bCs w:val="1"/>
                <w:color w:val="auto"/>
                <w:w w:val="91"/>
              </w:rPr>
              <w:t>and GPNMB</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86"/>
              </w:rPr>
              <w:t>All Patients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Triple Negative</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Over-Expression</w:t>
            </w:r>
          </w:p>
        </w:tc>
        <w:tc>
          <w:tcPr>
            <w:tcW w:w="240" w:type="dxa"/>
            <w:vAlign w:val="bottom"/>
          </w:tcPr>
          <w:p>
            <w:pPr>
              <w:spacing w:after="0"/>
              <w:rPr>
                <w:sz w:val="14"/>
                <w:szCs w:val="14"/>
                <w:color w:val="auto"/>
              </w:rPr>
            </w:pPr>
          </w:p>
        </w:tc>
        <w:tc>
          <w:tcPr>
            <w:tcW w:w="1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Over-Expression</w:t>
            </w: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CDX-011</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5"/>
              </w:rPr>
              <w:t>IC</w:t>
            </w: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CDX-011</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IC</w:t>
            </w: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CDX-011</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IC</w:t>
            </w:r>
          </w:p>
        </w:tc>
        <w:tc>
          <w:tcPr>
            <w:tcW w:w="24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CDX-011</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IC</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 OS (months)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6.9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gridSpan w:val="3"/>
          </w:tcPr>
          <w:p>
            <w:pPr>
              <w:jc w:val="center"/>
              <w:ind w:left="159"/>
              <w:spacing w:after="0"/>
              <w:rPr>
                <w:sz w:val="20"/>
                <w:szCs w:val="20"/>
                <w:color w:val="auto"/>
              </w:rPr>
            </w:pPr>
            <w:r>
              <w:rPr>
                <w:rFonts w:ascii="Arial" w:cs="Arial" w:eastAsia="Arial" w:hAnsi="Arial"/>
                <w:sz w:val="18"/>
                <w:szCs w:val="18"/>
                <w:color w:val="auto"/>
                <w:w w:val="89"/>
              </w:rPr>
              <w:t>p=0.24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center"/>
              <w:ind w:left="222"/>
              <w:spacing w:after="0"/>
              <w:rPr>
                <w:sz w:val="20"/>
                <w:szCs w:val="20"/>
                <w:color w:val="auto"/>
              </w:rPr>
            </w:pPr>
            <w:r>
              <w:rPr>
                <w:rFonts w:ascii="Arial" w:cs="Arial" w:eastAsia="Arial" w:hAnsi="Arial"/>
                <w:sz w:val="18"/>
                <w:szCs w:val="18"/>
                <w:color w:val="auto"/>
                <w:w w:val="86"/>
              </w:rPr>
              <w:t>p=0.30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center"/>
              <w:ind w:left="223"/>
              <w:spacing w:after="0"/>
              <w:rPr>
                <w:sz w:val="20"/>
                <w:szCs w:val="20"/>
                <w:color w:val="auto"/>
              </w:rPr>
            </w:pPr>
            <w:r>
              <w:rPr>
                <w:rFonts w:ascii="Arial" w:cs="Arial" w:eastAsia="Arial" w:hAnsi="Arial"/>
                <w:sz w:val="18"/>
                <w:szCs w:val="18"/>
                <w:color w:val="auto"/>
                <w:w w:val="86"/>
              </w:rPr>
              <w:t>p=0.18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center"/>
              <w:ind w:left="186"/>
              <w:spacing w:after="0"/>
              <w:rPr>
                <w:sz w:val="20"/>
                <w:szCs w:val="20"/>
                <w:color w:val="auto"/>
              </w:rPr>
            </w:pPr>
            <w:r>
              <w:rPr>
                <w:rFonts w:ascii="Arial" w:cs="Arial" w:eastAsia="Arial" w:hAnsi="Arial"/>
                <w:sz w:val="18"/>
                <w:szCs w:val="18"/>
                <w:color w:val="auto"/>
                <w:w w:val="88"/>
              </w:rPr>
              <w:t>p=0.003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2.3</w:t>
            </w: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0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w:t>
            </w:r>
          </w:p>
        </w:tc>
        <w:tc>
          <w:tcPr>
            <w:tcW w:w="160" w:type="dxa"/>
            <w:vAlign w:val="bottom"/>
            <w:shd w:val="clear" w:color="auto" w:fill="CCEEFF"/>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40" w:type="dxa"/>
            <w:vAlign w:val="bottom"/>
            <w:gridSpan w:val="3"/>
          </w:tcPr>
          <w:p>
            <w:pPr>
              <w:jc w:val="center"/>
              <w:ind w:left="159"/>
              <w:spacing w:after="0"/>
              <w:rPr>
                <w:sz w:val="20"/>
                <w:szCs w:val="20"/>
                <w:color w:val="auto"/>
              </w:rPr>
            </w:pPr>
            <w:r>
              <w:rPr>
                <w:rFonts w:ascii="Arial" w:cs="Arial" w:eastAsia="Arial" w:hAnsi="Arial"/>
                <w:sz w:val="18"/>
                <w:szCs w:val="18"/>
                <w:color w:val="auto"/>
                <w:w w:val="89"/>
              </w:rPr>
              <w:t>p=0.38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center"/>
              <w:ind w:left="222"/>
              <w:spacing w:after="0"/>
              <w:rPr>
                <w:sz w:val="20"/>
                <w:szCs w:val="20"/>
                <w:color w:val="auto"/>
              </w:rPr>
            </w:pPr>
            <w:r>
              <w:rPr>
                <w:rFonts w:ascii="Arial" w:cs="Arial" w:eastAsia="Arial" w:hAnsi="Arial"/>
                <w:sz w:val="18"/>
                <w:szCs w:val="18"/>
                <w:color w:val="auto"/>
                <w:w w:val="86"/>
              </w:rPr>
              <w:t>p=0.43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center"/>
              <w:ind w:left="223"/>
              <w:spacing w:after="0"/>
              <w:rPr>
                <w:sz w:val="20"/>
                <w:szCs w:val="20"/>
                <w:color w:val="auto"/>
              </w:rPr>
            </w:pPr>
            <w:r>
              <w:rPr>
                <w:rFonts w:ascii="Arial" w:cs="Arial" w:eastAsia="Arial" w:hAnsi="Arial"/>
                <w:sz w:val="18"/>
                <w:szCs w:val="18"/>
                <w:color w:val="auto"/>
                <w:w w:val="86"/>
              </w:rPr>
              <w:t>p=0.14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center"/>
              <w:ind w:left="186"/>
              <w:spacing w:after="0"/>
              <w:rPr>
                <w:sz w:val="20"/>
                <w:szCs w:val="20"/>
                <w:color w:val="auto"/>
              </w:rPr>
            </w:pPr>
            <w:r>
              <w:rPr>
                <w:rFonts w:ascii="Arial" w:cs="Arial" w:eastAsia="Arial" w:hAnsi="Arial"/>
                <w:sz w:val="18"/>
                <w:szCs w:val="18"/>
                <w:color w:val="auto"/>
                <w:w w:val="88"/>
              </w:rPr>
              <w:t>p=0.008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140"/>
        <w:spacing w:after="0" w:line="294" w:lineRule="auto"/>
        <w:rPr>
          <w:sz w:val="20"/>
          <w:szCs w:val="20"/>
          <w:color w:val="auto"/>
        </w:rPr>
      </w:pPr>
      <w:r>
        <w:rPr>
          <w:rFonts w:ascii="Arial" w:cs="Arial" w:eastAsia="Arial" w:hAnsi="Arial"/>
          <w:sz w:val="16"/>
          <w:szCs w:val="16"/>
          <w:i w:val="1"/>
          <w:iCs w:val="1"/>
          <w:color w:val="auto"/>
        </w:rPr>
        <w:t>Analyses include all treated patients. Patients who initially received Investigator's Choice (IC) and subsequently crossed over to receive CDX-011 (n=15) are included in the PFS analysis for each treatment. These patients, with a median OS of 12.5 months, are assigned to the IC arm only for OS analysis. Median OS for the remaining IC patients who did not cross over is 5.4 months. When cross over patients are removed, median OS in patients with GPNMB over-expression is 10.0 months for CDX-011 vs 5.2 months for IC (p=0.05) and median OS in triple negative patients with GPNMB over-expression is 10.0 months for CDX-011 vs 5.2 months for IC (p=0.009).</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December 2012, we had our end of Phase 2b meeting with the FDA for our CDX-011 program. Based on this meeting, we intend to initiate a randomized study of CDX-011 suitable for accelerated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approval in patients with triple negative breast cancer that also over-express GPNMB in the second half of 2013.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One lot of our CDX-011 product candidate was aseptically filled in 2009 by Formatech, a third party contract manufacturer. At the end of January 2012, we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were notified by the FDA that because significant Good Manufacturing Practice, or cGMP, violations were uncovered during inspection of Formatech,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Phase 2b study for CDX-011 was being placed on partial clinical hold. The clinical hold did not significantly impact the conduct or analysis of the Phase 2b study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determining next steps in our future development of CDX-011. In March 2013, we received written confirmation from the FDA that the clinical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 was removed following their review of our clinical hold response regarding reprocessing of the CDX-011 manufactured at Formatech.</w:t>
      </w:r>
    </w:p>
    <w:p>
      <w:pPr>
        <w:spacing w:after="0" w:line="213" w:lineRule="exact"/>
        <w:rPr>
          <w:sz w:val="20"/>
          <w:szCs w:val="20"/>
          <w:color w:val="auto"/>
        </w:rPr>
      </w:pPr>
    </w:p>
    <w:p>
      <w:pPr>
        <w:ind w:right="20" w:firstLine="348"/>
        <w:spacing w:after="0" w:line="284"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In 2009, we completed enrollment of 117 patients in a Phase 1/2 open-label, multi-center, dose escalation study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safety, tolerability and pharmacokinetics of CDX-011 for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CDX-011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92"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intend to initially focus our resources on advancing CDX-011 for the treatment of breast cancer while pursuing further development of CDX-011 in melanoma and other indications that are known to express GPNMB.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 In preclinical studies, CDX-1135 has been shown to inhibit both the classical and alternative pathways of complement activation.</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Dense Deposit Disease, or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 10 years. Because DDD recurs in virtually all patients who receive a kidney transplant, transplantation is not a viable option for these patients. In animal models of DDD, CDX-1135 treatment showed evidence of reversal of kidney damage.</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Initial experience under an investigator sponsored IND indicated that CDX-1135 limits complement abnormalities in DDD. In 2011, we completed process development activities and in 2011 and 2012 we manufactured multiple runs of cGMP clinical drug product at our Fall River manufacturing facility in preparation for our Phase 2 pilot study. We are planning to initiate a pilot study of CDX-1135 in a small number of DDD patients to determine the appropriate dose and regimen for further clinical development based on safety, tolerability and biological activity with data expected by the end of 2013.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CDX-1127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tumor-bearing mice and to directly kill or inhibit the growth of CD27 expressing lymphomas and leukemias in vitro and in vivo. Both mechanisms have been seen even at low doses in appropriate preclinical models.</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The study will accrue approximately 30 patients in each of the two arms, either selected refractory or relapsed solid tumors or lymphomas or leukemias known to express CD27. Patients will have received all appropriate prior therapies for their specific disease. The trial design incorporates both single dosing and multiple dosing regimens at each dose level. Enrollment has completed in the Phase 1 portion of the solid tumor arm and CDX-1127 was determined to be well tolerated to date, including at the highest dose level. Following a review of the clinical data from these patients, an expansion cohort will be enrolled in 2013. We continue to enroll patients in the dose escalation portion of the lymphoma and leukemia arm and also plan the initiation of an expansion cohort of this arm in 2013. We anticipate reporting data from the CDX-1127 program in the second half of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CDX-301 is a FMS-like tyrosine kinase 3 ligand, or Flt3L, stem cell mobilizer and dendritic cell growth factor. We licensed CDX-301 from Amgen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Based on the safety profile and the increases observed for CD34+ stem cells and dendritic cells, we plan to initiate a pilot study in hematopoietic stem cell transplant by the end of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260" w:firstLine="351"/>
        <w:spacing w:after="0" w:line="314" w:lineRule="auto"/>
        <w:rPr>
          <w:sz w:val="20"/>
          <w:szCs w:val="20"/>
          <w:color w:val="auto"/>
        </w:rPr>
      </w:pPr>
      <w:r>
        <w:rPr>
          <w:rFonts w:ascii="Arial" w:cs="Arial" w:eastAsia="Arial" w:hAnsi="Arial"/>
          <w:sz w:val="15"/>
          <w:szCs w:val="15"/>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59" w:lineRule="exact"/>
        <w:rPr>
          <w:sz w:val="20"/>
          <w:szCs w:val="20"/>
          <w:color w:val="auto"/>
        </w:rPr>
      </w:pPr>
    </w:p>
    <w:p>
      <w:pPr>
        <w:ind w:right="20" w:firstLine="351"/>
        <w:spacing w:after="0" w:line="310" w:lineRule="auto"/>
        <w:rPr>
          <w:sz w:val="20"/>
          <w:szCs w:val="20"/>
          <w:color w:val="auto"/>
        </w:rPr>
      </w:pPr>
      <w:r>
        <w:rPr>
          <w:rFonts w:ascii="Arial" w:cs="Arial" w:eastAsia="Arial" w:hAnsi="Arial"/>
          <w:sz w:val="15"/>
          <w:szCs w:val="15"/>
          <w:color w:val="auto"/>
        </w:rPr>
        <w:t>In October 2012, we announced results from a dose-escalating, multi-center, Phase 1 study that evaluated three different doses of CDX-1401 in combination with toll-like receptor agonists poly-ICLC or Hiltonol™ and/or R848 or resiquimod. In total, the study enrolled 45 patients with advanced malignancies that had progressed after any available curative and/or salvage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The study has identified a well-tolerated and immunogenic regimen to take forward into the future studies and we expect that a study sponsored by the Cancer Immunotherapy Trials Network of the National Cancer Institute will be initiated in 2013.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CDX-014 is a fully-human monoclonal ADC that targets TIM-1, a molecule that is highly expressed on renal and ovarian cancers with minimal expression in normal tissues. The antibody, CDX-014,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are conducting proof-of-concept studies in 2013 to optimize the drug candidate to move into future manufacturing and IND-enabling studies.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Strategy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Targeted Immunotherapy Platform:</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believe there is untapped potential in immunotherapy that can be captured through the right combination of therapeutic agents. Immunotherapy approaches have encountered difficulties when following standard drug development. The mechanisms of action are complex, activity is generally not dependent on highest tolerated dose and patient response is highly variable. Our understanding of the immune system, cancer's effect on immune mediated mechanisms, and the impact of conventional therapies on the immune system provides a new rationale for combining therapies that may lead to significant clinical responses.</w:t>
      </w:r>
    </w:p>
    <w:p>
      <w:pPr>
        <w:spacing w:after="0" w:line="152" w:lineRule="exact"/>
        <w:rPr>
          <w:sz w:val="20"/>
          <w:szCs w:val="20"/>
          <w:color w:val="auto"/>
        </w:rPr>
      </w:pPr>
    </w:p>
    <w:p>
      <w:pPr>
        <w:ind w:right="580" w:firstLine="351"/>
        <w:spacing w:after="0" w:line="370" w:lineRule="auto"/>
        <w:rPr>
          <w:sz w:val="20"/>
          <w:szCs w:val="20"/>
          <w:color w:val="auto"/>
        </w:rPr>
      </w:pPr>
      <w:r>
        <w:rPr>
          <w:rFonts w:ascii="Arial" w:cs="Arial" w:eastAsia="Arial" w:hAnsi="Arial"/>
          <w:sz w:val="15"/>
          <w:szCs w:val="15"/>
          <w:color w:val="auto"/>
        </w:rPr>
        <w:t>Our intent is to leverage this knowledge and the availability of good, tested products that may not be sufficiently effective to be commercialized as a monotherapy, but which we believe may be very effective in combination approaches. Our goal is to design and develop targeted products that maximize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efficacy of immunotherapy regimens through combinations of therapeutic agents in significant and growing markets. We establish governmental and corporate alliances to fund development when appropriate and intend to commercialize our products either through our own direct selling efforts or, for products which we cannot develop ourselves through to commercialization, through corporate partners. This approach allows us to maximize the overall value of our technology and product portfolios while best ensuring the expeditious development of each individual product.</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Factors that may significantly harm our commercial success, and ultimately the market price of our common stock, include but are not limited to, announcements of technological innovations or new commercial products by our competitors, disclosure of unsuccessful results of clinical testing or regulatory proceedings and governmental approvals, adverse developments in patent or other proprietary rights, public concern about the safety of products developed by us and general economic and market conditions. See "Item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current plans are to retain the rights to develop and commercialize rindopepimut in North America. We may explore potential development and commercialization collaborations for any of our programs where appropriate, which may include opportunities to commercialize rindopepimut outside of North America.</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 that we face. A delay or setback to a partner will, at a minimum, delay the commercialization of any affected products, and may ultimately prevent it. Moreover, any partner could breach its agreement with us or otherwise not use best efforts to promote our products. A partner may choose to pursue alternative technologies or products that compete with our technologies or products. In either case, if a partner failed to successfully develop one of our products, we would need to find another partner. Our ability to do so would depend upon our legal right to do so at the time and whether the product remained commercially viable.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Rotavirus is a major cause of diarrhea and vomiting in infants and children. In 1997, we licensed our oral rotavirus strain to Glaxo and Glaxo assumed responsibility for all subsequent clinical trials and all other development activities. We licensed-in the rotavirus strain that was used to develop Glaxo's Rotarix rotavirus vaccine in 1995 and owe a license fee of 30% to Cincinnati Children's Hospital Medical Center, or CCH, on net royalties received from Glaxo. In May 2005, we entered into an agreement whereby an affiliate of Paul Royalty Fund II, L.P., or PRF, purchased a 70% interest in the net royalties we received on worldwide sales of Rotarix.</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December 2012, a U.S. patent for our rotavirus strain that we licensed to Glaxo expired. The Glaxo agreement terminates automatically upon the expiration, lapse or invalidation of the last relevant patent right (patent or patent application) covered by the Glaxo agreement. The only remaining relevant patent right is a patent application in Mexico with a projected final expiry date in May 2013</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which is under appeal. The PRF agreement provided for a normal expiry of the PRF agreement on December 12, 2012 except that the PRF agreement provides for an exclusive 120-day right of negotiation for extension in certain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Vaccine Technologies, Inc. (VTI)</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January 2009, we entered into a license agreement with VTI under which we granted a worldwide exclusive license to VTI to develop and commercialize our CholeraGarde and ETEC vaccine programs. We may receive milestones payments of up to $0.8 million and royalties in the low to mid teens with respect to development and commercialization of the technology licensed to VTI.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TopoTarget A/S (TopoTarget)</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Under our agreement with TopoTarget, we could receive up to $6 million in either potential commercial milestone payments related to future net sales of Belinostat or 10% of any sublicense income received by TopoTarget. We have no financial and operational responsibility for the clinical development of Belinostat under our agreement with TopoTarget. In February 2010, TopoTarget entered into a co-development and commercialization agreement for Belinostat with Spectrum Pharmaceuticals, Inc. resulting in our receipt of $3 million of the $6 million potential payments under our agreement with TopoTarget.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License Agreements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and Medarex, a former related party, have entered into the following agreements, each of which was approved by a majority of its independent directors who did not have an interest in the transaction. These agreements include:</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Assignment and License Agreement, as amended, (Assignment and License Agreement) that provides for the assignment of certain patent and other intellectual property rights and a license to certain Medarex technology related to the Company's APC Targeting Technology™ and an anti-mannose receptor product; and</w:t>
      </w:r>
    </w:p>
    <w:p>
      <w:pPr>
        <w:spacing w:after="0" w:line="22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Research and Commercialization Agreement, as amended, (Research and Commercialization Agreement) that provides us with certain rights to obtain exclusive commercial licenses to proprietary monoclonal antibodies raised against certain antigens utilizing the Medarex UltiMAb technology platform for generating antibodies until December 2015.</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terms of the Assignment and License Agreement, we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 Under the terms of the Research and Commercialization Agreement, we may be required to pay milestones of up to $7.0 million upon obtaining first approval for commercial sale in a first indication of a product containing a licensed antibody and royalty payments in the low- to mid-single digits on any net product sales to Medarex with respect to the development of any products containing such licensed antibodies until the later of (i) the expiration of the last to expire applicable patent and (ii) the tenth anniversary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of the first commercial sale of such licensed product. In September 2010, we exercised an option under our Research and Commercialization Agreement, whereby we licensed from Medarex access to the UltiMab technology to develop and commercialize human antibodies to CD27, including CDX-1127.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November 2005, we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We may be required to pay milestones of up to $3.9 million upon obtaining first approval for commercial sale in a first indication of a product targeting the licensed receptor and royalty payments in the low- to mid-single digits on any net product sales to Rockefeller with respect to development and commercialization of the human DEC-205 receptor.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September 2006, we and Duke entered into a license agreement that gave us access and reference to the clinical data generated by Duke and its collaborators in order for us to generate our own filing with the FDA relating to rindopepimut. We may be required to pay milestones of up to $1.0 million upon obtaining first approval for commercial sale in a first indication and royalty payments in the low-single digits on any net product sales to Duke with respect to development and commercialization of rindopepimut.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October 2006, we and Ludwig entered into an agreement for the nonexclusive rights to certain cancer tumor targets for use in combination with our APC Targeting Technology. The term of the agreement is for ten years. We may be required to pay milestones of up to $1.0 million upon obtaining first approval for commercial sale in a first indication and royalty payments in the low-single digits on any net product sales to Ludwig with respect to development and commercialization of the technology licensed from Ludwig.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In October 2005, we completed the acquisition of the assets of Alteris, including the EGFRvIII molecule. We may be required to pay Alteris up to $5.0 million upon obtaining the first approval for commercial sale of a product containing EGFRvIII, including rindopepimut.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Jefferson University (TJU)</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our acquisition of the assets of Alteris, we obtained the rights to two exclusive license agreements with TJU dated February 2003 related to the EGFRvIII tumor antigen. Under these licenses, we may be required to pay milestones of up to $3.0 million upon obtaining first approval for commercial sale in a first indication and royalty payments in the low-single digits on any net product sales to TJU with respect to development and commercialization of rindopepimut.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November 2008, we entered into a license agreement with Southampton to develop human antibodies towards CD27, a potentially important target for immunotherapy of various cancers. We may be required to pay milestones of up to approximately $1.4 million upon obtaining first approval for commercial sale in a first indication and royalty payments in the low-single digits on any net product sales to Southampton with respect to development and commercialization of CDX-1127.</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jc w:val="both"/>
        <w:ind w:right="240" w:firstLine="351"/>
        <w:spacing w:after="0" w:line="298" w:lineRule="auto"/>
        <w:rPr>
          <w:sz w:val="20"/>
          <w:szCs w:val="20"/>
          <w:color w:val="auto"/>
        </w:rPr>
      </w:pPr>
      <w:r>
        <w:rPr>
          <w:rFonts w:ascii="Arial" w:cs="Arial" w:eastAsia="Arial" w:hAnsi="Arial"/>
          <w:sz w:val="16"/>
          <w:szCs w:val="16"/>
          <w:color w:val="auto"/>
        </w:rPr>
        <w:t>In March 2009, we entered into a license agreement with Amgen to acquire the exclusive rights to CDX-301 and CD40 ligand, or CD40L. CDX-301 and CD40L are immune modulating molecules that increase the numbers and activity of immune cells that control immune responses. We may be required to pay milestones of up to $1.0 million upon obtaining first approval for commercial sale in a first indication and royalty payments in the low-single digits on any net product sales to Amgen with respect to development and commercialization of the technology licensed from Amgen, including CDX-301.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Fremont (formerly Abgenix)</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connection with our acquisition of CuraGen Corporation in 2009, we assumed the license agreement between CuraGen and Amgen Fremont (successor in-interest to Abgenix) to develop fully-human monoclonal antibody therapeutics. In May 2009, an amendment to the license agreement was entered into related to CuraGen's exclusive rights to develop and commercialize CDX-011, CDX-014 and 10 other licensed antigens. Under the amendment, CuraGen and Amgen Fremont agreed to modify the terms of their existing cross-license of antigens whereby our amended license would be fully paid-up and royalty-free (except for any potentially required payments to the original licensor of CDX-011).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connection with our acquisition of CuraGen, we assumed the license agreement between CuraGen and Seattle Genetics whereby CuraGen acquired the rights to proprietary ADC technology for use with its proprietary antibodies for the potential treatment of cancer. We may be required to pay milestones of up to $7.5 million upon obtaining first approval for commercial sale in a first indication and royalty payments in the mid-single digits on any net product sales to Seattle Genetics with respect to development and commercialization of the ADC technology, including CDX-011 and CDX-014.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Many of the products that we are attempting to develop and commercialize will be competing with existing therapies. In addition, a number of companies are pursuing the development of pharmaceuticals that target the same diseases and conditions that we are targeting. We face competition from pharmaceutical and biotechnology companies both in the United States and abroad. Our competitors may utilize discovery technologies and techniques or partner with collaborators in order to develop products more rapidly or successfully than us or our collaborators are able to do. Many of our competitors, particularly large pharmaceutical companies, have substantially greater financial, technical and human resources than we do. 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w:t>
      </w:r>
    </w:p>
    <w:p>
      <w:pPr>
        <w:spacing w:after="0" w:line="172"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 for which we are aware have initiated a Phase 3 study or have obtained marketing approval for a potentially competitive drug include Alexion, Agenus, Baxter, BMS, Dendreon, Eli Lilly, GlaxoSmithKline, ImmunoGen, Merck, Pfizer, Roche, Sanofi-Aventis, Seattle Genetics, and Takeda. Many other companies are developing or commercializing products in areas that we have targeted for product development. Some of these products use therapeutic approaches that may compete directly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with our drug candidates. Most of our competitors possess substantially greater financial, technical and human resources than we possess. In addition, many of our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launch commercial sales of our drug candidates, we also will compete with respect to manufacturing efficiency and sales and marketing capabilities, areas in which we currently have limited experience.</w:t>
      </w:r>
    </w:p>
    <w:p>
      <w:pPr>
        <w:spacing w:after="0" w:line="17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also face competition from pharmaceutical and biotechnology companies, academic institutions, government agencies and private research organizations in recruiting and retaining highly qualified scientific personnel and consultants and in the development and acquisition of technologies.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98"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Our competitive position will also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products, obtain the necessary regulatory approvals and successfully manufacture and market our products. In order to secure capital resources, we anticipate having to sell additional capital stock, which would dilute existing stockholders. We may also attempt to obtain funds through research grants and agreements with commercial collaborators. However, these types of fundings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8"/>
        <w:spacing w:after="0" w:line="252" w:lineRule="auto"/>
        <w:rPr>
          <w:sz w:val="20"/>
          <w:szCs w:val="20"/>
          <w:color w:val="auto"/>
        </w:rPr>
      </w:pPr>
      <w:r>
        <w:rPr>
          <w:rFonts w:ascii="Arial" w:cs="Arial" w:eastAsia="Arial" w:hAnsi="Arial"/>
          <w:sz w:val="18"/>
          <w:szCs w:val="18"/>
          <w:color w:val="auto"/>
        </w:rPr>
        <w:t>We have limited experience in large scale manufacturing and we have relied upon collaborators or contractors to manufacture some of our proposed products for both clinical and commercial purposes to date. We have established our own manufacturing facility in Fall River, Massachusetts, to produce our drug candidates that we may develop at scale for clinical trials. Our Fall River, MA manufacturing facility has up to 1000L bioreactor capacity and is able to manufacture in compliance with EMEA regulations. Implementing EMEA requirements along with FDA cGMP allows us to distribute potential products to clinical sites in both the US and EU. In order for us to establish a commercial manufacturing facility, we will require substantial additional funds and will be required to hire and retain significant additional personnel and comply with the extensive cGMP regulations applicable to such facility. The commercial manufacturing facility would also need to be licensed for the production of our drug candidates by the FDA. We intend to establish manufacturing arrangements with contract manufacturers that comply with the FDA's requirements and other regulatory standards, although there can be no assurance that we will be able to do so.</w:t>
      </w:r>
    </w:p>
    <w:p>
      <w:pPr>
        <w:spacing w:after="0" w:line="20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use rindopepimut drug product that was manufactured by Pfizer in the ACT IV and ReACT clinical studies. To date, we have utilized contract manufacturers for the manufacture of clinical trial supplies of CDX-011. We plan to establish a relationship with a contract manufacturer to support our clinical trials and for the commercial manufacturing of rindopepimut and CDX-011 in 2013. We manufacture clinical materials of CDX-1127, CDX-1401, CDX-1135 and CDX-301 in our Fall River facility for our current and planned Phase 1 and Phase 2 clinical trials. We have initiated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manufacturing of the next lot of CDX-011 for which we manufactured the CR011 antibody in our Fall River facility.</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While we believe that there is currently sufficient capacity worldwide for the production of our potential products through contract manufacturers, establishing long-term relationships with contract manufacturers and securing multiple sources for the necessary quantities of clinical and commercial materials required can be a challenge. Qualifying the initial source of clinical and ultimately commercial material is a time consuming and expensive process due to the highly regulated nature of the pharmaceutical/biotech industry. These costs are hopefully mitigated in the economies of scale realized in commercial manufacture and product sale. The key difficulty in qualifying more than one source for each product is the duplicated time and expense in doing so without the potential to mitigate these costs if the secondary source is never utilized.</w:t>
      </w:r>
    </w:p>
    <w:p>
      <w:pPr>
        <w:spacing w:after="0" w:line="17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Use of third 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 party manufacturers fail to meet our manufacturing needs in an acceptable manner, we would face delays and additional costs while we develop internal manufacturing capabilities or find alternative third party manufacturers. It may not be possible to have multiple third party manufacturers ready to supply us with needed material at all or without incurring significant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retained, and in the future intend to retain, marketing rights to some of our drug candidates and immunotherapeutic delivery systems in selected geographic areas and for specified indications. We may seek marketing and distribution agreements and/or co-promotion agreements for the distribution of our products in these geographic areas and for these indications. We believe that these arrangements could enable us to generate greater financial return than might be obtained from early stage licensing and collaboration agreements. We currently have limited marketing and sales staff and limited experience relating to marketing and distribution of commercial products. We plan to expand our marketing staff in 2013. If we determine in the future to engage in direct marketing of our products, we will be required to recruit an experienced marketing group, develop a supporting distribution capability and incur significant additional expenditures. There can be no assurance that we will be able to establish a successful marketing force.</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may choose or find it necessary to enter into strategic partnerships on uncertain, but potentially unfavorable, terms to sell, market and distribute our products. Under the terms of future partnership agreements, we may rely on the efforts of our collaborators for the sale and marketing of our products. There can be no assurance that our collaborators will develop and market our drug candidates incorporating our technologies, or, if marketed, that such efforts will be successful. The failure of our collaborators to successfully market products would harm our business. Any delay in the marketing or distribution of our products, whether it results from problems with internal capabilities or with a collaborative relationship, could harm the value of an investment in 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successful development and marketing of products by us will depend in part on our ability to create and maintain intellectual property, including patent rights. We are the owner or exclusive licensee to proprietary patent positions in the areas of vaccine technologies, antibody technologies and complement inhibitor technology.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own or license rights under more than 300 granted patents and national and regional patent applications in the U.S. and in major international territories covering inventions relating to our business. The key patents and patent applications owned by us or licensed to us that we consider important to our business include the following (the indicated and estimated patent expiry dates do not include any possible Patent Term Extensions or Supplementary Protection Certificates, if these may be secured in due course):</w:t>
      </w:r>
    </w:p>
    <w:p>
      <w:pPr>
        <w:spacing w:after="0" w:line="211" w:lineRule="exact"/>
        <w:rPr>
          <w:sz w:val="20"/>
          <w:szCs w:val="20"/>
          <w:color w:val="auto"/>
        </w:rPr>
      </w:pPr>
    </w:p>
    <w:p>
      <w:pPr>
        <w:ind w:left="1080" w:hanging="532"/>
        <w:spacing w:after="0" w:line="314"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Patents for the technology used in rindopepimut have expiration dates through 2014 in the United States and through 2015 in the United Kingdom, Germany and France. We also have rights under patent applications in the major international territories relating to uses of rindopepimut which are currently pending. If issued and maintained to full term in a form which covers commercial use of rindopepimut, the latter filings could potentially provide additional patent protection for the relevant use in the relevant territories to 2026. We also have patent applications in the U.S. and major international territories relating to methods of manufacture and formulation of rindopepimut, which, if issued in a form which covers manufacture and/or formulation rindopepimut and maintained to full term in due course, would have estimated patent expiry dates in 2030.</w:t>
      </w:r>
    </w:p>
    <w:p>
      <w:pPr>
        <w:spacing w:after="0" w:line="185" w:lineRule="exact"/>
        <w:rPr>
          <w:rFonts w:ascii="Arial" w:cs="Arial" w:eastAsia="Arial" w:hAnsi="Arial"/>
          <w:sz w:val="15"/>
          <w:szCs w:val="15"/>
          <w:color w:val="auto"/>
        </w:rPr>
      </w:pPr>
    </w:p>
    <w:p>
      <w:pPr>
        <w:ind w:left="1080" w:right="22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patent portfolio for CDX-011 includes an issued patent in Europe and pending patent applications in the U.S. and Japan. If issued and maintained to full term in due course, these would have estimated patent expiry dates in 2025. In addition, patent rights relating to the toxin and conjugation technology used in CDX-011 have been licensed from Seattle Genetics.</w:t>
      </w:r>
    </w:p>
    <w:p>
      <w:pPr>
        <w:spacing w:after="0" w:line="207" w:lineRule="exact"/>
        <w:rPr>
          <w:rFonts w:ascii="Arial" w:cs="Arial" w:eastAsia="Arial" w:hAnsi="Arial"/>
          <w:sz w:val="18"/>
          <w:szCs w:val="18"/>
          <w:color w:val="auto"/>
        </w:rPr>
      </w:pPr>
    </w:p>
    <w:p>
      <w:pPr>
        <w:ind w:left="1080" w:hanging="532"/>
        <w:spacing w:after="0" w:line="335"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have licensed pending patent applications in the U.S., Europe and Japan relating to the technology used in CDX-1127. If issued and maintained to full term in due course, these would have estimated patent expiry dates in 2027. We have filed further patent applications in the U.S. and major international territories which, if issued and maintained to full term in due course, would have estimated patent expiry dates in 2031.</w:t>
      </w:r>
    </w:p>
    <w:p>
      <w:pPr>
        <w:spacing w:after="0" w:line="155" w:lineRule="exact"/>
        <w:rPr>
          <w:rFonts w:ascii="Arial" w:cs="Arial" w:eastAsia="Arial" w:hAnsi="Arial"/>
          <w:sz w:val="15"/>
          <w:szCs w:val="15"/>
          <w:color w:val="auto"/>
        </w:rPr>
      </w:pPr>
    </w:p>
    <w:p>
      <w:pPr>
        <w:ind w:left="1080" w:right="4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pending patent application relating to the technology used in CDX-1401 which, if issued and maintained to full term in due course, would have estimated patent expiry dates in 2028.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Patents for the technology used in CDX-1135 have expiration dates that range from 2013 to 2016. Further patent applications are also pending.</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 for the technology used in CDX-301 have current expiration dates that range from 2016 in the major European territories to 2020 in the US.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patent portfolio for CDX-014 includes pending patent applications in the U.S., Europe and Japan. If issued and maintained to full term in due course, these would have estimated patent expiry dates in 2024.</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 for the technology used in the cholera and typhoid vaccines expire between 2013 and 2016. Our patent portfolio for ETEC includes an issued U.S. patent and pending patent applications in the major international territories which, if issued and maintained to full term in due course, would have estimated patent expiry dates in 2028.</w:t>
      </w:r>
    </w:p>
    <w:p>
      <w:pPr>
        <w:spacing w:after="0" w:line="221"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December 2012, a U.S. patent for our rotavirus strain that we licensed to Glaxo expired. The Glaxo agreement terminates automatically upon the expiration, lapse or invalidation of the last relevant patent right (patent or patent application) covered by the Glaxo agreement. The only remaining relevant patent right is a patent application in Mexico with a projected final expiry date in May 2013 which is under appeal.</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74"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5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199" w:lineRule="exact"/>
        <w:rPr>
          <w:sz w:val="20"/>
          <w:szCs w:val="20"/>
          <w:color w:val="auto"/>
        </w:rPr>
      </w:pPr>
    </w:p>
    <w:p>
      <w:pPr>
        <w:ind w:left="1080" w:right="5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Europe owned by Sanofi-Aventis, which relate to antibody-antigen conjugates and methods of their use for eliciting an immune response against the antigen;</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foreign countries covering particular antigens and antigenic fragments targeted by our current drug candidates, including CDX-1401;</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pending applications related to particular receptors and other molecules on dendritic cells and macrophages that may be useful for generating monoclonal antibodies and can be employed in our APC Targeting Technology;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United States patents and related foreign patents and applications covering methods of diagnosing gliomas by detecting the presence of the EGFRvIII (tumor specific splice variant) protein;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relating to certain uses of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owned by Genentech, Inc., relating to the production of recombinant antibodies in host cells;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owned by GlaxoSmithKline plc related to methods of culturing cells under certain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held by third parties relating to antibody expression in particular types of host cells.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 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have entered into several significant license agreements relating to technologies that are being developed by us.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activities and products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We must obtain regulatory approval for a product in all of these areas before we can commercialize the product. Product development within this regulatory framework takes a number of years and involves the expenditure of substantial resources. Many products that initially appear promising ultimately do not reach the market because they are found to be unsafe or ineffective when tested. Our inability to commercialize a product would impair our ability to earn future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United States, immunotherapeutics for human use are subject to FDA approval as "biologics" under the Public Health Service Act and "drugs" under the Federal Food, Drug and Cosmetic Act. The steps required before a new product can be commercialized include: preclinical studies in animals, clinical trials in humans to determine safety and efficacy and FDA approval of the product for commercial sale.</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6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FDA provides that human clinical trials may begin thirty (30) days after receipt and review of an IND application, unless the FDA requests additional information or changes to the study protocol within that period. An IND must be sponsored and filed for each of our proposed products. Authorization to conduct a clinical trial in no way assures that the FDA will ultimately approve the product. Clinical trials are usually conducted in three sequential phases. In a Phase 1 trial, the product is given to a small number of healthy volunteers to test for safety (adverse effects). Phase 2 trials are conducted on a limited group of the target patient population; safety, optimal dosage and efficacy are studied. A Phase 3 trial is performed in a large patient population over a wide geographic area to provide evidence for the safety of the product and to prove and confirm efficacy. The FDA has ongoing oversight over all these trials and can order a temporary or permanent discontinuation if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warranted. Such an action could materially harm us. Clinical tests are critical to the success of our products but are subject to unforeseen and uncontrollable delay, including delay in enrollment of patients. Any delay in clinical trials could delay our commercialization of a product.</w:t>
      </w:r>
    </w:p>
    <w:p>
      <w:pPr>
        <w:spacing w:after="0" w:line="186" w:lineRule="exact"/>
        <w:rPr>
          <w:sz w:val="20"/>
          <w:szCs w:val="20"/>
          <w:color w:val="auto"/>
        </w:rPr>
      </w:pPr>
    </w:p>
    <w:p>
      <w:pPr>
        <w:jc w:val="both"/>
        <w:ind w:right="20" w:firstLine="341"/>
        <w:spacing w:after="0" w:line="323" w:lineRule="auto"/>
        <w:rPr>
          <w:sz w:val="20"/>
          <w:szCs w:val="20"/>
          <w:color w:val="auto"/>
        </w:rPr>
      </w:pPr>
      <w:r>
        <w:rPr>
          <w:rFonts w:ascii="Arial" w:cs="Arial" w:eastAsia="Arial" w:hAnsi="Arial"/>
          <w:sz w:val="15"/>
          <w:szCs w:val="15"/>
          <w:color w:val="auto"/>
        </w:rPr>
        <w:t>A product's safety and effectiveness in one test is not necessarily indicative of its safety and effectiveness in another test. Moreover, we may not discover all potential problems with a product even after completing testing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test results indicated. This could prevent the product's widespread use, require its withdrawal from the market or expose us to liability.</w:t>
      </w:r>
    </w:p>
    <w:p>
      <w:pPr>
        <w:spacing w:after="0" w:line="15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results of the clinical trials and all supporting data are submitted to the FDA for approval. A Biologics License Application (BLA) is submitted for a biologic product; a New Drug Application (NDA) for a drug product. The interval between IND filing and BLA/NDA filing is usually at least several years due to the length of the clinical trials, and the BLA/NDA review process can take over a year. During this time the FDA may request further testing or additional trials or may turn down the application. Even with approval, the FDA frequently requires post-marketing safety studies (known as Phase 4 trials) to be performed.</w:t>
      </w:r>
    </w:p>
    <w:p>
      <w:pPr>
        <w:spacing w:after="0" w:line="167"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FDA requires that the manufacturing facility that produces a licensed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Approval</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FDA has various programs, including fast track, priority review, and accelerated approval, that are intended to expedite or simplify the process for reviewing drugs, and/or provide for approval on the basis of surrogate endpoints. Generally, drugs that may be eligible for these programs are those for serious or life-threatening conditions, those with the potential to address unmet medical needs, and those that offer meaningful benefits over existing treatments, however, these programs do not affect the standards for approval. Fast track designation applies to the combination of the product and the specific indication for which it is being studied. As a condition of approval, the FDA may require that a sponsor of a drug receiving accelerated approval perform post-marketing clinical trials.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w:t>
      </w:r>
    </w:p>
    <w:p>
      <w:pPr>
        <w:spacing w:after="0" w:line="17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Once an approval is granted, the FDA may withdraw the approval if compliance with regulatory standards is not maintained or if problems occur after the product reaches the market. After approval, some types of changes to the approved product, such as adding new indications, manufacturing changes and additional labeling claims, are subject to further FDA review and approval. In addition, the FDA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Approval by the FDA does not ensure approval by the regulatory bodies of other countries.</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Under European Union regulatory systems, we may submit marketing authorization applications either under a centralized or decentralized procedure. The centralized procedure, which is compulsory for medicines produced by biotechnology and optional for those which are highly innovative, provides for the grant of a single marketing authorization that is valid for all European Union member states. The decentralized procedure provides for mutual recognition of national approval decisions. Under the decentralized procedure, the holder of a national marketing authorization may submit an application to the remaining member states. Within 90 days of receiving the applications and assessments report each member state must decide whether to recognize approval. If a member state does not recognize the marketing authorization, the disputed points are eventually referred to the European Commission, whose decision is binding on all member states. As in the United States, we may apply for designation of our products as orphan drug for the treatment of a specific indication in the European Union before the application for marketing authorization is made. Orphan drugs in Europe enjoy economic and marketing benefits, including a 10-year market exclusivity period for the approved indication, but not for the same drug, unless another applicant can show that its product is safer, more effective or otherwise clinically superior to the orphan-designated product.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collaborators are also subject to all of the above-described regulations in connection with the commercialization of products utilizing our technology.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Processes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subject to a variety of financial disclosure and securities trading regulations as a public company in the U.S., including laws relating to the oversight activities of the SEC and the regulations of the NASDAQ Global Market, on which our shares are traded. We are also subject to regulation under other federal laws and regulation under state and local laws, including laws relating to occupational safety, laboratory practices, environmental regulations, and hazardous substance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240" w:firstLine="341"/>
        <w:spacing w:after="0" w:line="306" w:lineRule="auto"/>
        <w:rPr>
          <w:sz w:val="20"/>
          <w:szCs w:val="20"/>
          <w:color w:val="auto"/>
        </w:rPr>
      </w:pPr>
      <w:r>
        <w:rPr>
          <w:rFonts w:ascii="Arial" w:cs="Arial" w:eastAsia="Arial" w:hAnsi="Arial"/>
          <w:sz w:val="16"/>
          <w:szCs w:val="16"/>
          <w:color w:val="auto"/>
        </w:rPr>
        <w:t>As of December 31, 2012, we employed 112 employees (106 full-time, 3 part-time and 3 interns), 15 of whom have Ph.D. and/or M.D. degrees. Of these employees, 93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160" w:firstLine="345"/>
        <w:spacing w:after="0" w:line="268" w:lineRule="auto"/>
        <w:rPr>
          <w:sz w:val="20"/>
          <w:szCs w:val="20"/>
          <w:color w:val="auto"/>
        </w:rPr>
      </w:pPr>
      <w:r>
        <w:rPr>
          <w:rFonts w:ascii="Arial" w:cs="Arial" w:eastAsia="Arial" w:hAnsi="Arial"/>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86"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future losses and we may never become profitable.</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have incurred operating losses of $58.1 million, $43.4 million and $6.5 million during 2012, 2011 and 2010, respectively, and expect to incur an operating loss in 2013. We believe that operating losses will continue in and beyond 2013 because we are planning to incur significant costs associated with the clinical development and manufacturing of commercial supply of rindopepimut and CDX-011 to prepare for the potential launch of rindopepimut and CDX-011. In addition, we are planning to incur significant costs in the clinical development of CDX-1135, CDX-1127, CDX-301 and CDX-1401.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7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long term success depends heavily on our ability to fund and complete research and development activities for, and to commercialize, our lead drug candidates, rindopepimut and CDX-011.</w:t>
      </w:r>
    </w:p>
    <w:p>
      <w:pPr>
        <w:spacing w:after="0" w:line="186" w:lineRule="exact"/>
        <w:rPr>
          <w:sz w:val="20"/>
          <w:szCs w:val="20"/>
          <w:color w:val="auto"/>
        </w:rPr>
      </w:pPr>
    </w:p>
    <w:p>
      <w:pPr>
        <w:ind w:right="240" w:firstLine="351"/>
        <w:spacing w:after="0" w:line="284" w:lineRule="auto"/>
        <w:rPr>
          <w:sz w:val="20"/>
          <w:szCs w:val="20"/>
          <w:color w:val="auto"/>
        </w:rPr>
      </w:pPr>
      <w:r>
        <w:rPr>
          <w:rFonts w:ascii="Arial" w:cs="Arial" w:eastAsia="Arial" w:hAnsi="Arial"/>
          <w:sz w:val="16"/>
          <w:szCs w:val="16"/>
          <w:color w:val="auto"/>
        </w:rPr>
        <w:t>Our current plans are to retain the rights to develop and commercialize rindopepimut in North America. We may explore potential development and commercialization collaborations for any of our programs where appropriate, which may include opportunities to commercialize rindopepimut outside of North America. Therefore, we must allocate a significant portion of our time, personnel and financial resources to the development of rindopepimut and CDX-</w:t>
      </w:r>
    </w:p>
    <w:p>
      <w:pPr>
        <w:spacing w:after="0" w:line="1" w:lineRule="exact"/>
        <w:rPr>
          <w:sz w:val="20"/>
          <w:szCs w:val="20"/>
          <w:color w:val="auto"/>
        </w:rPr>
      </w:pPr>
    </w:p>
    <w:p>
      <w:pPr>
        <w:ind w:right="40" w:firstLine="8"/>
        <w:spacing w:after="0" w:line="295" w:lineRule="auto"/>
        <w:tabs>
          <w:tab w:leader="none" w:pos="3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initiated ACT IV, our pivotal Phase 3 clinical trial of rindopepimut, in December 2011. We expect to complete patient accrual by the end of 2013 and anticipate receiving data 18 to 24 months after completing accrual. We anticipate ACT IV to cost over $60 million during its duration. In December 2012, we had our end of Phase 2b meeting with the FDA for our CDX-011 program. Based on this meeting, we intend to initiate a randomized study of CDX-011 suitable for accelerated approval in patients with triple negative breast cancer that also over-express GPNMB in the second half of 2013.</w:t>
      </w:r>
    </w:p>
    <w:p>
      <w:pPr>
        <w:spacing w:after="0" w:line="16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management team lacks significant experience in completing Phase 3 clinical trials and bringing a drug through commercialization. If we face delays, difficulties or unanticipated costs in completing the development of rindopepimut or CDX-011, we will need substantial additional financing. Further, even if we complete the development of rindopepimut or CDX-011 and gain marketing approvals from the FDA and comparable foreign regulatory authorities in a timely manner, we cannot be sure that rindopepimut or CDX-011 will be commercially successful in the pharmaceutical market. If the results of clinical trials, the anticipated or actual timing of marketing approvals, or the market acceptance of rindopepimut or CDX-011, if approved, do not meet the expectations of investors or public market analysts, the market price of our common stock would likely decline.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370" w:lineRule="auto"/>
        <w:rPr>
          <w:sz w:val="20"/>
          <w:szCs w:val="20"/>
          <w:color w:val="auto"/>
        </w:rPr>
      </w:pPr>
      <w:r>
        <w:rPr>
          <w:rFonts w:ascii="Arial" w:cs="Arial" w:eastAsia="Arial" w:hAnsi="Arial"/>
          <w:sz w:val="15"/>
          <w:szCs w:val="15"/>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will be unable to develop and ultimately commercialize our drug candidates successfully.</w:t>
      </w:r>
    </w:p>
    <w:p>
      <w:pPr>
        <w:spacing w:after="0" w:line="11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expect to incur significant costs as we develop our drug candidates. In particular, the continuing development and commercialization of rindopepimut and CDX-011 through commercial launch requires additional capital beyond our current resources. As of December 31, 2012, we had cash, cash equivalents and marketable securities of $84.0 million. We raised an aggregate of $114 million in net proceeds from issuances of our common stock in January and February 2013. We may take further steps to raise additional capital to fund our long-term liquidity needs. Our capital raising activities may include, but may not be limited to, one or more of the following:</w:t>
      </w:r>
    </w:p>
    <w:p>
      <w:pPr>
        <w:spacing w:after="0" w:line="21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licensing of drug candidates with existing or new collaborative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business combinations;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debt;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common stock or other securities via private placements or public offerings.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While we may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January 2011, we entered into a controlled equity offering sales agreement with Cantor Fitzgerald &amp; Co. pursuant to which we could issue and sell up to 5,000,000 shares of our common stock from time to time through Cantor, acting as agent. During the years ended December 31, 2012 and 2011, we issued 4,425,000 and 575,000 shares of common stock under the Cantor agreement and raised $19.0 million and $2.2 million in net proceeds, after deducting commission and offering expenses, respectively.</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September 2012, we amended the Cantor agreement to allow us to issue and sell additional shares of our common stock having an aggregate offering price of up to $44.0 million. Under the Cantor amendment, we will pay Cantor a fixed commission rate of 3.0% of the gross sales price per share of any common stock sold through Cantor. The Cantor amendment terminates upon ten day notice by either Cantor or us. During the year ended December 31, 2012, we issued 3,578,290 shares under the Cantor amendment and raised $21.1 million in net proceeds. During January 2013, we issued 2,433,608 shares under the Cantor amendment and raised $17.1 million in net proceeds. At February 28, 2013, we had $4.4 million remaining in aggregate offering price available under the Cantor amendment which may be sold upon the expiration of the 90-day lock-up with the underwriters of our underwritten public offering in February 2013.</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February 2013, we issued 13,800,000 shares of our common stock in an underwritten public offering, including the underwriter's exercise of their full over-allotment option to purchase an additional 1,800,000 shares of common stock. The net proceeds to us were $97.0 million, after deducting underwriting fees and offering expenses.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may or may not sell additional shares under the Cantor amendment, depending on the volume and price of our common stock, as well as our capital needs and potential alternative sources of capital. If we actively sell shares under the Cantor amendment, a significant number of shares of common stock could be issued in a short period of time, although we would attempt to structure the volume and price thresholds in a way that minimizes market impact. Notwithstanding these control efforts, these sales, or the perceived risk of dilution from potential sales of stock through the Cantor amendment, may depress our stock price, cause holders of our common stock to sell their shares, or encourage short selling by market participants, which could contribute to a decline in our stock price. A decline in our stock price might impede our ability to raise capital through the issuance of additional shares of common stock or other equity securities, and may cause our stockholders to lose part or all of the value of their investment in our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manage one Phase 3 clinical trial or multiple late stage clinical trials for a variety of product candidates simultaneously.</w:t>
      </w:r>
    </w:p>
    <w:p>
      <w:pPr>
        <w:spacing w:after="0" w:line="24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our current clinical trials progress, we may need to manage multiple late stage clinical trials simultaneously in order to continue developing all of our current products. Our management team does not have significant experience in completing late stage clinical trials and the management of late stage clinical trials is more complex and time consuming than early stage trials. Typically, early stage trials involve several hundred patients in no more than 10-30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77"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86"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w:t>
      </w:r>
    </w:p>
    <w:p>
      <w:pPr>
        <w:spacing w:after="0" w:line="16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significant third parties who we currently rely on for clinical development activities include Novella Clinical Inc. for our ACT IV study. If Novella is unable to perform in a quality and timely manner, and at a feasible cost, ACT IV will face delays. Further, if any of these third parties fails to perform as we expect or if their work fails to meet regulatory standards, our testing could be delayed, cancelled or rendered ineffective.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 party collaborators to license, develop and commercialize such drug candidates, and they may not meet our expectations.</w:t>
      </w:r>
    </w:p>
    <w:p>
      <w:pPr>
        <w:spacing w:after="0" w:line="194"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Our current plans are to retain the rights to develop and commercialize rindopepimut in North America. We may explore potential development and commercialization collaborations for any of our</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programs where appropriate, which may include opportunities to commercialize rindopepimut outside of North America.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delays, difficulties or unanticipated costs in establishing sales, distribution and manufacturing capabilities for our commercially ready products.</w:t>
      </w:r>
    </w:p>
    <w:p>
      <w:pPr>
        <w:spacing w:after="0" w:line="26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current plan is to retain, rather than license to a third party, all rights to rindopepimut in North America. As a result, we will have full responsibility for commercialization of this product if and when it is approved for sale. We currently lack the marketing, sales and distribution capabilities that we will need to carry out this strategy. To market any of our products directly, we must develop a substantial marketing and sales force with technical expertise and a supporting distribution capability. We have little expertise in this area, and we may not succeed. We may find it necessary to enter into strategic partnerships on uncertain but potentially unfavorable terms to sell, market and distribute our products when they are approved for sale.</w:t>
      </w:r>
    </w:p>
    <w:p>
      <w:pPr>
        <w:spacing w:after="0" w:line="170"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Some of our products are difficult to manufacture, especially in large quantities, and we have not yet developed commercial scale manufacturing processes for any of our products. We do not currently plan to develop internal manufacturing capabilities to produce any of our products at commercial scale if they are approved for sale. To the extent that we choose to market and distribute these products ourselves, this strategy will make us dependent on other companies to produce our products in adequate quantities, in compliance with regulatory requirements, and at a competitive cost. We may not find third parties capable of meeting those manufacturing needs.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are subject to extensive regulatory scrutiny.</w:t>
      </w:r>
    </w:p>
    <w:p>
      <w:pPr>
        <w:spacing w:after="0" w:line="225"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All of our drug candidates are at various stages of development and commercialization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the drug candidate.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market because they are found to be unsafe or ineffective when tested. Companies in the pharmaceutical and biotechnology industries have suffered significant setbacks in advanced clinical trials, even after obtaining promising results in earlier trials. Our inability to commercialize a drug candidate would impair our ability to earn future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do not pass required tests for safety and effectiveness, we will not be able to derive commercial revenue from them.</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order to succeed, we will need to derive commercial revenue from the products we have under development. The FDA has not approved our rindopepimut or CDX-011 drug candidates or any of our other products for sale to date. Our drug candidates are in various stages of preclinical and clinical testing. Preclinical tests are performed at an early stage of a product's development and provide information about a product's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new drug application is filed with the FDA, it may take more than a year to receive FDA approval.</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all cases we must show that a pharmaceutical product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products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testing is critical to the success of our products but subject to delay or cancellation if we have difficulty enrolling patients.</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our portfolio of potential products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11"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cannot enroll patients as needed, our costs may increase or it could force us to delay or terminate testing for a product.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delays in completing our clinical trials and we may not complete them at all.</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have not completed the clinical trials necessary to obtain FDA approval to market rindopepimut, CDX-011 or any of our other products in development. We initiated a Phase 3 study of rindopepimut in December 2011 but we have not initiated Phase 3 studies for CDX-011 or any of our other products in development. Our management lacks significant experience in completing Phase 3 trials and bringing a drug through commercialization. Our rindopepimut Phase 3 trial, CDX-011 late-stage studies and planned clinical trials for other products in development may be delayed or terminated as a result of many factors, including the following:</w:t>
      </w:r>
    </w:p>
    <w:p>
      <w:pPr>
        <w:spacing w:after="0" w:line="21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enrolling patients in our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regulators to authorize us to commence a clinical trial;</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or failure of our contract manufacturers to comply with cGMP requirements;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failure of the FDA to remove the clinical hold on our CDX-011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treatment candidates demonstrating a lack of efficacy during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Any delay or failure to complete clinical trials and obtain FDA approval for our drug candidates could have a material adverse effect on our cost to develop and commercialize, and our ability to generate revenue from, a particular drug candidate.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obtaining regulatory approval would have an adverse impact on our ability to earn future revenues.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It is possible that none of the drug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7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 for which we are aware have initiated a Phase 3 study or have obtained marketing approval for a potentially competitive drug include Alexion, Agenus, Baxter, BMS, Dendreon, Eli Lilly, GlaxoSmithKline, ImmunoGen, Merck, Pfizer, Roche, Sanofi-Aventis, Seattle Genetics, and Takeda.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applicable regulatory requirements would adversely impact our operations.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Even after receiving regulatory approval, our products would be subject to extensive regulatory requirements, and our failure to comply with applicable regulatory requirements will adversely impact our operations. In the United States, the FDA requires that the manufacturing facility that produces a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9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86"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The loss of Anthony S. Marucci, our President and Chief Executive Officer, or other key members of our staff, including Avery W. Catlin, our Chief Financial Officer, Dr. Thomas Davis, our Chief Medical Officer, Dr. Tibor Keler, our Chief Scientific Officer or Dr. Ronald Pepin, our Chief Business Officer, could harm us. We entered into employment agreements with Messrs. Marucci, Catlin, Davis, Keler and Pepin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8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We rely on contract manufacturers over whom we have limited control. Should the cost, delivery and quality of clinical and commercial grade materials supplied by contract manufacturers vary to our disadvantage, our business operations could suffer significant harm.</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limited experience in large scale manufacturing at our Fall River facility. We have manufactured clinical materials of CDX-1127, CDX-1135, CDX-1401 and CDX-301 in our Fall River facility for our current and planned Phase 1 and Phase 2 clinical trials. We have initiated the manufacturing of the next lot of CDX-011 for which we manufactured the CR011 antibody in our Fall River facility. We rely on sourcing from third-party manufacturers for suitable quantities of our late-stage clinical and commercial grade materials and certain filling and packaging essential to preclinical and clinical studies currently underway and for planned clinical trials in addition to those currently being conducted by third parties or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plan to establish a relationship with a contract manufacturer to support our clinical trials and for the commercial manufacturing of rindopepimut and CDX-011 in 2013. The inability to have suitable quality and quantities of these essential materials produced in a timely manner would result in significant delays in the clinical development and commercialization of products, which could adversely affect our business, financial condition and results of operations.</w:t>
      </w:r>
    </w:p>
    <w:p>
      <w:pPr>
        <w:spacing w:after="0" w:line="16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also rely on collaborators and contract manufacturers to manufacture proposed products in both clinical and commercial quantities in the future. 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72"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There can be no assurances that we will be able to enter into long-term arrangements with third party manufacturers on acceptable terms, or at all. Further, contract manufacturers must also be able to meet our timetable and requirements, and must operate in compliance with cGMP;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and deliver products on a timely and competitive basis.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significant third parties who we currently rely on for sourcing of suitable quantities of some of our clinical and commercial grade materials include Biosyn, Bayer and Sanofi for our rindopepimut drug candidate. If we or our third-party manufacturers are unable to produce drug material in suitable quantities of appropriate quality, in a timely manner, and at a feasible cost, our clinical tests will face delays.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could affect the demand for and sales of any products that we may commercialize in the future.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other factors that could affect the demand for and sales and profitability of our products include, but are not limited to:</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products;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or any other of our partners' pricing decisions, as applicable, including a decision to increase or decrease the price of a product, and the pricing decisions of our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government and third-party payer reimbursement and coverage decisions that affect the utilization of our products and competing products;</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could cause the sales of our products to decrease or a product to be recalled;</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degree of patent protection afforded our products by patents granted to or licensed by us and by the outcome of litigation involving our or any of our licensor's patents;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products or processes related to production and formulation of those products or uses of those products;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of market penetration by competing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could have a material adverse effect on the sales of any products that we may commercialize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the risk of product liability claims, which could exceed our insurance coverage, and produce recalls, each of which could deplete our cash resources.</w:t>
      </w:r>
    </w:p>
    <w:p>
      <w:pPr>
        <w:spacing w:after="0" w:line="260" w:lineRule="exact"/>
        <w:rPr>
          <w:sz w:val="20"/>
          <w:szCs w:val="20"/>
          <w:color w:val="auto"/>
        </w:rPr>
      </w:pPr>
    </w:p>
    <w:p>
      <w:pPr>
        <w:ind w:right="200" w:firstLine="341"/>
        <w:spacing w:after="0" w:line="323" w:lineRule="auto"/>
        <w:rPr>
          <w:sz w:val="20"/>
          <w:szCs w:val="20"/>
          <w:color w:val="auto"/>
        </w:rPr>
      </w:pPr>
      <w:r>
        <w:rPr>
          <w:rFonts w:ascii="Arial" w:cs="Arial" w:eastAsia="Arial" w:hAnsi="Arial"/>
          <w:sz w:val="15"/>
          <w:szCs w:val="15"/>
          <w:color w:val="auto"/>
        </w:rPr>
        <w:t>As a participant in the pharmaceutical and biotechnology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healthcare providers or by individuals, organizations or companies selling our products. Product liability claims can be expensive to defend, even if the drug or drug candidate did not actually cause the alleged injury or harm.</w:t>
      </w:r>
    </w:p>
    <w:p>
      <w:pPr>
        <w:spacing w:after="0" w:line="15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$14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commercialization of other products and drug candidates.</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some of our licensing and other agreements with third parties require or might require us to maintain product liability insurance. If we cannot maintain acceptable amounts of coverage on commercially reasonable terms in accordance with the terms set forth in these agreements, the corresponding agreements would be subject to termination, which could have a material adverse impact on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w:t>
      </w:r>
    </w:p>
    <w:p>
      <w:pPr>
        <w:spacing w:after="0" w:line="24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Because we rely on third parties to develop our products,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integrate acquired technology with our existing technology or to modify our technologies to create new drug candidates.</w:t>
      </w:r>
    </w:p>
    <w:p>
      <w:pPr>
        <w:spacing w:after="0" w:line="260"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As part of our acquisition of technology assets from entities such as Amgen, we have acquired access to Flt3L, which may improve the immunogenicity of our drug candidates. If we are able to integrate these licensed assets with our drug candidates, we believe these assets will give our drug candidates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may face the loss of our investment of financial resources and time in the integration process.</w:t>
      </w:r>
    </w:p>
    <w:p>
      <w:pPr>
        <w:spacing w:after="0" w:line="198"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believe that our technology may offer opportunities to develop drug candidates that treat a variety of oncology, inflammatory and infectious diseases by stimulating a patient's immune system against those disease organisms. If our technology cannot be used to create effective drug candidates against a variety of disease organisms, we may lose all or portions of our investment in development efforts for new drug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license technology from other companies to develop products, and those companies could influence research and development or restrict our use of it.</w:t>
      </w:r>
    </w:p>
    <w:p>
      <w:pPr>
        <w:spacing w:after="0" w:line="26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licenses or permit our competitors to use the technology. Moreover, we may lose our right to market and sell any products based on the licensed technology.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many competitors in our field and they may develop technologies that make ours obsolete.</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The competitors for which we are aware have initiated a Phase 3 study or have obtained marketing approval for a potentially competitive drug include Alexion, Agenus, Baxter, BMS, Dendreon, Eli Lilly, GlaxoSmithKline, ImmunoGen, Merck, Pfizer, Roche, Sanofi-Aventis, Seattle Genetics, and Takeda.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8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rely on patents, patent applications and other intellectual property protections to protect our technology and trade secrets; which are expensive and may not provide sufficient protection.</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success depends in part on our ability to obtain and maintain patent protection for technologies that we use. 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seek will issue. If they do issue,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us to use hazardous materials, which increases our exposure to dangerous and costly accidents.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and restrictions on reimbursement may limit our returns on potential products.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Because our strategy ultimately depends on the commercial success of our products, we assume, among other things, that end users of our products will be able to pay for them. In the United States and other countries, in most cases, the volume of sales of products like those we are developing depends on the availability of reimbursement from third-party payors, including national health care agencies, private health insurance plans and health maintenance organizations. Third-party payors increasingly challenge the prices charged for medical products and services. Accordingly, if we succeed in bringing products to market, and reimbursement is not available or is insufficient, we could be prevented from successfully commercializing our potential products.</w:t>
      </w:r>
    </w:p>
    <w:p>
      <w:pPr>
        <w:spacing w:after="0" w:line="170"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health care industry in the United States and in Europe is undergoing fundamental changes as a result of political, economic and regulatory influences. Reforms proposed from time to time include mandated basic health care benefits, controls on health care spending, the establishment of governmental controls over the cost of therapies, creation of large medical services and products purchasing groups and fundamental changes to the health care delivery system. We anticipate ongoing review and assessment of health care delivery systems and methods of payment in the United States and other countries. We cannot predict whether any particular reform initiatives will result or, if adopted, what their impact on us will be. However, we expect that adoption of any reform proposed will impair our ability to market products at acceptable prices and that uncertainty concerning future government regulation of consumer healthcare purchasing and insurance may result in difficulties for drug development companies, like us, in raising capital.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affecting the health care industry could adversely affect our business.</w:t>
      </w:r>
    </w:p>
    <w:p>
      <w:pPr>
        <w:spacing w:after="0" w:line="225"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In the U.S., there have been numerous proposals considered at the federal and state levels for comprehensive reforms of health care and its cost, and it is likely that federal and state legislatures and health agencies will continue to focus on health care reform in the future. Congress has considered legislation to reform the U.S. health care system by expanding health insurance coverage, reducing health care costs and making other changes. While health care reform may increase the number of patients who have insurance coverage for our products, it may also include cost containment measures that adversely affect reimbursement for our products. Congress has also considered legislation to change the Medicare reimbursement system for outpatient drugs, increase the amount of rebates that manufacturers pay for coverage of their drugs by Medicaid programs and facilitate the importation of lower-cost prescription drugs that are marketed outside the U.S.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6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and our collaborators and partners operate in a highly regulated industry. As a result, governmental actions may adversely affect our business, operations or financial condition, including:</w:t>
      </w:r>
    </w:p>
    <w:p>
      <w:pPr>
        <w:spacing w:after="0" w:line="199" w:lineRule="exact"/>
        <w:rPr>
          <w:sz w:val="20"/>
          <w:szCs w:val="20"/>
          <w:color w:val="auto"/>
        </w:rPr>
      </w:pPr>
    </w:p>
    <w:p>
      <w:pPr>
        <w:ind w:left="1080" w:right="3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decisions, related to health care availability, method of delivery and payment for health care products and services;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that may delay or prevent the approval of new products and result in lost market opportunity;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regulations and judicial decisions affecting pricing or marketing practices;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tax laws relating to our operations.</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enactment in the U.S. of health care reform, possible legislation which could ease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 Amendments Act of 2007 included new authorization for the FDA to require post-market safety monitoring, along with an expanded clinical trials registry and clinical trials results database, and expanded authority for the FDA to impose civil monetary penalties on companies that fail to meet certain commitments.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physicians, patients and third-party payors do not accept any future drugs that we may develop, we may be unable to generate significant revenue, if any.</w:t>
      </w:r>
    </w:p>
    <w:p>
      <w:pPr>
        <w:spacing w:after="0" w:line="26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Even if our drug candidates as well as any drug candidates that we may develop or acquire in the future obtain regulatory approval, they may not gain market acceptance among physicians, patients and health care payors. Physicians may elect not to recommend these drugs for a variety of reasons including:</w:t>
      </w:r>
    </w:p>
    <w:p>
      <w:pPr>
        <w:spacing w:after="0" w:line="15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market introduction of competitive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demonstrated clinical safety and efficacy compared to other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availability of reimbursement from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ineffective marketing and distribution support.</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any drugs that we develop fail to achieve market acceptance, we would not be able to generate sufficient revenue from product sales to maintain or grow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history of losses and uncertainty of future profitability make our common stock a highly speculative investment.</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have had no commercial revenue to date from sales of our drug candidiates and cannot predict when we will have commercial revenue from such sales. We had an accumulated deficit of $264.1 million as of December 31, 2012. We expect to spend substantial funds to continue the research and development testing of our products that we have in the preclinical and clinical testing stages of development that have not been partnered.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anticipation of FDA approval of these products, we will need to make substantial investments to establish sales, marketing, quality control, and regulatory compliance capabilities. These investments will increase if and when any of these products receive FDA approval. We cannot predict how quickly our lead products will progress through the regulatory approval process. As a result, we may continue to lose money for several years.</w:t>
      </w:r>
    </w:p>
    <w:p>
      <w:pPr>
        <w:spacing w:after="0" w:line="16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market price of our common stock has historically experienced and may continue to experience significant volatility. From January 2012 through December 2012, the market price of our common stock has fluctuated from a high of $7.20 per share in the fourth quarter of 2012, to a low of $2.65 per share in the first quarter of 2012.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restrictive covenants contained in our credit agreement may limit our activities.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December 30, 2010, we entered into a Loan and Security Agreement (the "Loan Agreement") with MidCap Financial, LLC (MidCap) pursuant to which we borrowed $10 million (the "Term Loan") from MidCap. In March 2011, we amended the Loan Agreement and borrowed an additional $5 million from General Electric Capital Corporation (GECC) (collectively with MidCap, the "Lenders") to increase the amount owed under the Term Loan to $15 million. In March 2012, we amended the Loan Agreement to extend the maturity date from December 2013 to December 2014. Our obligations under the Term Loan are secured by a first priority lien upon and security interest in substantially all of our existing and after-acquired assets, excluding our intellectual property assets (the "Collateral"). Under the Term Loan, we are subject to specified affirmative covenants customary for loans of this type, including but not limited to the obligations to maintain good standing, provide various notices to the Lenders, deliver financial statements to the Lenders, maintain adequate insurance, promptly discharge all taxes, protect our intellectual property and protect the Collateral. We are also subject to certain negative covenants customary for loans of this type, including but not limited to prohibitions against certain mergers and consolidations, certain management and ownership changes constituting a "change of control," and the imposition of additional liens on Collateral or other of our assets, as well as prohibitions against additional indebtedness, certain dispositions of property, changes in our business, name or location, payment of dividends, prepayment of certain other indebtedness, certain investments or acquisitions, and certain transactions with affiliates, in each case subject to certain customary exceptions, including exceptions that allow us to enter into non-exclusive and/or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exclusive licenses and similar agreements providing for the use of our intellectual property in collaboration with third parties provided certain conditions are met.</w:t>
      </w:r>
    </w:p>
    <w:p>
      <w:pPr>
        <w:spacing w:after="0" w:line="248"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Failure to comply with the restrictive covenants in our Term Loan could accelerate the repayment of any debt outstanding under the Term Loan. Additionally, as a result of these restrictive covenants, we may be at a disadvantage compared to our competitors that have greater operating and financing flexibility than we do.</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will be subject to limitation and, under certain circumstances, may be eliminated.</w:t>
      </w: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October 2007, June 2009 and in December 2009,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 ownership change in October 2007, utilization of our Federal net operating loss carryforwards is subject to an annual limitation. Any unused annual limitation may be carried over to later years, and the amount of the limitation may, under certain circumstances, be subject to adjustment if the fair value of the our net assets are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7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have not undertaken a study to assess whether an ownership change or multiple ownership changes has occurred for (i) AVANT or CuraGen prior to our acquisitions, (ii) the Company on the state level, (iii) the Company since October 2012, or (iv) research and development credits. If, based on such a study, we were to determine that there has been an ownership change at any time since its formation, utilization of net operating loss or tax credit carryforwards would be subject to an annual limitation under Section 382.</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 to Note 15, "Income Taxes," in the accompanying notes to the consolidated financial statements for additional discussion on income taxes.</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28, 2013, our significant leased properties are described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5"/>
              </w:rPr>
              <w:t>Approximate</w:t>
            </w:r>
          </w:p>
        </w:tc>
        <w:tc>
          <w:tcPr>
            <w:tcW w:w="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Property Location</w:t>
            </w:r>
          </w:p>
        </w:tc>
        <w:tc>
          <w:tcPr>
            <w:tcW w:w="900" w:type="dxa"/>
            <w:vAlign w:val="bottom"/>
          </w:tcPr>
          <w:p>
            <w:pPr>
              <w:jc w:val="right"/>
              <w:ind w:right="19"/>
              <w:spacing w:after="0"/>
              <w:rPr>
                <w:sz w:val="20"/>
                <w:szCs w:val="20"/>
                <w:color w:val="auto"/>
              </w:rPr>
            </w:pPr>
            <w:r>
              <w:rPr>
                <w:rFonts w:ascii="Arial" w:cs="Arial" w:eastAsia="Arial" w:hAnsi="Arial"/>
                <w:sz w:val="14"/>
                <w:szCs w:val="14"/>
                <w:b w:val="1"/>
                <w:bCs w:val="1"/>
                <w:color w:val="auto"/>
                <w:w w:val="97"/>
              </w:rPr>
              <w:t>Square Feet</w:t>
            </w:r>
          </w:p>
        </w:tc>
        <w:tc>
          <w:tcPr>
            <w:tcW w:w="180" w:type="dxa"/>
            <w:vAlign w:val="bottom"/>
          </w:tcPr>
          <w:p>
            <w:pPr>
              <w:spacing w:after="0"/>
              <w:rPr>
                <w:sz w:val="14"/>
                <w:szCs w:val="14"/>
                <w:color w:val="auto"/>
              </w:rPr>
            </w:pPr>
          </w:p>
        </w:tc>
        <w:tc>
          <w:tcPr>
            <w:tcW w:w="2800" w:type="dxa"/>
            <w:vAlign w:val="bottom"/>
          </w:tcPr>
          <w:p>
            <w:pPr>
              <w:ind w:left="1280"/>
              <w:spacing w:after="0"/>
              <w:rPr>
                <w:sz w:val="20"/>
                <w:szCs w:val="20"/>
                <w:color w:val="auto"/>
              </w:rPr>
            </w:pPr>
            <w:r>
              <w:rPr>
                <w:rFonts w:ascii="Arial" w:cs="Arial" w:eastAsia="Arial" w:hAnsi="Arial"/>
                <w:sz w:val="14"/>
                <w:szCs w:val="14"/>
                <w:b w:val="1"/>
                <w:bCs w:val="1"/>
                <w:color w:val="auto"/>
              </w:rPr>
              <w:t>Use</w:t>
            </w:r>
          </w:p>
        </w:tc>
        <w:tc>
          <w:tcPr>
            <w:tcW w:w="16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w w:val="92"/>
              </w:rPr>
              <w:t>Lease 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Needham, Massachusetts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Office Headquarters and Laboratory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Fall River, Massachusetts</w:t>
            </w:r>
          </w:p>
        </w:tc>
        <w:tc>
          <w:tcPr>
            <w:tcW w:w="900" w:type="dxa"/>
            <w:vAlign w:val="bottom"/>
          </w:tcPr>
          <w:p>
            <w:pPr>
              <w:jc w:val="right"/>
              <w:spacing w:after="0"/>
              <w:rPr>
                <w:sz w:val="20"/>
                <w:szCs w:val="20"/>
                <w:color w:val="auto"/>
              </w:rPr>
            </w:pPr>
            <w:r>
              <w:rPr>
                <w:rFonts w:ascii="Arial" w:cs="Arial" w:eastAsia="Arial" w:hAnsi="Arial"/>
                <w:sz w:val="18"/>
                <w:szCs w:val="18"/>
                <w:color w:val="auto"/>
              </w:rPr>
              <w:t>23,400</w:t>
            </w: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Manufacturing Facility</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w w:val="94"/>
              </w:rPr>
              <w:t>December 2017(1)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Phillipsburg, New Jersey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 and Laboratory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November 2013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Branford, Connecticut</w:t>
            </w:r>
          </w:p>
        </w:tc>
        <w:tc>
          <w:tcPr>
            <w:tcW w:w="900" w:type="dxa"/>
            <w:vAlign w:val="bottom"/>
          </w:tcPr>
          <w:p>
            <w:pPr>
              <w:jc w:val="right"/>
              <w:spacing w:after="0"/>
              <w:rPr>
                <w:sz w:val="20"/>
                <w:szCs w:val="20"/>
                <w:color w:val="auto"/>
              </w:rPr>
            </w:pPr>
            <w:r>
              <w:rPr>
                <w:rFonts w:ascii="Arial" w:cs="Arial" w:eastAsia="Arial" w:hAnsi="Arial"/>
                <w:sz w:val="18"/>
                <w:szCs w:val="18"/>
                <w:color w:val="auto"/>
              </w:rPr>
              <w:t>6,600</w:t>
            </w: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Office</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January 2018(2)</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 Lease also includes provision for early termination in December 2015 upon prior notice of one year.</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Lease includes one renewal option of five years. Lease also includes provision for early termination with 12 months notice.</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common stock currently trades on the Nasdaq Global Market (NASDAQ) under the symbol "CLDX". The following table sets forth for the periods indicated the high and low sale prices per share for our common stock, as reported by NASDAQ.</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Fiscal Period</w:t>
            </w:r>
          </w:p>
        </w:tc>
        <w:tc>
          <w:tcPr>
            <w:tcW w:w="1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February 28, 2013, there were approximately 483 shareholders of record of our common stock. On February 28, 2013 the closing price of our common stock, as reported by NASDAQ, was $9.52 per share. We have not paid any dividends on our common stock since our inception and do not intend to pay any dividends in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following table provides information as of December 31, 2012 regarding shares of our common stock that may be issued under our existing equity compensation plans, including our 2008 Stock Option and Incentive Plan (the "2008 Plan") and our 2004 Employee Stock Purchase Plan (the "2004 ESPP Plan").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540" w:type="dxa"/>
            <w:vAlign w:val="bottom"/>
            <w:gridSpan w:val="7"/>
          </w:tcPr>
          <w:p>
            <w:pPr>
              <w:jc w:val="right"/>
              <w:ind w:right="1740"/>
              <w:spacing w:after="0"/>
              <w:rPr>
                <w:sz w:val="20"/>
                <w:szCs w:val="20"/>
                <w:color w:val="auto"/>
              </w:rPr>
            </w:pPr>
            <w:r>
              <w:rPr>
                <w:rFonts w:ascii="Arial" w:cs="Arial" w:eastAsia="Arial" w:hAnsi="Arial"/>
                <w:sz w:val="14"/>
                <w:szCs w:val="14"/>
                <w:b w:val="1"/>
                <w:bCs w:val="1"/>
                <w:color w:val="auto"/>
              </w:rPr>
              <w:t>Equity Compensation Plan Information</w:t>
            </w: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2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to be issued upon exercise</w:t>
            </w:r>
          </w:p>
        </w:tc>
        <w:tc>
          <w:tcPr>
            <w:tcW w:w="12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compensation plan</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2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4"/>
              </w:rPr>
              <w:t>outstanding options</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(excluding securities</w:t>
            </w:r>
          </w:p>
        </w:tc>
      </w:t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and rights(1)</w:t>
            </w: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and rights</w:t>
            </w:r>
          </w:p>
        </w:tc>
        <w:tc>
          <w:tcPr>
            <w:tcW w:w="160" w:type="dxa"/>
            <w:vAlign w:val="bottom"/>
          </w:tcPr>
          <w:p>
            <w:pPr>
              <w:spacing w:after="0"/>
              <w:rPr>
                <w:sz w:val="14"/>
                <w:szCs w:val="14"/>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referenced in column (a))</w:t>
            </w:r>
          </w:p>
        </w:tc>
      </w:tr>
      <w:tr>
        <w:trPr>
          <w:trHeight w:val="201"/>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Equity compensation plans approved by security</w:t>
            </w:r>
          </w:p>
        </w:tc>
        <w:tc>
          <w:tcPr>
            <w:tcW w:w="1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holders(2)</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5,349,810(3)$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3,390,528(4)</w:t>
            </w:r>
          </w:p>
        </w:tc>
      </w:tr>
      <w:tr>
        <w:trPr>
          <w:trHeight w:val="108"/>
        </w:trPr>
        <w:tc>
          <w:tcPr>
            <w:tcW w:w="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include any Restricted Stock as such shares are already reflected in our outstanding shares.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the 2008 Plan, 2004 ESPP Plan, Celldex Research's 2005 Equity Incentive Plan and CuraGen's 2007 Stock Plan.</w:t>
      </w:r>
    </w:p>
    <w:p>
      <w:pPr>
        <w:spacing w:after="0" w:line="261"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include purchase rights accruing under the 2004 ESPP Plan because the purchase price (and therefore the number of shares to be purchased) will not be determined until the end of the purchase period.</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2008 Plan and the 2004 ESPP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THEAPEUTICS, INC., NASDAQ MARKET INDEX—U.S.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PEER GROUP INDICES</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graph below compares the cumulative total stockholder return on the common stock for the period from December 31, 2007 through December 31, 2012, with the cumulative return on (i) NASDAQ Market Index—U.S. Companies and (ii) NASDAQ Pharmaceutical Index. The comparison assumes investment of $100 on December 31, 2007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130810</wp:posOffset>
            </wp:positionV>
            <wp:extent cx="4613910" cy="257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1391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Stock Index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following selected consolidated financial data are derived from our financial statements. The consolidated statement of operations data for the years ended December 31, 2012, 2011 and 2010 and the consolidated balance sheet data as of December 31, 2012 and 2011 have been derived from our audited consolidated financial statements included elsewhere in this Annual Report on Form 10-K.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On October 1, 2009, our acquisition of CuraGen became effective. The CuraGen acquisition was accounted for using the acquisition method of accounting and was treated as our acquisition of CuraGen. Accordingly, the financial information presented below for periods prior to October 1, 2009 reflects the financial position and the results of operations of us alone, and for periods from October 1, 2009 forward the combined financial position and combined results of operations of us and CuraGen.</w:t>
      </w:r>
    </w:p>
    <w:p>
      <w:pPr>
        <w:spacing w:after="0" w:line="197"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March 7, 2008, AVANT Immunotherapeutics, Inc. ("AVANT"), a Delaware corporation organized in 1983, merged with Celldex Research (formerly known as Celldex Therapeutics, Inc.), a privately-held company, (the "AVANT Merger"). Effective October 1, 2008, we changed our name from AVANT Immunotherapeutics, Inc. to Celldex Therapeutics, Inc. The AVANT Merger was accounted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for using the purchase method of accounting and was treated as an acquisition by Celldex Research of AVANT even though AVANT was the issuer of common stock and the surviving legal entity in the transaction. Accordingly, the financial information presented below for periods prior to March 8, 2008 reflects the financial position and the results of operations of Celldex Research alone, and for periods from March 8, 2008 forward the combined financial position and combined results of operations of Celldex Research and AVANT. All amounts are in thousands except per share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40,187</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Product Royalties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10,775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Royalty</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for In-Process Research and Development(1)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Operating Expense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11,106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53,248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60" w:type="dxa"/>
            <w:vAlign w:val="bottom"/>
            <w:gridSpan w:val="3"/>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(58,077)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(43,399)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(6,455)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(36,850)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(48,756)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(1,576)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(1,337)</w:t>
            </w: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 Before Income Taxes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(59,123)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(44,799)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(37,054)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(47,501)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(59,123)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(44,799)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(36,525)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(47,501)</w:t>
            </w:r>
          </w:p>
        </w:tc>
        <w:tc>
          <w:tcPr>
            <w:tcW w:w="0" w:type="dxa"/>
            <w:vAlign w:val="bottom"/>
          </w:tcPr>
          <w:p>
            <w:pPr>
              <w:spacing w:after="0"/>
              <w:rPr>
                <w:sz w:val="1"/>
                <w:szCs w:val="1"/>
                <w:color w:val="auto"/>
              </w:rPr>
            </w:pPr>
          </w:p>
        </w:tc>
      </w:tr>
      <w:tr>
        <w:trPr>
          <w:trHeight w:val="27"/>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3"/>
            <w:vMerge w:val="continue"/>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Shares Used in Calculating Basic and Diluted Net Loss Per</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31,868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2008 amount arose as a result of the merger between AVANT and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125,541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97,994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109,943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69,793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(264,129)</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(205,006)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(160,207)</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(157,674)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(121,149)</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215"/>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lead drug candidates include rindopepimut (CDX-110), a targeted immunotherapeutic in a pivotal Phase 3 study for the treatment of front-line glioblastoma and a Phase 2 study for the treatment of recurrent glioblastoma and CDX-011, an antibody-drug conjugate which recently completed a randomized Phase 2b study for the treatment of advanced breast cancer. In addition, we have a number of earlier stage candidates in clinical development, including CDX-1135, a molecule that inhibits a part of the immune system called the complement system, CDX-1127, a therapeutic fully human monoclonal antibody for cancer indications, CDX-301, an immune cell mobilizing agent and dendritic cell growth factor and CDX-1401, an APC Targeting Technology™ program for cancer indications. Our drug candidates address market opportunities for which we believe current therapies are inadequate or non-existent.</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1000" w:type="dxa"/>
            <w:vAlign w:val="bottom"/>
          </w:tcPr>
          <w:p>
            <w:pPr>
              <w:spacing w:after="0"/>
              <w:rPr>
                <w:sz w:val="14"/>
                <w:szCs w:val="14"/>
                <w:color w:val="auto"/>
              </w:rPr>
            </w:pPr>
          </w:p>
        </w:tc>
        <w:tc>
          <w:tcPr>
            <w:tcW w:w="3340" w:type="dxa"/>
            <w:vAlign w:val="bottom"/>
          </w:tcPr>
          <w:p>
            <w:pPr>
              <w:ind w:left="120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Partner</w:t>
            </w:r>
          </w:p>
        </w:tc>
        <w:tc>
          <w:tcPr>
            <w:tcW w:w="16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CDX-110</w:t>
            </w: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Front-line glioblastoma</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3</w:t>
            </w:r>
          </w:p>
        </w:tc>
      </w:tr>
      <w:tr>
        <w:trPr>
          <w:trHeight w:val="223"/>
        </w:trPr>
        <w:tc>
          <w:tcPr>
            <w:tcW w:w="20" w:type="dxa"/>
            <w:vAlign w:val="bottom"/>
          </w:tcPr>
          <w:p>
            <w:pPr>
              <w:spacing w:after="0"/>
              <w:rPr>
                <w:sz w:val="19"/>
                <w:szCs w:val="19"/>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rPr>
              <w:t>(rindopepimut)</w:t>
            </w:r>
          </w:p>
        </w:tc>
        <w:tc>
          <w:tcPr>
            <w:tcW w:w="10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CDX-011</w:t>
            </w:r>
          </w:p>
        </w:tc>
        <w:tc>
          <w:tcPr>
            <w:tcW w:w="4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Metastatic breast cancer and melanoma</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Phase 2b</w:t>
            </w:r>
          </w:p>
        </w:tc>
      </w:tr>
      <w:tr>
        <w:trPr>
          <w:trHeight w:val="224"/>
        </w:trPr>
        <w:tc>
          <w:tcPr>
            <w:tcW w:w="20" w:type="dxa"/>
            <w:vAlign w:val="bottom"/>
          </w:tcPr>
          <w:p>
            <w:pPr>
              <w:spacing w:after="0"/>
              <w:rPr>
                <w:sz w:val="19"/>
                <w:szCs w:val="19"/>
                <w:color w:val="auto"/>
              </w:rPr>
            </w:pPr>
          </w:p>
        </w:tc>
        <w:tc>
          <w:tcPr>
            <w:tcW w:w="3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(glembatumumab vedotin)</w:t>
            </w:r>
          </w:p>
        </w:tc>
        <w:tc>
          <w:tcPr>
            <w:tcW w:w="100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CDX-110</w:t>
            </w: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Recurrent glioblastoma</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2</w:t>
            </w:r>
          </w:p>
        </w:tc>
      </w:tr>
      <w:tr>
        <w:trPr>
          <w:trHeight w:val="223"/>
        </w:trPr>
        <w:tc>
          <w:tcPr>
            <w:tcW w:w="20" w:type="dxa"/>
            <w:vAlign w:val="bottom"/>
          </w:tcPr>
          <w:p>
            <w:pPr>
              <w:spacing w:after="0"/>
              <w:rPr>
                <w:sz w:val="19"/>
                <w:szCs w:val="19"/>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rPr>
              <w:t>(rindopepimut)</w:t>
            </w:r>
          </w:p>
        </w:tc>
        <w:tc>
          <w:tcPr>
            <w:tcW w:w="10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CDX-1135</w:t>
            </w:r>
          </w:p>
        </w:tc>
        <w:tc>
          <w:tcPr>
            <w:tcW w:w="4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Renal disease</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Pilot</w:t>
            </w:r>
          </w:p>
        </w:tc>
      </w:tr>
      <w:tr>
        <w:trPr>
          <w:trHeight w:val="216"/>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CDX-1127</w:t>
            </w: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Lymphoma/leukemia and solid tumors</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CDX-301</w:t>
            </w:r>
          </w:p>
        </w:tc>
        <w:tc>
          <w:tcPr>
            <w:tcW w:w="4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4"/>
              </w:rPr>
              <w:t>Cancer, autoimmune disease and transplant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CDX-1401</w:t>
            </w: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Multiple solid tumors</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10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CDX-014</w:t>
            </w: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Ovarian and renal cancer</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7"/>
              </w:rPr>
              <w:t>Preclinical</w:t>
            </w:r>
          </w:p>
        </w:tc>
      </w:tr>
    </w:tbl>
    <w:p>
      <w:pPr>
        <w:spacing w:after="0" w:line="20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candidate. Our estimates that clinical trials of the type we generally conduct are typically completed over the following timelines: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Completion</w:t>
            </w: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4"/>
              </w:rPr>
              <w:t>Clinical Phase</w:t>
            </w:r>
          </w:p>
        </w:tc>
        <w:tc>
          <w:tcPr>
            <w:tcW w:w="6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6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Phase 2</w:t>
            </w:r>
          </w:p>
        </w:tc>
        <w:tc>
          <w:tcPr>
            <w:tcW w:w="6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1 - 5 Years</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6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94"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9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97"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8" w:lineRule="exact"/>
        <w:rPr>
          <w:sz w:val="20"/>
          <w:szCs w:val="20"/>
          <w:color w:val="auto"/>
        </w:rPr>
      </w:pPr>
    </w:p>
    <w:p>
      <w:pPr>
        <w:ind w:right="260" w:firstLine="341"/>
        <w:spacing w:after="0" w:line="256"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4" w:lineRule="exact"/>
        <w:rPr>
          <w:sz w:val="20"/>
          <w:szCs w:val="20"/>
          <w:color w:val="auto"/>
        </w:rPr>
      </w:pPr>
    </w:p>
    <w:p>
      <w:pPr>
        <w:jc w:val="both"/>
        <w:ind w:right="260" w:firstLine="351"/>
        <w:spacing w:after="0" w:line="298" w:lineRule="auto"/>
        <w:rPr>
          <w:sz w:val="20"/>
          <w:szCs w:val="20"/>
          <w:color w:val="auto"/>
        </w:rPr>
      </w:pPr>
      <w:r>
        <w:rPr>
          <w:rFonts w:ascii="Arial" w:cs="Arial" w:eastAsia="Arial" w:hAnsi="Arial"/>
          <w:sz w:val="16"/>
          <w:szCs w:val="16"/>
          <w:color w:val="auto"/>
        </w:rPr>
        <w:t>During the past five years through December 31, 2012, we incurred an aggregate of $156.3 million in research and development expenses. The following table indicates the amount incurred for each of our significant research programs and for other identified research and development activities during the years ended December 31, 2012, 2011 and 2010. The amounts disclosed in the following table reflect direct research and development costs, license fees associated with the underlying technology and an allocation of indirect research and development costs to each program.</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December 31,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December 31, 2011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2010</w:t>
            </w:r>
          </w:p>
        </w:tc>
      </w:tr>
      <w:tr>
        <w:trPr>
          <w:trHeight w:val="142"/>
        </w:trPr>
        <w:tc>
          <w:tcPr>
            <w:tcW w:w="3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1,718</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CDX-011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4,104</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CDX-1135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CDX-1127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4,967</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4,345</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CDX-1401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2,899</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r>
      <w:tr>
        <w:trPr>
          <w:trHeight w:val="222"/>
        </w:trPr>
        <w:tc>
          <w:tcPr>
            <w:tcW w:w="364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8,648</w:t>
            </w:r>
          </w:p>
        </w:tc>
      </w:tr>
      <w:tr>
        <w:trPr>
          <w:trHeight w:val="21"/>
        </w:trPr>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27,650</w:t>
            </w:r>
          </w:p>
        </w:tc>
      </w:tr>
      <w:tr>
        <w:trPr>
          <w:trHeight w:val="27"/>
        </w:trPr>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lead clinical development program, rindopepimut, is a targeted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or GB, tumors, also referred to as glioblastoma multiforme, or GBM,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 The FDA has also granted Fast Track designation.</w:t>
      </w:r>
    </w:p>
    <w:p>
      <w:pPr>
        <w:spacing w:after="0" w:line="172" w:lineRule="exact"/>
        <w:rPr>
          <w:sz w:val="20"/>
          <w:szCs w:val="20"/>
          <w:color w:val="auto"/>
        </w:rPr>
      </w:pPr>
    </w:p>
    <w:p>
      <w:pPr>
        <w:jc w:val="both"/>
        <w:ind w:right="260" w:firstLine="351"/>
        <w:spacing w:after="0" w:line="256" w:lineRule="auto"/>
        <w:rPr>
          <w:sz w:val="20"/>
          <w:szCs w:val="20"/>
          <w:color w:val="auto"/>
        </w:rPr>
      </w:pPr>
      <w:r>
        <w:rPr>
          <w:rFonts w:ascii="Arial" w:cs="Arial" w:eastAsia="Arial" w:hAnsi="Arial"/>
          <w:sz w:val="18"/>
          <w:szCs w:val="18"/>
          <w:color w:val="auto"/>
        </w:rPr>
        <w:t>In April 2008, we and Pfizer Inc. entered into a License and Development Agreement under which Pfizer was granted an exclusive worldwide license to rindopepimut. This agreement provided for reimbursement by Pfizer of all costs incurred by us in connection with the collaboration since the effective date. In November 2010, the agreement was terminated and all rights to rindopepimut were returned to us. Since the termination of this agreement, Pfizer is no longer funding the development of rindopepimut.</w:t>
      </w:r>
    </w:p>
    <w:p>
      <w:pPr>
        <w:spacing w:after="0" w:line="19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 patients. An extension of the Phase 2a study referred to as ACT II evaluated 22 additional GB patients treated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combination with the current standard of care, maintenance temozolomide, or TMZ, at the same two institutions.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initiated ACT III, a Phase 2b/3 randomized study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 TMZ.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w:t>
      </w:r>
    </w:p>
    <w:p>
      <w:pPr>
        <w:spacing w:after="0" w:line="20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November 2012, we announced three-year survival data for each of our three Phase 2 studies in rindopepimut, ACT III, ACT II and ACTIVATE. The median overall survival, or OS, in ACT III was 24.6 months from diagnosis (21.8 months from study entry) and OS was 26% at three years. The median OS in ACT II was 24.4 months from diagnosis (20.5 months from study entry) and OS was 23% at three years. The median OS in ACTIVATE was 24.6 months from diagnosis (20.4 months from study entry) and OS was 33% at three years. In addition we also announced data from a retrospective analysis of EGFRvIII expression status and associated clinical outcome in the Phase 3 Radiation Therapy Oncology Group's, or RTOG, 0525 study. This analysis was conducted by The University of Texas MD Anderson Cancer Center in cooperation with RTOG to provide an assessment of the prognosis for patients with EGFRvIII-positive disease contemporary with the ACT III data. Across three Phase 2 studies of rindopepimut, survival data remains consistent and suggests a continuing survival benefit in comparison to independent control datasets (see chart below) at the median and at three years.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Rindopepimut Overall Survival (OS) in EGFRvIII-Positive Glioblastoma vs Independent Control Datasets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Rindopepimut Phase 2 Studies (all data from study entry)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Medium</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OS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6"/>
              </w:rPr>
              <w:t>(months)</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3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ACT III (n=65)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8"/>
                <w:szCs w:val="18"/>
                <w:color w:val="auto"/>
              </w:rPr>
              <w:t>ACT II (n=22)</w:t>
            </w: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ACTIVATE (n=18)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160" w:type="dxa"/>
            <w:vAlign w:val="bottom"/>
            <w:gridSpan w:val="3"/>
          </w:tcPr>
          <w:p>
            <w:pPr>
              <w:ind w:left="20"/>
              <w:spacing w:after="0"/>
              <w:rPr>
                <w:sz w:val="20"/>
                <w:szCs w:val="20"/>
                <w:color w:val="auto"/>
              </w:rPr>
            </w:pPr>
            <w:r>
              <w:rPr>
                <w:rFonts w:ascii="Arial" w:cs="Arial" w:eastAsia="Arial" w:hAnsi="Arial"/>
                <w:sz w:val="18"/>
                <w:szCs w:val="18"/>
                <w:b w:val="1"/>
                <w:bCs w:val="1"/>
                <w:color w:val="auto"/>
              </w:rPr>
              <w:t>Independent Control Datasets (all data from study entry)</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MD Anderson EGFRvIII-positive patients matched(1) to ACTIVATE patient population (n=17)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4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(contemporary with ACTIVATE)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8"/>
                <w:szCs w:val="18"/>
                <w:color w:val="auto"/>
                <w:w w:val="98"/>
              </w:rPr>
              <w:t>Radiation Therapy Oncology Group (RTOG) 0525 study—all EGFRvIII-positive patients (n=142)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gridSpan w:val="4"/>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RTOG 0525 study—all EGFRvIII-positive patients treated with standard dose temozolomide (n=62)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4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8"/>
                <w:szCs w:val="18"/>
                <w:color w:val="auto"/>
                <w:w w:val="96"/>
              </w:rPr>
              <w:t>RTOG 0525 study—EGFRvIII-positive patients matched(1) to ACT III/IV patient population (n=29)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gridSpan w:val="4"/>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40" w:hanging="531"/>
        <w:spacing w:after="0" w:line="268"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Controls are closely matched to rindopepimut patient criteria including gross total resection of patient tumor and ~3 months without disease progression at time of study entry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700" w:hanging="531"/>
        <w:spacing w:after="0" w:line="268"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order to provide comparable timeframes across datasets, data have been estimated assuming study entry at three months from diagnosis.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rindopepimut in patients with surgically resected, EGFRvIII-positive GB. Patients are randomized after the completion of surgery and standard chemoradiation treatment. The treatment regime includes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 after Gross Total Resection, or GTR, when compared to treatment with TMZ and a control injection of KLH. KLH is a component of rindopepimut and was selected due to its ability to generate a similar injection site reaction to that observed with rindopepimut. ACT IV will enroll up to 440 patients at over 150 centers worldwide to recruit approximately 374 patients with GTR to be included in the primary analysis. We expect to complete patient accrual by the end of 2013 and anticipate receiving data 18 to 24 months after completing accrual. We anticipate ACT IV to cost over $60 million during its duration.</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December 2011, we also initiated ReACT, a Phase 2 study of rindopepimut in combination with Avastin® in patients with recurrent EGFRvIII-positive GB. ReACT will enroll approximately 95 patients in a first or second relapse of GB following receipt of standard therapy and will be conducted at approximately 20 sites across the United States. Approximately 70 patients who have yet to receive Avastin will be randomized to receive either rindopepimut and Avastin or a control injection of KLH and Avastin in a blinded fashion. Another 25 patients who are refractory to Avastin having received Avastin in either the frontline or recurrent setting with subsequent progression will receive rindopepimut plus Avastin in a single treatment arm. We expect data from this study to be available in the second half of 2013.</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researchers at Stanford University are conducting an investigator sponsored, pilot trial of rindopepimut in pediatric patients with pontine glioma.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ongoing for this trial.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CDX-011 is an antibody-drug conjugate, or ADC, that consists of a fully-human monoclonal antibody, CR011, linked to a potent cell-killing drug, monomethyl-auristatin E, or MMAE. The CR011 antibody specifically targets glycoprotein NMB, referred to as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The FDA has granted Fast Track designation to CDX-011 for the treatment of advanced, refractory/resistant GPNMB-expressing breast cancer.</w:t>
      </w:r>
    </w:p>
    <w:p>
      <w:pPr>
        <w:spacing w:after="0" w:line="168" w:lineRule="exact"/>
        <w:rPr>
          <w:sz w:val="20"/>
          <w:szCs w:val="20"/>
          <w:color w:val="auto"/>
        </w:rPr>
      </w:pPr>
    </w:p>
    <w:p>
      <w:pPr>
        <w:jc w:val="both"/>
        <w:ind w:right="40" w:firstLine="348"/>
        <w:spacing w:after="0" w:line="310"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 every</w:t>
      </w:r>
      <w:r>
        <w:rPr>
          <w:rFonts w:ascii="Arial" w:cs="Arial" w:eastAsia="Arial" w:hAnsi="Arial"/>
          <w:sz w:val="16"/>
          <w:szCs w:val="16"/>
          <w:b w:val="1"/>
          <w:bCs w:val="1"/>
          <w:color w:val="auto"/>
        </w:rPr>
        <w:t xml:space="preserve"> </w:t>
      </w:r>
      <w:r>
        <w:rPr>
          <w:rFonts w:ascii="Arial" w:cs="Arial" w:eastAsia="Arial" w:hAnsi="Arial"/>
          <w:sz w:val="16"/>
          <w:szCs w:val="16"/>
          <w:color w:val="auto"/>
        </w:rPr>
        <w:t>three weeks to patients with locally advanced or metastatic breast cancer who had received prior therapy (median of seven prior regimens). The study began with a bridging phase to confirm the maximum tolerated dose, or MTD, and then expanded into a Phase 2 open-label, multi-center study.</w:t>
      </w:r>
    </w:p>
    <w:p>
      <w:pPr>
        <w:spacing w:after="0" w:line="15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in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at least 5 of 25 (20%) patients in the Phase 2 study portion to be progression-free at 12 weeks, was met as 9 of 26 (35%) evaluable patients were progression-free at 12 weeks.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December 2011, we completed enrollment of EMERGE, a randomized, multi-center Phase 2b study of CDX-011 in 122 patients with heavily pre-treated, advanced, GPNMB positive breast cancer. Patients were randomized (2:1) to receive either CDX-011 or single-agent Investigator's Choice, or IC, chemotherapy. Patients randomized to receive IC were allowed to cross over to receive CDX-011 following disease progression. Activity endpoints include response rate, PFS and OS.</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December 2012, we announced final results, as shown below, from the EMERGE study which suggested that CDX-011 induces significant response rates compared to currently available therapies in patient subsets with advanced, refractory breast cancers with GPNMB over-expression (expression in greater than 25% of tumor cells) and in patients with triple negative breast cancer. The overall survival, or OS, and progression free survival, or PFS, of patients treated with CDX-011 was also observed to be greatest in patients with triple negative breast cancer who also over-express GPNMB and all patients with GPNMB over-expression.</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8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w w:val="99"/>
              </w:rPr>
              <w:t>On target effect clearly demonstrated in</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rPr>
              <w:t>targeted patient populations</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Triple Negative</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ind w:left="440"/>
              <w:spacing w:after="0" w:line="149" w:lineRule="exact"/>
              <w:rPr>
                <w:sz w:val="20"/>
                <w:szCs w:val="20"/>
                <w:color w:val="auto"/>
              </w:rPr>
            </w:pPr>
            <w:r>
              <w:rPr>
                <w:rFonts w:ascii="Arial" w:cs="Arial" w:eastAsia="Arial" w:hAnsi="Arial"/>
                <w:sz w:val="14"/>
                <w:szCs w:val="14"/>
                <w:b w:val="1"/>
                <w:bCs w:val="1"/>
                <w:color w:val="auto"/>
                <w:w w:val="95"/>
              </w:rPr>
              <w:t>GPNMB</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and GPNMB</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All Patients</w:t>
            </w:r>
          </w:p>
        </w:tc>
        <w:tc>
          <w:tcPr>
            <w:tcW w:w="16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Triple Negative</w:t>
            </w: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Over-Expression</w:t>
            </w:r>
          </w:p>
        </w:tc>
        <w:tc>
          <w:tcPr>
            <w:tcW w:w="15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Over-Expression</w:t>
            </w: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CDX-011</w:t>
            </w:r>
          </w:p>
        </w:tc>
        <w:tc>
          <w:tcPr>
            <w:tcW w:w="60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IC</w:t>
            </w: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CDX-011</w:t>
            </w:r>
          </w:p>
        </w:tc>
        <w:tc>
          <w:tcPr>
            <w:tcW w:w="52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IC</w:t>
            </w:r>
          </w:p>
        </w:tc>
        <w:tc>
          <w:tcPr>
            <w:tcW w:w="200" w:type="dxa"/>
            <w:vAlign w:val="bottom"/>
          </w:tcPr>
          <w:p>
            <w:pPr>
              <w:spacing w:after="0"/>
              <w:rPr>
                <w:sz w:val="12"/>
                <w:szCs w:val="12"/>
                <w:color w:val="auto"/>
              </w:rPr>
            </w:pPr>
          </w:p>
        </w:tc>
        <w:tc>
          <w:tcPr>
            <w:tcW w:w="96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CDX-011</w:t>
            </w:r>
          </w:p>
        </w:tc>
        <w:tc>
          <w:tcPr>
            <w:tcW w:w="4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IC</w:t>
            </w: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CDX-011</w:t>
            </w:r>
          </w:p>
        </w:tc>
        <w:tc>
          <w:tcPr>
            <w:tcW w:w="52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IC</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(n=81)</w:t>
            </w:r>
          </w:p>
        </w:tc>
        <w:tc>
          <w:tcPr>
            <w:tcW w:w="2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(n=36)</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(n=27)</w:t>
            </w:r>
          </w:p>
        </w:tc>
        <w:tc>
          <w:tcPr>
            <w:tcW w:w="2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(n=9)</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(n=25)</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94"/>
              </w:rPr>
              <w:t>(n=8)</w:t>
            </w: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(n=12)</w:t>
            </w:r>
          </w:p>
        </w:tc>
        <w:tc>
          <w:tcPr>
            <w:tcW w:w="2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(n=4)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Response</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Disease Control Rate</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102"/>
        </w:trPr>
        <w:tc>
          <w:tcPr>
            <w:tcW w:w="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140" w:right="80"/>
        <w:spacing w:after="0" w:line="259" w:lineRule="auto"/>
        <w:rPr>
          <w:sz w:val="20"/>
          <w:szCs w:val="20"/>
          <w:color w:val="auto"/>
        </w:rPr>
      </w:pPr>
      <w:r>
        <w:rPr>
          <w:rFonts w:ascii="Arial" w:cs="Arial" w:eastAsia="Arial" w:hAnsi="Arial"/>
          <w:sz w:val="18"/>
          <w:szCs w:val="18"/>
          <w:i w:val="1"/>
          <w:iCs w:val="1"/>
          <w:color w:val="auto"/>
        </w:rPr>
        <w:t>Responses per RECIST 1.1; IC = Investigator's Choice; CDX-011 arm includes 15 patients who crossed over to receive CDX-011 treatment after progression on IC. Analysis of best response excludes patients who discontinued from study without evaluable post-baseline radiographic imaging (n=15 for CDX-011 arm; n=5 for IC arm).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EMERGE: Overall Survival (OS) and Progression Free Survival (PFS)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8"/>
          </w:tcPr>
          <w:p>
            <w:pPr>
              <w:jc w:val="center"/>
              <w:ind w:left="183"/>
              <w:spacing w:after="0"/>
              <w:rPr>
                <w:sz w:val="20"/>
                <w:szCs w:val="20"/>
                <w:color w:val="auto"/>
              </w:rPr>
            </w:pPr>
            <w:r>
              <w:rPr>
                <w:rFonts w:ascii="Arial" w:cs="Arial" w:eastAsia="Arial" w:hAnsi="Arial"/>
                <w:sz w:val="14"/>
                <w:szCs w:val="14"/>
                <w:b w:val="1"/>
                <w:bCs w:val="1"/>
                <w:color w:val="auto"/>
                <w:w w:val="86"/>
              </w:rPr>
              <w:t>On target effect clearly demonstrated in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Borders>
              <w:bottom w:val="single" w:sz="8" w:color="auto"/>
            </w:tcBorders>
            <w:gridSpan w:val="8"/>
          </w:tcPr>
          <w:p>
            <w:pPr>
              <w:jc w:val="center"/>
              <w:ind w:left="183"/>
              <w:spacing w:after="0"/>
              <w:rPr>
                <w:sz w:val="20"/>
                <w:szCs w:val="20"/>
                <w:color w:val="auto"/>
              </w:rPr>
            </w:pPr>
            <w:r>
              <w:rPr>
                <w:rFonts w:ascii="Arial" w:cs="Arial" w:eastAsia="Arial" w:hAnsi="Arial"/>
                <w:sz w:val="14"/>
                <w:szCs w:val="14"/>
                <w:b w:val="1"/>
                <w:bCs w:val="1"/>
                <w:color w:val="auto"/>
                <w:w w:val="86"/>
              </w:rPr>
              <w:t>targeted patient populations</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Triple Negative</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GPNMB</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ind w:left="186"/>
              <w:spacing w:after="0" w:line="149" w:lineRule="exact"/>
              <w:rPr>
                <w:sz w:val="20"/>
                <w:szCs w:val="20"/>
                <w:color w:val="auto"/>
              </w:rPr>
            </w:pPr>
            <w:r>
              <w:rPr>
                <w:rFonts w:ascii="Arial" w:cs="Arial" w:eastAsia="Arial" w:hAnsi="Arial"/>
                <w:sz w:val="14"/>
                <w:szCs w:val="14"/>
                <w:b w:val="1"/>
                <w:bCs w:val="1"/>
                <w:color w:val="auto"/>
                <w:w w:val="93"/>
              </w:rPr>
              <w:t>and GPNMB</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All Patients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5"/>
          </w:tcPr>
          <w:p>
            <w:pPr>
              <w:ind w:left="200"/>
              <w:spacing w:after="0"/>
              <w:rPr>
                <w:sz w:val="20"/>
                <w:szCs w:val="20"/>
                <w:color w:val="auto"/>
              </w:rPr>
            </w:pPr>
            <w:r>
              <w:rPr>
                <w:rFonts w:ascii="Arial" w:cs="Arial" w:eastAsia="Arial" w:hAnsi="Arial"/>
                <w:sz w:val="14"/>
                <w:szCs w:val="14"/>
                <w:b w:val="1"/>
                <w:bCs w:val="1"/>
                <w:color w:val="auto"/>
              </w:rPr>
              <w:t>Triple Negative</w:t>
            </w:r>
          </w:p>
        </w:tc>
        <w:tc>
          <w:tcPr>
            <w:tcW w:w="130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8"/>
              </w:rPr>
              <w:t>Over-Expression</w:t>
            </w:r>
          </w:p>
        </w:tc>
        <w:tc>
          <w:tcPr>
            <w:tcW w:w="240" w:type="dxa"/>
            <w:vAlign w:val="bottom"/>
          </w:tcPr>
          <w:p>
            <w:pPr>
              <w:spacing w:after="0"/>
              <w:rPr>
                <w:sz w:val="14"/>
                <w:szCs w:val="14"/>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Over-Expression</w:t>
            </w: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CDX-011</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IC</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CDX-011</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IC</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CDX-011</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IC</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CDX-011</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IC</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 OS (months)</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7.5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6.9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w w:val="97"/>
              </w:rPr>
              <w:t>p=0.24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ind w:left="440"/>
              <w:spacing w:after="0"/>
              <w:rPr>
                <w:sz w:val="20"/>
                <w:szCs w:val="20"/>
                <w:color w:val="auto"/>
              </w:rPr>
            </w:pPr>
            <w:r>
              <w:rPr>
                <w:rFonts w:ascii="Arial" w:cs="Arial" w:eastAsia="Arial" w:hAnsi="Arial"/>
                <w:sz w:val="18"/>
                <w:szCs w:val="18"/>
                <w:color w:val="auto"/>
                <w:w w:val="93"/>
              </w:rPr>
              <w:t>p=0.30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ind w:left="440"/>
              <w:spacing w:after="0"/>
              <w:rPr>
                <w:sz w:val="20"/>
                <w:szCs w:val="20"/>
                <w:color w:val="auto"/>
              </w:rPr>
            </w:pPr>
            <w:r>
              <w:rPr>
                <w:rFonts w:ascii="Arial" w:cs="Arial" w:eastAsia="Arial" w:hAnsi="Arial"/>
                <w:sz w:val="18"/>
                <w:szCs w:val="18"/>
                <w:color w:val="auto"/>
                <w:w w:val="93"/>
              </w:rPr>
              <w:t>p=0.18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w w:val="91"/>
              </w:rPr>
              <w:t>p=0.003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2.1</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2.3</w:t>
            </w: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w:t>
            </w:r>
          </w:p>
        </w:tc>
        <w:tc>
          <w:tcPr>
            <w:tcW w:w="160" w:type="dxa"/>
            <w:vAlign w:val="bottom"/>
            <w:shd w:val="clear" w:color="auto" w:fill="CCEEFF"/>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w w:val="97"/>
              </w:rPr>
              <w:t>p=0.38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ind w:left="440"/>
              <w:spacing w:after="0"/>
              <w:rPr>
                <w:sz w:val="20"/>
                <w:szCs w:val="20"/>
                <w:color w:val="auto"/>
              </w:rPr>
            </w:pPr>
            <w:r>
              <w:rPr>
                <w:rFonts w:ascii="Arial" w:cs="Arial" w:eastAsia="Arial" w:hAnsi="Arial"/>
                <w:sz w:val="18"/>
                <w:szCs w:val="18"/>
                <w:color w:val="auto"/>
                <w:w w:val="93"/>
              </w:rPr>
              <w:t>p=0.43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ind w:left="440"/>
              <w:spacing w:after="0"/>
              <w:rPr>
                <w:sz w:val="20"/>
                <w:szCs w:val="20"/>
                <w:color w:val="auto"/>
              </w:rPr>
            </w:pPr>
            <w:r>
              <w:rPr>
                <w:rFonts w:ascii="Arial" w:cs="Arial" w:eastAsia="Arial" w:hAnsi="Arial"/>
                <w:sz w:val="18"/>
                <w:szCs w:val="18"/>
                <w:color w:val="auto"/>
                <w:w w:val="93"/>
              </w:rPr>
              <w:t>p=0.14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w w:val="91"/>
              </w:rPr>
              <w:t>p=0.008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140"/>
        <w:spacing w:after="0" w:line="294" w:lineRule="auto"/>
        <w:rPr>
          <w:sz w:val="20"/>
          <w:szCs w:val="20"/>
          <w:color w:val="auto"/>
        </w:rPr>
      </w:pPr>
      <w:r>
        <w:rPr>
          <w:rFonts w:ascii="Arial" w:cs="Arial" w:eastAsia="Arial" w:hAnsi="Arial"/>
          <w:sz w:val="16"/>
          <w:szCs w:val="16"/>
          <w:i w:val="1"/>
          <w:iCs w:val="1"/>
          <w:color w:val="auto"/>
        </w:rPr>
        <w:t>Analyses include all treated patients. Patients who initially received Investigator's Choice (IC) and subsequently crossed over to receive CDX-011 (n=15) are included in the PFS analysis for each treatment. These patients, with a median OS of 12.5 months, are assigned to the IC arm only for OS analysis. Median OS for the remaining IC patients who did not cross over is 5.4 months. When cross over patients are removed, median OS in patients with GPNMB over-expression is 10.0 months for CDX-011 vs 5.2 months for IC (p=0.05) and median OS in triple negative patients with GPNMB over-expression is 10.0 months for CDX-011 vs 5.2 months for IC (p=0.009).</w:t>
      </w:r>
    </w:p>
    <w:p>
      <w:pPr>
        <w:spacing w:after="0" w:line="170"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December 2012, we had our end of Phase 2b meeting with the FDA for our CDX-011 program. Based on this meeting, we intend to initiate a randomized study of CDX-011 suitable for accelerated approval in patients with triple negative breast cancer that also over-express GPNMB in the second half of 2013.</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One lot of our CDX-011 product candidate was aseptically filled in 2009 by Formatech, a third party contract manufacturer. At the end of January 2012, we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were notified by the FDA that because significant Good Manufacturing Practice, or cGMP, violations were uncovered during inspection of Formatech,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Phase 2b study for CDX-011 was being placed on partial clinical hold. The clinical hold did not significantly impact the conduct or analysis of the Phase 2b study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determining next steps in our future development of CDX-011. In March 2013, we received written confirmation from the FDA that the clinical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 was removed following their review of our clinical hold response regarding reprocessing of the CDX-011 manufactured at Formatech.</w:t>
      </w:r>
    </w:p>
    <w:p>
      <w:pPr>
        <w:spacing w:after="0" w:line="213" w:lineRule="exact"/>
        <w:rPr>
          <w:sz w:val="20"/>
          <w:szCs w:val="20"/>
          <w:color w:val="auto"/>
        </w:rPr>
      </w:pPr>
    </w:p>
    <w:p>
      <w:pPr>
        <w:ind w:right="20" w:firstLine="348"/>
        <w:spacing w:after="0" w:line="284"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In 2009, we completed enrollment of 117 patients in a Phase 1/2 open-label, multi-center, dose escalation study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safety, tolerability and pharmacokinetics of CDX-011 for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CDX-011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92"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intend to initially focus our resources on advancing CDX-011 for the treatment of breast cancer while pursuing further development of CDX-011 in melanoma and other indications that are known to express GPNMB.</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 In preclinical studies, CDX-1135 has been shown to inhibit both the classical and alternative pathways of complement activation.</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Dense Deposit Disease, or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 10 years. Because DDD recurs in virtually all patients who receive a kidney transplant, transplantation is not a viable option for these patients. In animal models of DDD, CDX-1135 treatment showed evidence of reversal of kidney damage.</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Initial experience under an investigator sponsored IND indicated that CDX-1135 limits complement abnormalities in DDD. In 2011, we completed process development activities and in 2011 and 2012 we manufactured multiple runs of cGMP clinical drug product at our Fall River manufacturing facility in preparation for our Phase 2 pilot study. We are planning to initiate a pilot study of CDX-1135 in a small number of DDD patients to determine the appropriate dose and regimen for further clinical development based on safety, tolerability and biological activity with data expected by the end of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CDX-1127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tumor-bearing mice and to directly kill or inhibit the growth of CD27 expressing lymphomas and leukemias in vitro and in vivo. Both mechanisms have been seen even at low doses in appropriate preclinical models.</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The study will accrue approximately 30 patients in each of the two arms, either selected refractory or relapsed solid tumors or lymphomas or leukemias known to express CD27. Patients will have received all appropriate prior therapies for their specific disease. The trial design incorporates both single dosing and multiple dosing regimens at each dose level. Enrollment has completed in the Phase 1 portion of the solid tumor arm and CDX-1127 was determined to be well tolerated to date, including at the highest dose level. Following a review of the clinical data from these patients, an expansion cohort will be enrolled in 2013. We continue to enroll patients in the dose escalation portion of the lymphoma and leukemia arm and also plan the initiation of an expansion cohort of this arm in 2013. We anticipate reporting data from the CDX-1127 program in the second half of 2013.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CDX-301 is a FMS-like tyrosine kinase 3 ligand, or Flt3L, stem cell mobilizer and dendritic cell growth factor. We licensed CDX-301 from Amgen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Based on the safety profile and the increases observed for CD34+ stem cells and dendritic cells, we plan to initiate a pilot study in hematopoietic stem cell transplant by the end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320" w:firstLine="351"/>
        <w:spacing w:after="0" w:line="314" w:lineRule="auto"/>
        <w:rPr>
          <w:sz w:val="20"/>
          <w:szCs w:val="20"/>
          <w:color w:val="auto"/>
        </w:rPr>
      </w:pPr>
      <w:r>
        <w:rPr>
          <w:rFonts w:ascii="Arial" w:cs="Arial" w:eastAsia="Arial" w:hAnsi="Arial"/>
          <w:sz w:val="15"/>
          <w:szCs w:val="15"/>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59"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In October 2012, we announced results from a dose-escalating, multi-center, Phase 1 study that evaluated three different doses of CDX-1401 in combination with toll-like receptor agonists poly-ICLC or Hiltonol™ and/or R848 or resiquimod. In total, the study enrolled 45 patients with advanced malignancies that had progressed after any available curative and/or salvage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The study has identified a well-tolerated and immunogenic regimen to take forward into the future studies and we expect that a study sponsored by the Cancer Immunotherapy Trials Network of the National Cancer Institute will be initiated in 2013.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CDX-014 is a fully-human monoclonal ADC that targets TIM-1, a molecule that is highly expressed on renal and ovarian cancers with minimal expression in normal tissues. The antibody, CDX-014, is linked to MMAE using Seattle Genetics' proprietary technology. The ADC is designed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 stable in the bloodstream, but to release MMAE upon internalization into TIM-1-expressing tumor cells, resulting in a targeted cell-killing effect. CDX-014 has shown potent activity in preclinical models of ovarian and renal cancer. We are conducting proof-of-concept studies in 2013 to optimize the drug candidate to move into future manufacturing and IND-enabling studies.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Rotavirus Vaccine</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Rotavirus is a major cause of diarrhea and vomiting in infants and children. In 1997, we licensed our oral rotavirus strain to Glaxo and Glaxo assumed responsibility for all subsequent clinical trials and all other development activities. We licensed-in the rotavirus strain that was used to develop Glaxo's Rotarix rotavirus vaccine in 1995 and owe a license fee of 30% to Cincinnati Children's Hospital Medical Center, or CCH, on net royalties received from Glaxo. In May 2005, we entered into an agreement whereby an affiliate of Paul Royalty Fund II, L.P., or PRF, purchased a 70% interest in the net royalties we received on worldwide sales of Rotarix.</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December 2012, a U.S. patent for our rotavirus strain that we licensed to Glaxo expired. The Glaxo agreement terminates automatically upon the expiration, lapse or invalidation of the last relevant patent right (patent or patent application) covered by the Glaxo agreement. The only remaining relevant patent right is a patent application in Mexico with a projected final expiry date in May 2013 which is under appeal. The PRF agreement provided for a normal expiry of the PRF agreement on December 12, 2012 except that the PRF agreement provides for an exclusive 120-day right of negotiation for extension in certain circumstances.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significant accounting policies are described in Note 2 to the consolidated financial statements included in Item 8 of this Form 10-K. We believe our most critical accounting policies include accounting for business combinations, revenue recognition, impairment of long-lived assets, research and development expenses and stock-based compensation expense.</w:t>
      </w:r>
    </w:p>
    <w:p>
      <w:pPr>
        <w:spacing w:after="0" w:line="19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methods, estimates and judgments we use in applying our most critical accounting policies have a significant impact on the results we report in our consolidated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We account for business combinations under the acquisition method of accounting. We record the fair value of the consideration transferred to acquire a business to the tangible assets and identifiable intangible assets acquired and liabilities assumed on the basis of their fair values at the date of acquisition. We assess the fair value of assets, including intangible assets such as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IPR&amp;D assets acquired in a business combination initially are recorded at fair value and accounted for as indefinite-lived intangible assets. These assets are maintained on our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are tested for impairment on an annual basis during the third quarter, or earlier if impairment indicators are present. We performed an annual impairment test of the IPR&amp;D assets as of July 1, 2012 and concluded that the IPR&amp;D assets were not impaired.</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recorded to goodwill. Goodwill is evaluated for impairment on an annual basis during the third quarter, or earlier if impairment indicators are present. We performed an annual impairment test of the goodwill asset as of July 1, 2012 and concluded that the goodwill asset was not impaired.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recognizes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entered into and in the future may enter into biopharmaceutical product development agreements with collaborative partners for the research and development of therapeutic drug products.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we allocate revenue to the various elements based on their fair value. The fair value of a revenue generating element can be based on current selling prices offered by us or another party for current products or our best estimate of a selling price for future products. Revenue allocated to an individual element is recognized when all other revenue recognition criteria are met for that element.</w:t>
      </w:r>
    </w:p>
    <w:p>
      <w:pPr>
        <w:spacing w:after="0" w:line="17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our involvement in achieving the milestones and whether the amount of the payment is commensurate to our performance. If not considered substantive, milestones are initially deferred and recognized over the remaining performance obligation.</w:t>
      </w:r>
    </w:p>
    <w:p>
      <w:pPr>
        <w:spacing w:after="0" w:line="16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government or our contractual partner. Payments received in advance that are related to future performance are deferred and recognized as revenue when the research projects are performed.</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our licensed technologies and are recognized when the amount of and basis for such royalty payments are reported to us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evaluate the recoverability of our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studies, personnel costs, depreciation, license fees and funding of outside research.</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Clinical trial expenses include expenses associated with clinical research organizations (CRO). The invoicing from CROs for services rendered can lag several months. We accrue the cost of services rendered in connection with CRO activities based on our estimate of site management, monitoring costs, and project management costs. We maintain regular communication with our CROs to gauge the reasonableness of our estimates. Differences between actual clinical trial expenses and estimated clinical trial expenses recorded have not been material and are adjusted for in the period in which they become known.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We record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record stock-based compensation expense for stock options granted to non-employees based on the fair value of the stock options which is re-measured over the vesting term resulting in periodic adjustments to stock-based compensation expense.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with Year Ended December 31, 2011</w:t>
      </w:r>
    </w:p>
    <w:p>
      <w:pPr>
        <w:spacing w:after="0" w:line="33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Increase/</w:t>
            </w:r>
          </w:p>
        </w:tc>
        <w:tc>
          <w:tcPr>
            <w:tcW w:w="0" w:type="dxa"/>
            <w:vAlign w:val="bottom"/>
          </w:tcPr>
          <w:p>
            <w:pPr>
              <w:spacing w:after="0"/>
              <w:rPr>
                <w:sz w:val="1"/>
                <w:szCs w:val="1"/>
                <w:color w:val="auto"/>
              </w:rPr>
            </w:pPr>
          </w:p>
        </w:tc>
      </w:tr>
      <w:tr>
        <w:trPr>
          <w:trHeight w:val="95"/>
        </w:trPr>
        <w:tc>
          <w:tcPr>
            <w:tcW w:w="4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00" w:type="dxa"/>
            <w:vAlign w:val="bottom"/>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00" w:type="dxa"/>
            <w:vAlign w:val="bottom"/>
            <w:gridSpan w:val="6"/>
            <w:vMerge w:val="continue"/>
          </w:tcPr>
          <w:p>
            <w:pPr>
              <w:spacing w:after="0"/>
              <w:rPr>
                <w:sz w:val="5"/>
                <w:szCs w:val="5"/>
                <w:color w:val="auto"/>
              </w:rPr>
            </w:pPr>
          </w:p>
        </w:tc>
        <w:tc>
          <w:tcPr>
            <w:tcW w:w="9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62"/>
        </w:trPr>
        <w:tc>
          <w:tcPr>
            <w:tcW w:w="41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2"/>
        </w:trPr>
        <w:tc>
          <w:tcPr>
            <w:tcW w:w="41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1,656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1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14,959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Royalty</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1,656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414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14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(58,077)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(43,399)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14,678</w:t>
            </w: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(1,576)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(59,123)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(44,799)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$14.3 million increase in net loss for the year ended December 31, 2012 compared to the year ended December 31, 2011 was primarily the result of an increase in research and development and general and administrative expenses, partially offset by a decrease in amortization expense on acquired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$0.2 million increase in contracts and grants revenue for the year ended December 31, 2012 compared to the year ended December 31, 2011 was due to an APC Targeting Technology-based HIV vaccine being funded through a Small Business Innovation Research, or SBIR, grant in collaboration with Rockefeller University. The $1.7 million increase in product royalty revenue for the year ended December 31, 2012 compared to the year ended December 31, 2011 was related to our retained interests in Rotarix net royalties which were not sold to PRF and which is equal to the amount payable to CCH and recognized in royalty expense by us. We expect that royalty revenue related to the Glaxo agreement will end during the year ending December 31, 2013. In December 2012, a U.S. patent for our rotavirus strain that we licensed to Glaxo expired. The Glaxo agreement terminates automatically upon the expiration, lapse or invalidation of the last relevant patent right (patent or patent application) covered by the Glaxo agreement. The only remaining relevant patent right is a patent application in Mexico with a projected final expiry date in May 2013 which is under appeal. The PRF agreement provided for a normal expiry of the PRF agreement on December 12, 2012 except that the PRF agreement provides for an exclusive 120-day right of negotiation for extension in certain circumstances.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7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980" w:type="dxa"/>
            <w:vAlign w:val="bottom"/>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(Decrease)</w:t>
            </w:r>
          </w:p>
        </w:tc>
        <w:tc>
          <w:tcPr>
            <w:tcW w:w="132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39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700" w:type="dxa"/>
            <w:vAlign w:val="bottom"/>
          </w:tcPr>
          <w:p>
            <w:pPr>
              <w:jc w:val="right"/>
              <w:ind w:right="121"/>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  13,465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Laboratory Supplies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2,062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Product Development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24,426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14,382</w:t>
            </w:r>
          </w:p>
        </w:tc>
        <w:tc>
          <w:tcPr>
            <w:tcW w:w="16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Personnel expenses primarily include salary, benefits, stock-based compensation and payroll taxes. The $0.8 million increase in personnel expenses for the year ended December 31, 2012 compared to the year ended December 31, 2011 was primarily due to higher headcount. We expect personnel expenses to increase over the next twelve months as we plan to continue to increase our headcount, primarily to support our rindopepimut and CDX-011 programs.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$0.1 million increase in laboratory supply expenses for the year ended December 31, 2012 compared to the year ended December 31, 2011 was primarily due to higher manufacturing supply purchases. We expect supply expenses to remain relatively consistent over the next twelve months, although there may be fluctuations on a quarterly basis.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$0.2 million decrease in facility expenses for the year ended December 31, 2012 compared to the year ended December 31, 2011 was primarily due to lower depreciation and amortization expenses. We expect facility expenses to remain relatively consistent over the next twelve months, although there may be fluctuations on a quarterly basis.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$14.4 million increase in product development expenses for the year ended December 31, 2012 compared to the year ended December 31, 2011 was primarily the result of an increase in clinical trial costs of $14.3 million primarily due to our rindopepimut program. We expect product development expenses to increase over the next twelve months due to the increase in clinical trial expenses related to our rindopepimut and CDX-011 programs, although there may be fluctuations on a quarterly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Royalty expenses include product royalty and sublicense royalty fees on our out-licensed programs. The $1.7 million increase in royalty expenses for the year ended December 31, 2012 compared to the year ended December 31, 2011 was primarily due to an increase in Rotarix related royalty fees. Our retained interests in Rotarix net royalties which were not sold to PRF are recorded as product royalty revenue and a corresponding amount that is payable to CCH is recorded as royalty expense. We expect royalty expense related to the Glaxo agreement will end during the year ended December 31, 2013. The Glaxo agreement terminates automatically upon the expiration, lapse or invalidation of the last relevant patent right (patent or patent application) covered by the Glaxo agreement. The only remaining relevant patent right is a patent application in Mexico with a projected final expiry date in May 2013 which is under appeal. The PRF agreement provided for a normal expiry of the PRF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agreement on December 12, 2012 except that the PRF agreement provides for an exclusive 120-day right of negotiation for extension in certain circumstances.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$0.8 million increase in general and administrative expenses for the year ended December 31, 2012 compared to the year ended December 31, 2011 was primarily due to higher headcount and rindopepimut-related commercialization expenses. We expect general and administrative expense to increase over the next twelve months due to increased commercialization efforts, although there may be fluctuations on a quarterly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$0.8 million decrease in amortization expenses for the year ended December 31, 2012 compared to the year ended December 31, 2011 was due to certain intangible assets becoming fully amortized during 2011. We expect amortization expense of acquired intangible assets to remain relatively consistent over the next twelve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$0.1 million increase in investment and other income, net for the year ended December 31, 2012 compared to the year ended December 31, 2011 was primarily due to us recognizing $0.1 million in other income related to our sale of New Jersey tax benefits. We anticipate investment income to increase over the next twelve months due to higher cash and investment balances resulting from fundraising efforts in January and February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$0.2 million decrease in interest expense for the year ended December 31, 2012 compared to the year ended December 31, 2011 was due to a decrease in our Term Loan balance. We anticipate interest expense to decrease over the next twelve months as we continue to make monthly principal payments on our Term Loan.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with Year Ended December 31, 2010</w:t>
      </w:r>
    </w:p>
    <w:p>
      <w:pPr>
        <w:spacing w:after="0" w:line="33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Increase/</w:t>
            </w:r>
          </w:p>
        </w:tc>
        <w:tc>
          <w:tcPr>
            <w:tcW w:w="0" w:type="dxa"/>
            <w:vAlign w:val="bottom"/>
          </w:tcPr>
          <w:p>
            <w:pPr>
              <w:spacing w:after="0"/>
              <w:rPr>
                <w:sz w:val="1"/>
                <w:szCs w:val="1"/>
                <w:color w:val="auto"/>
              </w:rPr>
            </w:pPr>
          </w:p>
        </w:tc>
      </w:tr>
      <w:tr>
        <w:trPr>
          <w:trHeight w:val="95"/>
        </w:trPr>
        <w:tc>
          <w:tcPr>
            <w:tcW w:w="4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9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62"/>
        </w:trPr>
        <w:tc>
          <w:tcPr>
            <w:tcW w:w="4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40,187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(40,077)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422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2,733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46,793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(37,528)</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27,650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Royalty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12,077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(2,958)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10,378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422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53,248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(43,399)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(6,455)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36,944</w:t>
            </w: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(44,799)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42,266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$42.3 million increase in net loss for the year ended December 31, 2011 compared to the year ended December 31, 2010 was primarily the result of a decrease in product development and licensing agreement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$40.1 million decrease in product development and licensing agreement revenue for the year ended December 31, 2011 compared to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was primarily due to the termination of the Pfizer Agreement which resulted in us recognizing the remaining deferred revenue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$35.6 million during the year ended December 31, 2010. The $0.2 million decrease in contracts and grants revenue for the year ended December 31, 2011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compared to the year ended December 31, 2010 was due to a decrease in revenue related to our vaccine development work on Rockefeller's DCVax-001 (CDX-</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2401) program. The $2.7 million increase in product royalty revenue for the year ended December 31, 2011 compared to the year ended December 31, 2010 was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related to our retained interests in Rotarix net royalties which were not sold to PRF and which is equal to the amount payable to CCH and recognized in royalty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by us.</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7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980" w:type="dxa"/>
            <w:vAlign w:val="bottom"/>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(Decrease)</w:t>
            </w:r>
          </w:p>
        </w:tc>
        <w:tc>
          <w:tcPr>
            <w:tcW w:w="132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39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700" w:type="dxa"/>
            <w:vAlign w:val="bottom"/>
          </w:tcPr>
          <w:p>
            <w:pPr>
              <w:jc w:val="right"/>
              <w:ind w:right="141"/>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  12,715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Laboratory Supplies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Product Development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4,212</w:t>
            </w:r>
          </w:p>
        </w:tc>
        <w:tc>
          <w:tcPr>
            <w:tcW w:w="16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$0.5 million increase in personnel expenses for the year ended December 31, 2011 compared to the year ended December 31, 2010 was due to higher headcount.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$0.1 million increase in laboratory supply expenses for the year ended December 31, 2011 compared to the year ended December 31, 2010 was primarily due to the renovations completed during the year ended December 31, 2010 at our Fall River, MA manufacturing facility during which manufacturing activities ceased.</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$0.3 million decrease in facility expenses for the year ended December 31, 2011 compared to the year ended December 31, 2010 was primarily due to lower depreciation and amortization expenses.</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$4.2 million increase in product development expenses for the year ended December 31, 2011 compared to the year ended December 31, 2010 was primarily due to an increase in clinical trial costs of $4.6 million primarily due to our rindopepimut and CDX-011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Royalty expenses include product royalty and sublicense royalty fees on our out-licensed programs. The $3.0 million decrease in royalty expenses for the year ended December 31, 2011 compared to the year ended December 31, 2010 was primarily due to the termination of the Pfizer Agreement which resulted in us recognizing the remaining deferred sublicense fees of $5.1 million, partially offset by an increase in Rotarix related royalty fees. Our retained interests in Rotarix net royalties which were not sold to PRF are recorded as product royalty revenue and a corresponding amount that is payable to CCH is recorded as royalty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$1.2 million decrease in general and administrative expenses for the year ended December 31, 2011 compared to the year ended December 31, 2010 was primarily due a decrease in legal, patent and other professional services.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$1.2 million decrease in amortization expenses for the year ended December 31, 2011 compared to the year ended December 31, 2010 was primarily due to the TopoTarget intangible asset becoming fully amortized during the year ended December 31, 2011. We recorded amortization expense related to the TopoTarget Agreement of $0.3 million and $1.7 million for the years ended December 31, 2011 and 2010,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$4.9 million decrease in investment and other income, net for the year ended December 31, 2011 compared to the year ended December 31, 2010 was primarily due to $3.0 million received in connection with the TopoTarget Agreement and $1.7 million received related to the IRS Qualifying Therapeutic Discovery Grants during the year ended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$0.5 million increase in interest expense for the year ended December 31, 2011 compared to the year ended December 31, 2010 was due to an increase in our Term Loan balance.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0"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At December 31, 2012, our principal sources of liquidity consisted of cash, cash equivalents and marketable securities of $84.0 million. Our working capital at December 31, 2012 was $67.4 million. At December 31, 2012, our Term Loan balance was $11.3 million. We incurred a loss of $59.1 million for the year ended December 31, 2012. Net cash used in operations for the year ended December 31, 2012 was $49.8 million. In January 2013, we issued 2,433,608 shares of common stock under the Cantor Amendment and raised $17.1 million in net proceeds. In February 2013, we issued 13,800,000 shares of common stock in an underwritten public offering and raised $97.0 million, after deducting underwriting fees and estimated offering expenses. We believe that the cash, cash equivalents and marketable securities at December 31, 2012 and the $114.1 million raised during the two months ended February 28, 2013 are sufficient to meet estimated working capital requirements and fund planned operations for at least the next twelve months.</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During the next twelve months, we may take further steps to raise additional capital to fund our long-term liquidity needs. Our capital raising activities may include, but may not be limited to, one or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 of the following: the licensing of technology programs with existing or new collaborative partners, possible business combinations, issuance of debt, or the issuance of common stock or other securities via private placements or public offerings. While we may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Net cash used in operating activities was $49.8 million for the year ended December 31, 2012 compared to $35.7 million for the year ended December 31, 2011. The increase in net cash used in operating activities was primarily due to an increase in net loss of $14.3 million. We expect that cash used in operating activities will increase over the next twelve months primarily related to costs incurred on our rindopepimut and CDX-011 programs.</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drug candidates are developed. We plan to spend significant amounts to progress our current drug candidates through the clinical trial and commercialization processes as well as to develop additional drug candidates. As our drug candidates progress through the clinical trial process, we may be obligated to make significant milestone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Net cash used in investing activities was $17.0 million for the year ended December 31, 2012 compared to $2.2 million for the year ended December 31, 2011. The increase in net cash used in investing activities was primarily due to net purchases of marketable securities for the year ended December 31, 2012 of $16.9 million as compared to $1.7 million for the year ended December 31, 2011. We expect that cash used in investing activities will increase over the next twelve months as we purchase more marketable securities with the funds raised during the two months ended February 28,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Net cash provided by financing activities was $79.8 million for the year ended December 31, 2012 compared to $28.4 million for the year ended December 31, 2011. Net proceeds from stock issuances were $83.8 million during the year ended December 31, 2012 compared to $36.0 million for the year ended December 31, 2011. We paid $4.0 million in principal payments on our Term Loan during the year ended December 31, 2012. In February 2011, we paid $12.5 million to satisfy all outstanding principal related to the convertible subordinated debt assumed in connection with the CuraGen acquisition. In March 2011, we amended the Loan Agreement and borrowed $5 million from GECC to increase the amount owed under the Term Loan to $15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April 2010, we filed a shelf registration statement with the Securities and Exchange Commission to register for sale any combination of the types of securities described in the shelf registration statement up to a dollar amount of $150 million. The shelf registration went effective on April 22, 2010. In December 2012, we filed a new shelf registration statement with the Securities and Exchange Commission to register for sale any combination of the types of securities described in the new shelf registration statement up to a dollar amount of $200 million. The new shelf registration went effective on January 16, 2013.</w:t>
      </w:r>
    </w:p>
    <w:p>
      <w:pPr>
        <w:spacing w:after="0" w:line="16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January 2011, we entered into a controlled equity offering sales agreement with Cantor Fitzgerald &amp; Co. pursuant to which we could issue and sell up to 5,000,000 shares of our common stock from time to time through Cantor, acting as agent. During the years ended December 31, 2012 and 2011, we issued 4,425,000 and 575,000 shares of common stock under the Cantor Agreement and raised $19.0 million and $2.2 million in net proceeds, after deducting commission and offering expenses, respectively.</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September 2012, we amended the Cantor agreement to allow us to issue and sell additional shares of our common stock having an aggregate offering price of up to $44.0 million. Under the Cantor amendment, we will pay Cantor a fixed commission rate of 3.0% of the gross sales price per share of any common stock sold through Cantor. The Cantor amendment terminates upon ten day notice by either Cantor or us. During the year ended December 31, 2012, we issued 3,578,290 shares under the Cantor amendment and raised $21.1 million in net proceeds. During January 2013, we issued 2,433,608 shares under the Cantor amendment and raised $17.1 million in net proceeds. At February 28, 2013, we had $4.4 million remaining in aggregate offering price available under the Cantor amendment which may be sold upon the expiration of the 90-day lock-up with the underwriters of our underwritten public offering in February 2013.</w:t>
      </w:r>
    </w:p>
    <w:p>
      <w:pPr>
        <w:spacing w:after="0" w:line="17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In May 2011, we issued 11,500,000 shares of our common stock in an underwritten public offering, including the underwriter's exercise of their full over-allotment option to purchase an additional 1,500,000 shares of common stock. The net proceeds to us were $33.7 million, after deducting underwriting fees and offering expenses.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During February and March 2012, we issued 12,075,000 shares of our common stock in an underwritten public offering, including the underwriter's exercise of their full over-allotment option to purchase an additional 1,575,000 shares of common stock. The net proceeds to us were $43.4 million, after deducting underwriting fees and offering expenses.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February 2013, we issued 13,800,000 shares of our common stock in an underwritten public offering, including the underwriter's exercise of their full over-allotment option to purchase an additional 1,800,000 shares of common stock. The net proceeds to us were $97.0 million, after deducting underwriting fees and offering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December 30, 2010, we entered the Loan Agreement with MidCap pursuant to which we borrowed $10 million from MidCap. In March 2011, we amended the Loan Agreement and borrowed $5 million from GECC to increase the amount owed under the Term Loan to $15 million. No additional advances are available under the Loan Agreement. The Term Loan accrues interest at a fixed annual interest rate equal to the greater of (i) the sum of (A) the LIBOR Rate (as defined in the Loan Agreement) plus (B) 6.25%; or (ii) a minimum rate of 9.50%. In September 2011, we exercised an option to extend the interest-only period by 6 months from October 1, 2011 to April 1, 2012. In March 2012, we amended the Loan Agreement to extend the maturity date from December 2013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2014 in return for an upfront fee of $25,000 and an additional fee of $37,500 due upon repayment of the Term Loan in full.</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Interest on the Term Loan is payable monthly and principal is due, as amended, in 34 equal consecutive monthly installments commencing on April 1, 2012. All unpaid principal and accrued interest with respect to the Term Loan is due and payable on the earlier of (A) December 30, 2014 or (B) the date that the Term Loan otherwise becomes due and payable under the terms of the Loan Agreement. We may prepay all, but not less than all, of the Term Loan subject to a prepayment premium of 1% in year three of the Term Loan. There is no prepayment premium if the loan is paid off early in year four. We are also obligated to make a payment of $0.5 million upon the earlier of (A) December 30, 2013 or (B) upon repayment of the Term Loan in full prior to December 30, 2013.</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obligations under the Loan Agreement are secured by a first priority lien upon and security interest in substantially all of our existing and after-acquired assets, excluding our intellectual property assets. Under the Loan Agreement, we are subject to specified affirmative and negative covenants customary for financings of this type. The Loan Agreement provides that, upon the occurrence of certain specified events of default customary for financings of this type, our obligations under the Loan Agreement may be automatically accelerated, whereupon our obligations under the Loan Agreement shall be immediately due and payable. At December 31, 2012, we believe we are in compliance with the Loan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Because the achievement of these milestones had not occurred as of December 31, 2012, such contingencies have not been recorded in our financial statements. We expect to incur approximately $0.8 million of license and milestone payments in 2013.</w:t>
      </w:r>
    </w:p>
    <w:p>
      <w:pPr>
        <w:spacing w:after="0" w:line="170"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table summarizes our contractual obligations (not including contingent royalty and milestone payments as described above) at December 31, 2012 and the effect such obligations and commercial commitments are expected to have on our liquidity and cash flow in future years. These obligations, commitments and supporting arrangements represent expected payments based on current operating forecasts, which are subject to change:</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100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2014 - 2015</w:t>
            </w:r>
          </w:p>
        </w:tc>
        <w:tc>
          <w:tcPr>
            <w:tcW w:w="120" w:type="dxa"/>
            <w:vAlign w:val="bottom"/>
          </w:tcPr>
          <w:p>
            <w:pPr>
              <w:spacing w:after="0"/>
              <w:rPr>
                <w:sz w:val="14"/>
                <w:szCs w:val="14"/>
                <w:color w:val="auto"/>
              </w:rPr>
            </w:pPr>
          </w:p>
        </w:tc>
        <w:tc>
          <w:tcPr>
            <w:tcW w:w="8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2016 - 2017</w:t>
            </w: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Operating lease obligations(1)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4,665</w:t>
            </w:r>
          </w:p>
        </w:tc>
        <w:tc>
          <w:tcPr>
            <w:tcW w:w="120" w:type="dxa"/>
            <w:vAlign w:val="bottom"/>
          </w:tcPr>
          <w:p>
            <w:pPr>
              <w:spacing w:after="0"/>
              <w:rPr>
                <w:sz w:val="18"/>
                <w:szCs w:val="18"/>
                <w:color w:val="auto"/>
              </w:rPr>
            </w:pPr>
          </w:p>
        </w:tc>
        <w:tc>
          <w:tcPr>
            <w:tcW w:w="300" w:type="dxa"/>
            <w:vAlign w:val="bottom"/>
            <w:gridSpan w:val="2"/>
          </w:tcPr>
          <w:p>
            <w:pPr>
              <w:jc w:val="right"/>
              <w:ind w:right="10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3,595</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contractual obligations(2)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 Loan(4)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45,261</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30,809</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20" w:hanging="531"/>
        <w:spacing w:after="0" w:line="268"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amounts primarily consist of payments for our facility leases and do not assume the exercise of renewal terms or early termination provisions.</w:t>
      </w:r>
    </w:p>
    <w:p>
      <w:pPr>
        <w:spacing w:after="0" w:line="212" w:lineRule="exact"/>
        <w:rPr>
          <w:rFonts w:ascii="Arial" w:cs="Arial" w:eastAsia="Arial" w:hAnsi="Arial"/>
          <w:sz w:val="18"/>
          <w:szCs w:val="18"/>
          <w:color w:val="auto"/>
        </w:rPr>
      </w:pPr>
    </w:p>
    <w:p>
      <w:pPr>
        <w:ind w:left="1680" w:right="420" w:hanging="531"/>
        <w:spacing w:after="0" w:line="268"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amounts primarily consist of research and development commitments with third parties. Our obligation to pay certain of these amounts may increase or be reduced based on certain future events.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amounts include the outstanding balance on a loan payable which accrues interest at 5.5% and is payable monthly.</w:t>
      </w:r>
    </w:p>
    <w:p>
      <w:pPr>
        <w:spacing w:after="0" w:line="252" w:lineRule="exact"/>
        <w:rPr>
          <w:rFonts w:ascii="Arial" w:cs="Arial" w:eastAsia="Arial" w:hAnsi="Arial"/>
          <w:sz w:val="18"/>
          <w:szCs w:val="18"/>
          <w:color w:val="auto"/>
        </w:rPr>
      </w:pPr>
    </w:p>
    <w:p>
      <w:pPr>
        <w:ind w:left="1680" w:right="20" w:hanging="531"/>
        <w:spacing w:after="0" w:line="259"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amounts include the outstanding balance at December 31, 2012 on the Term Loan and the $0.5 million due December 2013. The Term Loan accrues interest at a fixed annual interest rate equal to the greater of (i) the sum of (A) the LIBOR Rate (as defined in the Loan Agreement) plus (B) 6.25%; or (ii) a minimum rate of 9.50%.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December 31, 2012 due to the short-term maturities of these instruments.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Celldex Therapeutics, Inc.</w:t>
      </w:r>
    </w:p>
    <w:p>
      <w:pPr>
        <w:spacing w:after="0" w:line="225"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 xml:space="preserve">In our opinion, the accompanying consolidated balance sheets and the related consolidated statements of operations and comprehensive loss, of stockholders' equity, and of cash flows, present fairly, in all material respects, the financial position of Celldex Therapeutics, Inc. and its subsidiaries at December 31, 2012 and December 31, 2011, and the results of their operations and their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8, 2013</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Other Receivables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Current Portion of Term Loan</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Term Loan, less Current Portion</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13 and 15)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Convertible Preferred Stock, $.01 Par Value; 3,000,000 Shares Authorized; No</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at December 31, 2012 and 2011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w w:val="91"/>
              </w:rPr>
              <w:t>Common Stock, $.001 Par Value; 297,000,000 Shares Authorized; 64,359,513 and</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w w:val="95"/>
              </w:rPr>
              <w:t>44,210,636 Shares Issued and Outstanding at December 31, 2012 and 2011,</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December 31, 2012</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Product Royalties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Royalty</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(58,077)</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(1,796)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(44,799)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8"/>
              </w:rPr>
              <w:t>Basic and Diluted Net Loss Per Common Share (See Note 2)</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gridSpan w:val="2"/>
            <w:vMerge w:val="continue"/>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Shares Used in Calculating Basic and Diluted Net Loss per Share</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 Note 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(44,799)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Unrealized Gain (Loss) on Marketable Securities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(44,898)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left="1260" w:right="2080"/>
        <w:spacing w:after="0" w:line="262" w:lineRule="auto"/>
        <w:rPr>
          <w:sz w:val="20"/>
          <w:szCs w:val="20"/>
          <w:color w:val="auto"/>
        </w:rPr>
      </w:pPr>
      <w:r>
        <w:rPr>
          <w:rFonts w:ascii="Arial" w:cs="Arial" w:eastAsia="Arial" w:hAnsi="Arial"/>
          <w:sz w:val="18"/>
          <w:szCs w:val="18"/>
          <w:b w:val="1"/>
          <w:bCs w:val="1"/>
          <w:color w:val="auto"/>
        </w:rPr>
        <w:t>CELLDEX THERAPEUTICS, INC. CONSOLIDATED STATEMENTS OF STOCKHOLDERS' EQUITY (In thousands, except share amounts)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 Par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31,685,061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228,863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(157,674</w:t>
            </w:r>
            <w:r>
              <w:rPr>
                <w:rFonts w:ascii="Arial" w:cs="Arial" w:eastAsia="Arial" w:hAnsi="Arial"/>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73,767</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3"/>
              </w:rPr>
              <w:t>Shares Issued under Stock Option and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Employee Stock Purchase Plans</w:t>
            </w:r>
          </w:p>
        </w:tc>
        <w:tc>
          <w:tcPr>
            <w:tcW w:w="920" w:type="dxa"/>
            <w:vAlign w:val="bottom"/>
          </w:tcPr>
          <w:p>
            <w:pPr>
              <w:jc w:val="right"/>
              <w:spacing w:after="0"/>
              <w:rPr>
                <w:sz w:val="20"/>
                <w:szCs w:val="20"/>
                <w:color w:val="auto"/>
              </w:rPr>
            </w:pPr>
            <w:r>
              <w:rPr>
                <w:rFonts w:ascii="Arial" w:cs="Arial" w:eastAsia="Arial" w:hAnsi="Arial"/>
                <w:sz w:val="18"/>
                <w:szCs w:val="18"/>
                <w:color w:val="auto"/>
              </w:rPr>
              <w:t>370,321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Marketable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(2,533)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(2,533)</w:t>
            </w: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32,055,382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232,679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(160,207</w:t>
            </w: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75,255</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3"/>
              </w:rPr>
              <w:t>Shares Issued under Stock Option and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Employee Stock Purchase Plans</w:t>
            </w:r>
          </w:p>
        </w:tc>
        <w:tc>
          <w:tcPr>
            <w:tcW w:w="920" w:type="dxa"/>
            <w:vAlign w:val="bottom"/>
          </w:tcPr>
          <w:p>
            <w:pPr>
              <w:jc w:val="right"/>
              <w:spacing w:after="0"/>
              <w:rPr>
                <w:sz w:val="20"/>
                <w:szCs w:val="20"/>
                <w:color w:val="auto"/>
              </w:rPr>
            </w:pPr>
            <w:r>
              <w:rPr>
                <w:rFonts w:ascii="Arial" w:cs="Arial" w:eastAsia="Arial" w:hAnsi="Arial"/>
                <w:sz w:val="18"/>
                <w:szCs w:val="18"/>
                <w:color w:val="auto"/>
              </w:rPr>
              <w:t>80,254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Cantor Agreement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Shares Issued in Underwritten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Offering</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11,500,000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33,684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33,695</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Marketable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r>
      <w:tr>
        <w:trPr>
          <w:trHeight w:val="222"/>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(44,799)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(44,799)</w:t>
            </w: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44,210,636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271,032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(205,006</w:t>
            </w: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68,722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3"/>
              </w:rPr>
              <w:t>Shares Issued under Stock Option and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Employee Stock Purchase Plans</w:t>
            </w:r>
          </w:p>
        </w:tc>
        <w:tc>
          <w:tcPr>
            <w:tcW w:w="920" w:type="dxa"/>
            <w:vAlign w:val="bottom"/>
          </w:tcPr>
          <w:p>
            <w:pPr>
              <w:jc w:val="right"/>
              <w:spacing w:after="0"/>
              <w:rPr>
                <w:sz w:val="20"/>
                <w:szCs w:val="20"/>
                <w:color w:val="auto"/>
              </w:rPr>
            </w:pPr>
            <w:r>
              <w:rPr>
                <w:rFonts w:ascii="Arial" w:cs="Arial" w:eastAsia="Arial" w:hAnsi="Arial"/>
                <w:sz w:val="18"/>
                <w:szCs w:val="18"/>
                <w:color w:val="auto"/>
              </w:rPr>
              <w:t>70,587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Cantor Agreement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8,003,290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40,138</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Shares Issued in Underwritten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Offering</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12,075,000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43,483</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Marketable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(59,123)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(59,123)</w:t>
            </w: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64,359,513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357,094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(264,129</w:t>
            </w:r>
            <w:r>
              <w:rPr>
                <w:rFonts w:ascii="Arial" w:cs="Arial" w:eastAsia="Arial" w:hAnsi="Arial"/>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95,774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December 31, 2012</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(59,123)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(44,799)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Cash Used</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Amortization and Premium of Marketable Securities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Realized (Gain) Loss on Sales and Maturities of Marketable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Gain on Sale or Disposal of Assets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Non-Cash Interest Expense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Accounts and Other Receivables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Other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(49,782)</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(69,255)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Issuance of Term Loan</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Payment of Convertible Subordinated Debt</w:t>
            </w:r>
          </w:p>
        </w:tc>
        <w:tc>
          <w:tcPr>
            <w:tcW w:w="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(12,503)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Other Liabilities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12,998</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24,897</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Celldex Therapeutics, Inc. (the "Company" or "Celldex") is a biopharmaceutical company focused on the development and commercialization of several immunotherapy technologies for the treatment of cancer and other difficult-to-treat diseases. The Company's lead drug candidates include rindopepimut (CDX-110), a targeted immunotherapeutic in a pivotal Phase 3 study for the treatment of front-line glioblastoma and a Phase 2 study for the treatment of recurrent glioblastoma and CDX-011, an antibody-drug conjugate which recently completed a randomized Phase 2b study for the treatment of advanced breast cancer. The Company has additional clinical programs, including CDX-1135, a molecule that inhibits a part of the immune system called the complement system, CDX-1127, a therapeutic human antibody for cancer indications, CDX-301, an immune cell mobilizing agent and dendritic cell growth factor and CDX-1401, an APC Targeting Technology™ program for cancer indications.</w:t>
      </w:r>
    </w:p>
    <w:p>
      <w:pPr>
        <w:spacing w:after="0" w:line="172" w:lineRule="exact"/>
        <w:rPr>
          <w:sz w:val="20"/>
          <w:szCs w:val="20"/>
          <w:color w:val="auto"/>
        </w:rPr>
      </w:pPr>
    </w:p>
    <w:p>
      <w:pPr>
        <w:ind w:right="140" w:firstLine="341"/>
        <w:spacing w:after="0" w:line="283" w:lineRule="auto"/>
        <w:rPr>
          <w:sz w:val="20"/>
          <w:szCs w:val="20"/>
          <w:color w:val="auto"/>
        </w:rPr>
      </w:pPr>
      <w:r>
        <w:rPr>
          <w:rFonts w:ascii="Arial" w:cs="Arial" w:eastAsia="Arial" w:hAnsi="Arial"/>
          <w:sz w:val="16"/>
          <w:szCs w:val="16"/>
          <w:color w:val="auto"/>
        </w:rPr>
        <w:t>At December 31, 2012, the Company had cash, cash equivalents and marketable securities of $84.0 million; working capital of $67.4 million; and a Term Loan balance of $11.3 million. The Company incurred a loss of $59.1 million for the year ended December 31, 2012. Net cash used in operations for the year ended December 31, 2012 was $49.8 million. In January 2013, the Company issued 2,433,608 shares of common stock under the Cantor Amendment and raised $17.1 million in net proceeds. In February 2013, the Company issued 13,800,000 shares of common stock in an underwritten public offering and raised</w:t>
      </w:r>
    </w:p>
    <w:p>
      <w:pPr>
        <w:spacing w:after="0" w:line="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$97.0 million, after deducting underwriting fees and estimated offering expenses. The Company believes that the cash, cash equivalents and marketable securities at December 31, 2012, the $17.1 million raised under the Cantor Amendment in January 2013 and the $97.0 million raised in the underwritten public offering in February 2013 will be sufficient to meet estimated working capital requirements and fund planned operations for at least the next twelve months.</w:t>
      </w:r>
    </w:p>
    <w:p>
      <w:pPr>
        <w:spacing w:after="0" w:line="163"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significant discount or on other unfavorable terms, if at all, or sell all or a part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accompanying consolidated financial statements reflect the operations of the Company and its wholly-owned subsidiary. All intercompany balances and transactions have been eliminated in consolidation. The Company operates in one segment, which is the business of development, manufacturing and commercialization of novel therapeutics for human health care.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460" w:firstLine="348"/>
        <w:spacing w:after="0" w:line="25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(U.S. GAAP) requires management to make estimates and use assumptions that affect the reported amounts of assets and liabilities and the disclosure of contingent assets and liabilities at the dates of the consolidated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Company invests its excess cash balances in marketable securities including municipal bond securities, U.S. government agency securities, and high-grade corporate bonds. The Company classifies all of its marketable securities as current assets on the consolidated balance sheets because they are available-for-sale and available to fund current operations. Marketable securities are stated at fair value with their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transferred from other comprehensive income (loss) to the consolidated statements of operations. Realized gains and losses are determined on the specific identification method and are included in investment and other income,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 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Revenue from Glaxo and Pfizer represented 96% and none for the year ended December 31, 2012, 98% and none for the year ended December 31, 2011 and 14% and 85% for the year ended December 31, 2010 of total Company revenue,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67" w:lineRule="exact"/>
        <w:rPr>
          <w:sz w:val="20"/>
          <w:szCs w:val="20"/>
          <w:color w:val="auto"/>
        </w:rPr>
      </w:pPr>
    </w:p>
    <w:p>
      <w:pPr>
        <w:jc w:val="both"/>
        <w:ind w:left="540" w:right="400" w:firstLine="351"/>
        <w:spacing w:after="0" w:line="332" w:lineRule="auto"/>
        <w:rPr>
          <w:sz w:val="20"/>
          <w:szCs w:val="20"/>
          <w:color w:val="auto"/>
        </w:rPr>
      </w:pPr>
      <w:r>
        <w:rPr>
          <w:rFonts w:ascii="Arial" w:cs="Arial" w:eastAsia="Arial" w:hAnsi="Arial"/>
          <w:sz w:val="16"/>
          <w:szCs w:val="16"/>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9" w:lineRule="exact"/>
        <w:rPr>
          <w:sz w:val="20"/>
          <w:szCs w:val="20"/>
          <w:color w:val="auto"/>
        </w:rPr>
      </w:pPr>
    </w:p>
    <w:p>
      <w:pPr>
        <w:ind w:left="540" w:right="360" w:firstLine="351"/>
        <w:spacing w:after="0" w:line="268" w:lineRule="auto"/>
        <w:rPr>
          <w:sz w:val="20"/>
          <w:szCs w:val="20"/>
          <w:color w:val="auto"/>
        </w:rPr>
      </w:pPr>
      <w:r>
        <w:rPr>
          <w:rFonts w:ascii="Arial" w:cs="Arial" w:eastAsia="Arial" w:hAnsi="Arial"/>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500" w:firstLine="351"/>
        <w:spacing w:after="0" w:line="268"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consolidated statements of operations.</w:t>
      </w:r>
    </w:p>
    <w:p>
      <w:pPr>
        <w:spacing w:after="0" w:line="17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records the fair value of the consideration transferred to acquire a business to the tangible assets and identifiable intangible assets acquired and liabilities assumed on the basis of their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fair values at the date of acquisition. The Company assesses the fair value of assets, including intangible assets such as in-process research and development (IPR&amp;D), using a variety of methods including present 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IPR&amp;D assets acquired in a business combination initially are recorded at fair value and accounted for as indefinite-lived intangible assets. These assets are maintained on the Company's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will be tested for impairment on an annual basis during the third quarter, or earlier if impairment indicators are present. The Company performed an annual impairment test of the IPR&amp;D assets as of July 1, 2012 and concluded that the IPR&amp;D assets were not impaired.</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 Goodwill is evaluated for impairment on an annual basis during the third quarter, or earlier if impairment indicators are present. In January 2012, the Company adopted a new U.S. GAAP accounting standard which amended the guidance on the annual testing of goodwill for impairment. The amended guidance allows companies to assess qualitative factors to determine if it is more likely than not that goodwill might be impaired and whether it is necessary to perform the two-step goodwill impairment test required under U.S. GAAP. The Company's adoption of this new standard did not have a material effect on its operating results or financial position. As part of its annual impairment test of the goodwill asset as of July 1, 2012, the Company bypassed the qualitative assessment and performed the two-step impairment test. The Company concluded that the goodwill asset was not impaired.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evaluates the recoverability of its long-lived assets, including property and equipment, and intangible assets when circumstances indicate that an event of impairment may have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recognizes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Company has entered into and in the future may enter into biopharmaceutical product development agreements with collaborative partners for the research and development of therapeutic drug products.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the Company allocates revenue to the various elements based on their fair value. The fair value of a revenue generating element can be based on current selling prices offered by the Company or another party for current products or the Company's best estimate of a selling price for future products. Revenue allocated to an individual element is recognized when all other revenue recognition criteria are met for that element.</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the Company's involvement in achieving the milestones and whether the amount of the payment is commensurate to the Company's performance. If not considered substantive, milestones are initially deferred and recognized over the remaining performance obligation.</w:t>
      </w:r>
    </w:p>
    <w:p>
      <w:pPr>
        <w:spacing w:after="0" w:line="167"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the Company's contractual partner. Payments received in advance that are related to future performance are deferred and recognized as revenue when the research projects are performed.</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the Company's licensed technologies and are recognized when the amount of and basis for such royalty payments are reported to the Company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the Company's agreement with TopoTarget, the Company received $3.0 million during the year ended December 31, 2010 in connection with TopoTarget's co-development and commercialization agreement for Belinostat with Spectrum Pharmaceuticals, Inc. During the year ended December 31, 2010, the Company recorded this cash receipt to other income because the Company's agreement with TopoTarget was not part of the Company's on-going operations. During the year ended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December 31, 2010, the Company recorded $1.7 million to other income related to IRS Qualifying Therapeutic Discovery Grants because the grant arrangement was not part of the Company's on-going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studies, personnel costs, depreciation, license fees and funding of outside research.</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Clinical trial expenses include expenses associated with clinical research organizations (CRO). The invoicing from CROs for services rendered can lag several months. We accrue the cost of services rendered in connection with CRO activities based on our estimate of site management, monitoring costs, and project management costs. We maintain regular communication with our CROs to gauge the reasonableness of our estimates. Differences between actual clinical trial expenses and estimated clinical trial expenses recorded have not been material and are adjusted for in the period in which they become known.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Patent costs are expensed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Company records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records stock-based compensation expense for stock options granted to non-employees based on the fair value of the stock options which is re-measured over the vesting term resulting in periodic adjustments to stock-based compensation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Net unrealized gains and losses resulting from foreign currency translation are included in other comprehensive income (loss). At December 31, 2012 and December 31, 2011, accumulated other comprehensive income includes a net unrealized gain related to foreign currency translation of $2.6 million. In 2011, the Company's foreign subsidiary voluntarily liquidated in order to consolidate the Company's foreign operations into Celldex Therapeutics, Inc.</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52"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consolidated statements of operations and comprehensive loss reflect total comprehensive loss for the years ended December 31, 2012, 2011 and 2010. There were no significant reclasses to income during the years ended December 31, 2012, 2011 and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5,349,810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4,459,034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4,019,982</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Convertible Subordinated Debt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353,563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9,338</w:t>
            </w:r>
          </w:p>
        </w:tc>
      </w:tr>
      <w:tr>
        <w:trPr>
          <w:trHeight w:val="27"/>
        </w:trPr>
        <w:tc>
          <w:tcPr>
            <w:tcW w:w="49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r>
      <w:tr>
        <w:trPr>
          <w:trHeight w:val="216"/>
        </w:trPr>
        <w:tc>
          <w:tcPr>
            <w:tcW w:w="49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5,355,810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4,465,034</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4,382,883</w:t>
            </w:r>
          </w:p>
        </w:tc>
        <w:tc>
          <w:tcPr>
            <w:tcW w:w="160" w:type="dxa"/>
            <w:vAlign w:val="bottom"/>
          </w:tcPr>
          <w:p>
            <w:pPr>
              <w:spacing w:after="0"/>
              <w:rPr>
                <w:sz w:val="18"/>
                <w:szCs w:val="18"/>
                <w:color w:val="auto"/>
              </w:rPr>
            </w:pPr>
          </w:p>
        </w:tc>
      </w:tr>
      <w:tr>
        <w:trPr>
          <w:trHeight w:val="21"/>
        </w:trPr>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the acquisition of CuraGen Corporation ("CuraGen") in October 2009, the Company assumed CuraGen's $12.5 million in 4% convertible subordinated debt due February 15, 2011 (the "Convertible Subordinated Debt"). The Convertible Subordinated Debt was convertible into 353,563 shares of the Company's common stock at the rate of 28.27823 shares of the Company's common stock per $1,000 principal amount of notes, or $35.36 per share. Interest expense on the Convertible Subordinated Debt was $0.2 million and $1.2 million for the years ended December 31,</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2011 and 2010. In February 2011, the Company paid $12.8 million and satisfied all the outstanding principal and accrued interest related to the Convertible Subordinated Debt.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61"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In July 2012, the FASB issued amended guidance applicable to annual impairment tests of indefinite-lived intangible assets. The FASB added an optional qualitative assessment for determining whether an indefinite-lived intangible asset is impaired. Prior to this guidance, companies were required to perform an annual impairment test that included a calculation of the fair value of the asset and a comparison of that fair value with its carrying value. If the carrying value exceeded the fair value, an impairment was recorded. The amended guidance allows a company the option to perform a qualitative assessment, considering both negative and positive evidence, regarding the potential impairment of the indefinite-lived intangible asset. If, based on the qualitative analysis, the company determines that it is more likely than not that the fair value of such an asset exceeds its carrying value, the company would be permitted to conclude that the indefinite-lived intangible asset was not impaired without a quantitative calculation of the fair value of the asset. Otherwise, the company would perform the quantitative calculation of the fair value and the comparison with the carrying value. This amended guidance will be effective for annual impairment tests performed by the Company for fiscal years beginning on January 1, 2013. The Company does not expect the adoption of this new standard to have a material effect on its operating results or financial 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December 31,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w w:val="88"/>
              </w:rPr>
              <w:t>Level 2</w:t>
            </w:r>
          </w:p>
        </w:tc>
        <w:tc>
          <w:tcPr>
            <w:tcW w:w="160" w:type="dxa"/>
            <w:vAlign w:val="bottom"/>
          </w:tcPr>
          <w:p>
            <w:pPr>
              <w:spacing w:after="0"/>
              <w:rPr>
                <w:sz w:val="14"/>
                <w:szCs w:val="14"/>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59,065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59,065</w:t>
            </w:r>
          </w:p>
        </w:tc>
        <w:tc>
          <w:tcPr>
            <w:tcW w:w="1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December 31, 2011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w w:val="88"/>
              </w:rPr>
              <w:t>Level 2</w:t>
            </w:r>
          </w:p>
        </w:tc>
        <w:tc>
          <w:tcPr>
            <w:tcW w:w="160" w:type="dxa"/>
            <w:vAlign w:val="bottom"/>
          </w:tcPr>
          <w:p>
            <w:pPr>
              <w:spacing w:after="0"/>
              <w:rPr>
                <w:sz w:val="14"/>
                <w:szCs w:val="14"/>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41,413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41,413</w:t>
            </w:r>
          </w:p>
        </w:tc>
        <w:tc>
          <w:tcPr>
            <w:tcW w:w="1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500" w:type="dxa"/>
            <w:vAlign w:val="bottom"/>
            <w:vMerge w:val="restart"/>
          </w:tcPr>
          <w:p>
            <w:pPr>
              <w:jc w:val="right"/>
              <w:ind w:right="47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(Continued)</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Our Term Loan is valued based on level 2 inputs. Based on these calculations, the fair value approximates the carrying value of the Term Loan and note payable at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marketable securities is shown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580" w:type="dxa"/>
            <w:vAlign w:val="bottom"/>
          </w:tcPr>
          <w:p>
            <w:pPr>
              <w:jc w:val="center"/>
              <w:ind w:left="109"/>
              <w:spacing w:after="0"/>
              <w:rPr>
                <w:sz w:val="20"/>
                <w:szCs w:val="20"/>
                <w:color w:val="auto"/>
              </w:rPr>
            </w:pPr>
            <w:r>
              <w:rPr>
                <w:rFonts w:ascii="Arial" w:cs="Arial" w:eastAsia="Arial" w:hAnsi="Arial"/>
                <w:sz w:val="14"/>
                <w:szCs w:val="14"/>
                <w:b w:val="1"/>
                <w:bCs w:val="1"/>
                <w:color w:val="auto"/>
                <w:w w:val="78"/>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780" w:type="dxa"/>
            <w:vAlign w:val="bottom"/>
            <w:gridSpan w:val="2"/>
          </w:tcPr>
          <w:p>
            <w:pPr>
              <w:jc w:val="right"/>
              <w:ind w:right="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74"/>
              </w:rPr>
              <w:t>Losses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209"/>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4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7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19,895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40" w:type="dxa"/>
            <w:vAlign w:val="bottom"/>
            <w:vMerge w:val="restart"/>
          </w:tcPr>
          <w:p>
            <w:pPr>
              <w:ind w:left="340"/>
              <w:spacing w:after="0"/>
              <w:rPr>
                <w:sz w:val="20"/>
                <w:szCs w:val="20"/>
                <w:color w:val="auto"/>
              </w:rPr>
            </w:pPr>
            <w:r>
              <w:rPr>
                <w:rFonts w:ascii="Arial" w:cs="Arial" w:eastAsia="Arial" w:hAnsi="Arial"/>
                <w:sz w:val="18"/>
                <w:szCs w:val="18"/>
                <w:color w:val="auto"/>
                <w:w w:val="97"/>
              </w:rPr>
              <w:t>Total U.S. government and municipal obligations</w:t>
            </w:r>
          </w:p>
        </w:tc>
        <w:tc>
          <w:tcPr>
            <w:tcW w:w="14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35,363</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35,489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4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7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17,372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40" w:type="dxa"/>
            <w:vAlign w:val="bottom"/>
            <w:vMerge w:val="restart"/>
          </w:tcPr>
          <w:p>
            <w:pPr>
              <w:ind w:left="340"/>
              <w:spacing w:after="0"/>
              <w:rPr>
                <w:sz w:val="20"/>
                <w:szCs w:val="20"/>
                <w:color w:val="auto"/>
              </w:rPr>
            </w:pPr>
            <w:r>
              <w:rPr>
                <w:rFonts w:ascii="Arial" w:cs="Arial" w:eastAsia="Arial" w:hAnsi="Arial"/>
                <w:sz w:val="18"/>
                <w:szCs w:val="18"/>
                <w:color w:val="auto"/>
              </w:rPr>
              <w:t>Total corporate debt securities</w:t>
            </w:r>
          </w:p>
        </w:tc>
        <w:tc>
          <w:tcPr>
            <w:tcW w:w="14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23,546</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23,576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1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74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59,065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320" w:type="dxa"/>
            <w:vAlign w:val="bottom"/>
            <w:vMerge w:val="restart"/>
          </w:tcPr>
          <w:p>
            <w:pPr>
              <w:jc w:val="right"/>
              <w:ind w:right="732"/>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 (Continued)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580" w:type="dxa"/>
            <w:vAlign w:val="bottom"/>
          </w:tcPr>
          <w:p>
            <w:pPr>
              <w:jc w:val="center"/>
              <w:ind w:left="109"/>
              <w:spacing w:after="0"/>
              <w:rPr>
                <w:sz w:val="20"/>
                <w:szCs w:val="20"/>
                <w:color w:val="auto"/>
              </w:rPr>
            </w:pPr>
            <w:r>
              <w:rPr>
                <w:rFonts w:ascii="Arial" w:cs="Arial" w:eastAsia="Arial" w:hAnsi="Arial"/>
                <w:sz w:val="14"/>
                <w:szCs w:val="14"/>
                <w:b w:val="1"/>
                <w:bCs w:val="1"/>
                <w:color w:val="auto"/>
                <w:w w:val="78"/>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780" w:type="dxa"/>
            <w:vAlign w:val="bottom"/>
            <w:gridSpan w:val="2"/>
          </w:tcPr>
          <w:p>
            <w:pPr>
              <w:jc w:val="right"/>
              <w:ind w:right="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74"/>
              </w:rPr>
              <w:t>Losses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209"/>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9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19,993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9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30,801</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30,937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9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Total corporate debt securities</w:t>
            </w:r>
          </w:p>
        </w:tc>
        <w:tc>
          <w:tcPr>
            <w:tcW w:w="9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10,547</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10,476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9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74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41,413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December 31,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include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December 31, 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4"/>
              </w:rPr>
              <w:t>December 31, 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jc w:val="right"/>
              <w:ind w:right="85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5100" w:type="dxa"/>
            <w:vAlign w:val="bottom"/>
            <w:vMerge w:val="restart"/>
          </w:tcPr>
          <w:p>
            <w:pPr>
              <w:ind w:left="180"/>
              <w:spacing w:after="0"/>
              <w:rPr>
                <w:sz w:val="20"/>
                <w:szCs w:val="20"/>
                <w:color w:val="auto"/>
              </w:rPr>
            </w:pPr>
            <w:r>
              <w:rPr>
                <w:rFonts w:ascii="Arial" w:cs="Arial" w:eastAsia="Arial" w:hAnsi="Arial"/>
                <w:sz w:val="18"/>
                <w:szCs w:val="18"/>
                <w:color w:val="auto"/>
              </w:rPr>
              <w:t>Total Property and Equipment</w:t>
            </w: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(12,325)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$2.0 million, $2.2 million and $2.7 million for the years ended December 31, 2012, 2011 and 2010, respectively.</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w w:val="96"/>
              </w:rPr>
              <w:t>December 31, 2012</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2011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78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5"/>
              </w:rPr>
              <w:t>Estimated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76"/>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IPR&amp;D</w:t>
            </w:r>
          </w:p>
        </w:tc>
        <w:tc>
          <w:tcPr>
            <w:tcW w:w="7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11,800</w:t>
            </w:r>
          </w:p>
        </w:tc>
        <w:tc>
          <w:tcPr>
            <w:tcW w:w="44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4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Amgen Amendment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Core Technology</w:t>
            </w:r>
          </w:p>
        </w:tc>
        <w:tc>
          <w:tcPr>
            <w:tcW w:w="780" w:type="dxa"/>
            <w:vAlign w:val="bottom"/>
          </w:tcPr>
          <w:p>
            <w:pPr>
              <w:jc w:val="right"/>
              <w:spacing w:after="0"/>
              <w:rPr>
                <w:sz w:val="20"/>
                <w:szCs w:val="20"/>
                <w:color w:val="auto"/>
              </w:rPr>
            </w:pPr>
            <w:r>
              <w:rPr>
                <w:rFonts w:ascii="Arial" w:cs="Arial" w:eastAsia="Arial" w:hAnsi="Arial"/>
                <w:sz w:val="18"/>
                <w:szCs w:val="18"/>
                <w:color w:val="auto"/>
              </w:rPr>
              <w:t>11 years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(848)</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(1,307)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27,596</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28,248</w:t>
            </w:r>
          </w:p>
        </w:tc>
        <w:tc>
          <w:tcPr>
            <w:tcW w:w="44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24,923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00" w:type="dxa"/>
            <w:vAlign w:val="bottom"/>
            <w:gridSpan w:val="2"/>
            <w:vMerge w:val="restart"/>
          </w:tcPr>
          <w:p>
            <w:pPr>
              <w:spacing w:after="0"/>
              <w:rPr>
                <w:sz w:val="20"/>
                <w:szCs w:val="20"/>
                <w:color w:val="auto"/>
              </w:rPr>
            </w:pPr>
            <w:r>
              <w:rPr>
                <w:rFonts w:ascii="Arial" w:cs="Arial" w:eastAsia="Arial" w:hAnsi="Arial"/>
                <w:sz w:val="18"/>
                <w:szCs w:val="18"/>
                <w:color w:val="auto"/>
              </w:rPr>
              <w:t>Goodwill</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Indefinite</w:t>
            </w: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7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0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IPR&amp;D intangible asset was recorded in connection with the acquisition of CuraGen and relates to the development of CDX-011. At the date of acquisition, CDX-011 had not yet reached technological feasibility nor did it have any alternative future use. The Company recently completed a randomized Phase 2b study of CDX-011 for the treatment of advanced breast cancer.</w:t>
      </w:r>
    </w:p>
    <w:p>
      <w:pPr>
        <w:spacing w:after="0" w:line="194"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Amortization expense for intangible assets was $1.1 million, $1.9 million and $3.1 million for the years ended December 31, 2012, 2011 and 2010, respectively. The estimated future amortization expense of intangible assets for the years ended December 31, 2013, 2014, 2015, 2016 and 2017 is $1.0 million, $1.0 million, $1.0 million, $1.0 million and $0.9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include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2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w w:val="94"/>
              </w:rPr>
              <w:t>December 31,</w:t>
            </w:r>
          </w:p>
        </w:tc>
        <w:tc>
          <w:tcPr>
            <w:tcW w:w="28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Accrued Royalty and License Fees</w:t>
            </w:r>
          </w:p>
        </w:tc>
        <w:tc>
          <w:tcPr>
            <w:tcW w:w="21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1,776</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Payroll and Employee Benefits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925</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89"/>
              </w:rPr>
              <w:t>Accrued Research and Development Contract Costs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7,569</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10,960</w:t>
            </w:r>
          </w:p>
        </w:tc>
        <w:tc>
          <w:tcPr>
            <w:tcW w:w="16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60" w:type="dxa"/>
            <w:vAlign w:val="bottom"/>
            <w:vMerge w:val="restart"/>
          </w:tcPr>
          <w:p>
            <w:pPr>
              <w:jc w:val="right"/>
              <w:ind w:right="1572"/>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long-term liabilities include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December 31, 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4"/>
              </w:rPr>
              <w:t>December 31, 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jc w:val="right"/>
              <w:ind w:right="85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Loan Payable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10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Arial" w:cs="Arial" w:eastAsia="Arial" w:hAnsi="Arial"/>
                <w:sz w:val="18"/>
                <w:szCs w:val="18"/>
                <w:color w:val="auto"/>
              </w:rPr>
              <w:t>Long-Term Portion</w:t>
            </w: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January 2012 and 2011, the Company received approval from the New Jersey Economic Development Authority and agreed to sell New Jersey tax benefits worth $0.8 million and $0.6 million to an independent third party for $0.7 million and $0.5 million, respectively. Under the agreement, the Company must maintain a base of operations in New Jersey for five years or the tax benefits must be paid back on a pro-rata basis based on the number of years completed. During the year ended December 31, 2012, the Company recorded $0.1 million to other income related to the sale of these tax benefits.</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December 2003, the Company entered into a lease with the Massachusetts Development Finance Agency whereby the Company received a loan to finance the build-out of its manufacturing facility in Fall River, Massachusetts. Principal and interest payments on the loan are due monthly using an amortization period of 15 years and interest accrues at a rate of 5.5% per annum. The Company is obligated to repay the following principal amounts for the loan as follows (in thousands):</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r>
      <w:tr>
        <w:trPr>
          <w:trHeight w:val="27"/>
        </w:trPr>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 LOAN</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December 2010, the Company entered into a Loan and Security Agreement (the "Loan Agreement") with MidCap Financial, LLC pursuant to which the Company borrowed $10 million (the "Term Loan") from MidCap. In March 2011, as the Company had anticipated, the Company amended the Loan Agreement and borrowed an additional $5 million from General Electric Capital Corporation to increase the amount owed under the Term Loan to $15 million. No additional advances are available under the Loan Agreement. The Term Loan accrues interest at a fixed annual interest rate equal to the greater of (i) the sum of (A) the LIBOR Rate (as defined in the Loan Agreement) plus (B) 6.25%; or (ii) a minimum rate of 9.50%. In September 2011, the Company exercised an option to extend the interest-only period by 6 months from October 1, 2011 to April 1, 2012. In March 2012, the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 LOAN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amended the Loan Agreement to extend the maturity date from December 2013 to December 2014 in return for an upfront fee of $25,000 and an additional fee of $37,500 (the "Final Payment Fee") due upon repayment of the Term Loan in full. The Company is accreting the Final Payment Fee ratably over the amended term of the Term Loan to interest expense.</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Interest on the Term Loan is payable monthly and principal is due, as amended, in 34 equal consecutive monthly installments commencing on April 1, 2012. All unpaid principal and accrued interest with respect to the Term Loan is due and payable on the earlier of (A) December 30, 2014 or (B) the date that the Term Loan otherwise becomes due and payable under the terms of the Loan Agreement. The Company may prepay all, but not less than all, of the Term Loan subject to a prepayment premium of 1% in year three of the Term Loan. There is no prepayment premium if the loan is paid off early in year four. The Company is also obligated to make a payment fee of $0.5 million (the "Payment Fee") upon the earlier of (A) December 30, 2013 or (B) upon repayment of the Term Loan in full prior to December 30, 2013. The Company is accreting the Payment Fee ratably over the original term of the Term Loan to interest expense.</w:t>
      </w:r>
    </w:p>
    <w:p>
      <w:pPr>
        <w:spacing w:after="0" w:line="174"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obligations of the Company under the Loan Agreement are secured by a first priority lien upon and security interest in substantially all of the Company's existing and after-acquired assets, excluding its intellectual property assets. Under the Loan Agreement, the Company is subject to specified affirmative and negative covenants customary for financings of this type. The Loan Agreement provides that, upon the occurrence of certain specified events of default customary for financings of this type, the Company's obligations under the Loan Agreement may be automatically accelerated, whereupon the Company's obligations under the Loan Agreement shall be immediately due and payable. At December 31, 2012, the Company believes it is in compliance with the Loan Agreement.</w:t>
      </w:r>
    </w:p>
    <w:p>
      <w:pPr>
        <w:spacing w:after="0" w:line="15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Interest expense on the Term Loan including the accretion of the Payment Fee and Final Payment Fee and amortization of the deferred financing costs was $1.5 million and $1.6 million for the years ended December 31, 2012 and 2011, respectively.</w:t>
      </w:r>
    </w:p>
    <w:p>
      <w:pPr>
        <w:spacing w:after="0" w:line="186"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Company is obligated to make principal payment amounts for the Term Loan (including Payment Fee and Final Payment Fee) of $5.7 million and $5.8 million for the years ended December 31, 2013 and 2014,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In April 2010, the Company filed a shelf registration statement with the Securities and Exchange Commission to register for sale any combination of the types of securities described in the shelf registration statement up to a dollar amount of $150 million. The shelf registration went effective on April 22, 2010. In December 2012, the Company filed a new shelf registration statement with the Securities and Exchange Commission to register for sale any combination of the types of securities described in the new shelf registration statement up to a dollar amount of $200 million. The new shelf registration went effective on January 16, 2013.</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January 2011, the Company entered into a controlled equity offering sales agreement (the "Cantor Agreement") with Cantor Fitzgerald &amp; Co. ("Cantor") pursuant to which the Company could issue and sell up to 5,000,000 shares of its common stock from time to time through Cantor, acting as agent. During the years ended December 31, 2012 and 2011, the Company issued 4,425,000 and 575,000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(Continued)</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shares of common stock under the Cantor Agreement and raised $19.0 million and $2.2 million in net proceeds, after deducting commission and offering expenses,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September 2012, the Company and Cantor amended the Cantor Agreement (the "Cantor Amendment") to allow the Company to issue and sell additional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shares of its common stock having an aggregate offering price of up to $44.0 million. Under the Cantor Amendment, the Company will pay Cantor a fixed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commission rate of 3.0% of the gross sales price per share of any common stock sold through Cantor. The Cantor Amendment terminates upon ten day notice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either Cantor or the Company. During the year ended December 31, 2012, the Company issued 3,578,290 shares under the Cantor Amendment and raised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$21.1 million in net proceeds. During January 2013, the Company issued 2,433,608 shares under the Cantor Amendment and raised $17.1 million in net proceeds.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At February 28, 2013, the Company had $4.4 million remaining in aggregate offering price available under the Cantor Amendment which may be sold upon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expiration of the 90-day lock-up with the underwriters of the Company's underwritten public offering in February 2013.</w:t>
      </w:r>
    </w:p>
    <w:p>
      <w:pPr>
        <w:spacing w:after="0" w:line="21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May 2011, the Company issued 11,500,000 shares of its common stock in an underwritten public offering, including the underwriter's exercise of their full over-allotment option to purchase an additional 1,500,000 shares of common stock. The net proceeds to the Company were $33.7 million, after deducting underwriting fees and offering expenses.</w:t>
      </w:r>
    </w:p>
    <w:p>
      <w:pPr>
        <w:spacing w:after="0" w:line="19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During February and March 2012, the Company issued a total of 12,075,000 shares of its common stock in an underwritten public offering, including the underwriter's exercise of their full over-allotment option to purchase an additional 1,575,000 shares of common stock. The net proceeds to the Company were $43.4 million, after deducting underwriting fees and offering expenses.</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In February 2013, the Company issued 13,800,000 shares of its common stock in an underwritten public offering, including the underwriter's exercise of their full over-allotment option to purchase an additional 1,800,000 shares of common stock. The net proceeds to the Company were $97.0 million, after deducting underwriting fees and offering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660" w:firstLine="341"/>
        <w:spacing w:after="0" w:line="370" w:lineRule="auto"/>
        <w:rPr>
          <w:sz w:val="20"/>
          <w:szCs w:val="20"/>
          <w:color w:val="auto"/>
        </w:rPr>
      </w:pPr>
      <w:r>
        <w:rPr>
          <w:rFonts w:ascii="Arial" w:cs="Arial" w:eastAsia="Arial" w:hAnsi="Arial"/>
          <w:sz w:val="15"/>
          <w:szCs w:val="15"/>
          <w:color w:val="auto"/>
        </w:rPr>
        <w:t>At December 31, 2012, the Company had authorized 3,000,000 shares of preferred stock all of which have been designated Class C Preferred Stock including 350,000 shares which have been designated Series C-1 Junior Participating Cumulative Preferred Stock (the "Series C-1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Rights Plan</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Company's Board has adopted a Shareholder Rights Plan, as set forth in the Shareholder Rights Agreement, as amended, between the Company and Computershare Trust Company, N.A., as Rights Agent (the "Rights Agreement"). Pursuant to the terms of the Rights Agreement, the Board declared a dividend distribution of one Preferred Stock Purchase Right (a "Right") for each outstanding share of the Company's common stock. Each Right, which expires in November 2014, entitles their holder to purchase from the Company one ten-thousandth of a share (a "Unit") of Series C-1 Preferred Stock at a cash exercise price of $35.00 per Unit, subject to adjustment. The Rights will trade separately from the common stock and will become exercisable only when a person or group has acquired 15% or more of the outstanding common stock or upon the commencement by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(Continued)</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person or group of a tender offer that would result in such person or group acquiring 15% or more of the outstanding common stock other than as a result of repurchases of stock by the Company or certain inadvertent actions by a shareholder. In the event a person or group acquires 15% or more of the outstanding common stock each holder of a Right (except for any such person or group) would be entitled to receive upon exercise sufficient Units of Series C-1 Preferred Stock to equal a value of two times the exercise price of the Right. In the event the Company is acquired in a merger or other business combination transaction or if 50% or more of the Company's assets or earning power is sold, each holder of a Right (except for any such person or group described above) would receive upon exercise common stock of the acquiring company with a value equal to two times the exercise price of the Right.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Company has the following stock-based compensation plans: the 2004 Employee Stock Purchase Plan (the "2004 ESPP Plan"), the 2008 Stock Option and Incentive Plan (the "2008 Plan"), Celldex Research's 2005 Equity Incentive Plan (the "Celldex Research 2005 Plan") and CuraGen 2007 Stock Plan (the "CuraGen 2007 Plan"). There are no shares available for future grant under the Celldex Research 2005 Plan and CuraGen 2007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December 31, 2012, a total of 62,500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2012 and 2011, the Company issued 5,935 and 6,627 shares under the 2004 ESPP Plan, respectively. At December 31, 2012, 38,447 shares were available for issuance under the 2004 ESPP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94" w:lineRule="exact"/>
        <w:rPr>
          <w:sz w:val="20"/>
          <w:szCs w:val="20"/>
          <w:color w:val="auto"/>
        </w:rPr>
      </w:pPr>
    </w:p>
    <w:p>
      <w:pPr>
        <w:ind w:right="160" w:firstLine="341"/>
        <w:spacing w:after="0" w:line="290" w:lineRule="auto"/>
        <w:rPr>
          <w:sz w:val="20"/>
          <w:szCs w:val="20"/>
          <w:color w:val="auto"/>
        </w:rPr>
      </w:pPr>
      <w:r>
        <w:rPr>
          <w:rFonts w:ascii="Arial" w:cs="Arial" w:eastAsia="Arial" w:hAnsi="Arial"/>
          <w:sz w:val="16"/>
          <w:szCs w:val="16"/>
          <w:color w:val="auto"/>
        </w:rPr>
        <w:t>At December 31, 2012, the 2008 Plan allowed for a maximum of 7,400,000 shares of common stock to be issued for grants of Stock Options and other Awards made prior to March 7, 2018 and grants of Incentive Stock Options made prior to October 20,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is accelerated upon a change in control as defined in the 2008 Plan.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(Continued)</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for the year ended December 31, 2012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4,459,034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1,144,484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Canceled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(201,056)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5,349,810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at December 31, 2012</w:t>
            </w: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5.99</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gridSpan w:val="2"/>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5,279,983</w:t>
            </w: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3,306,468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3,352,081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stock options exercised during the years ended December 31, 2012, 2011 and 2010 was $0.2 million, $0.03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million, respectively. The weighted average grant-date fair value of stock options granted during the years ended December 31, 2012, 2011 and 2010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$3.67, $1.83 and $2.82, respectively. The total fair value of stock options vested during the years ended December 31, 2012, 2011 and 2010 was $2.1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$2.6 million and $2.5 million, respectively.</w:t>
      </w:r>
    </w:p>
    <w:p>
      <w:pPr>
        <w:spacing w:after="0" w:line="219"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aggregate intrinsic value of stock options outstanding at December 31, 2012 was $7.5 million. The aggregate intrinsic value of stock options vested and expected to vest at December 31, 2012 was $7.4 million. As of December 31, 2012, total compensation cost related to non-vested employee and non-employee director stock options not yet recognized was approximately $5.2 million, net of estimated forfeitures, which is expected to be recognized as expense over a weighted average period of 2.9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activity under the 2008 Plan for the year ended December 31, 2012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(per share)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2"/>
              </w:rPr>
              <w:t>Outstanding and unvested at December 31, 2011</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Canceled</w:t>
            </w:r>
          </w:p>
        </w:tc>
        <w:tc>
          <w:tcPr>
            <w:tcW w:w="24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2"/>
              </w:rPr>
              <w:t>Outstanding and unvested at December 31, 2012</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80" w:type="dxa"/>
            <w:vAlign w:val="bottom"/>
            <w:vMerge w:val="restart"/>
          </w:tcPr>
          <w:p>
            <w:pPr>
              <w:jc w:val="right"/>
              <w:ind w:right="1972"/>
              <w:spacing w:after="0"/>
              <w:rPr>
                <w:sz w:val="20"/>
                <w:szCs w:val="20"/>
                <w:color w:val="auto"/>
              </w:rPr>
            </w:pPr>
            <w:r>
              <w:rPr>
                <w:rFonts w:ascii="Arial" w:cs="Arial" w:eastAsia="Arial" w:hAnsi="Arial"/>
                <w:sz w:val="18"/>
                <w:szCs w:val="18"/>
                <w:color w:val="auto"/>
              </w:rPr>
              <w:t>82</w:t>
            </w: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8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for the years ended December 31, 2012, 2011 and 2010 was recorded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1,625</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1,177</w:t>
            </w:r>
          </w:p>
        </w:tc>
      </w:tr>
      <w:tr>
        <w:trPr>
          <w:trHeight w:val="21"/>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w:t>
            </w:r>
          </w:p>
        </w:tc>
      </w:tr>
      <w:tr>
        <w:trPr>
          <w:trHeight w:val="27"/>
        </w:trPr>
        <w:tc>
          <w:tcPr>
            <w:tcW w:w="5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fair values of employee stock options granted during the years ended December 31, 2012, 2011 and 2010 were valued using the Black-Scholes option-pricing model with the following assumptions: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2010</w:t>
            </w: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70 - 72%</w:t>
            </w:r>
          </w:p>
        </w:tc>
        <w:tc>
          <w:tcPr>
            <w:tcW w:w="13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68 - 70%</w:t>
            </w:r>
          </w:p>
        </w:tc>
        <w:tc>
          <w:tcPr>
            <w:tcW w:w="134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65 - 67%</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option term</w:t>
            </w: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6.0 Years</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5"/>
              </w:rPr>
              <w:t>6.0 Years</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6.2 Years</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0.9 - 1.4%</w:t>
            </w:r>
          </w:p>
        </w:tc>
        <w:tc>
          <w:tcPr>
            <w:tcW w:w="136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1.4 - 2.9%</w:t>
            </w:r>
          </w:p>
        </w:tc>
        <w:tc>
          <w:tcPr>
            <w:tcW w:w="13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1.8 - 3.2%</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significant revenue contracts and arrangements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1997, the Company licensed its oral rotavirus strain to Glaxo and Glaxo assumed responsibility for all subsequent clinical trials and all other development activities. The Company's licensed-in the rotavirus strain that was used to develop Glaxo's Rotarix rotavirus vaccine in 1995 and owes a license fee of 30% to Cincinnati Children's Hospital Medical Center (CCH) on net royalties received from Glaxo. In May 2005, the Company entered into an agreement whereby an affiliate of PRF purchased a 70% interest in the net royalties the Company received on worldwide sales of Rotarix under the Glaxo Agreement.</w:t>
      </w:r>
    </w:p>
    <w:p>
      <w:pPr>
        <w:spacing w:after="0" w:line="16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December 2012, a U.S. patent for the Company's rotavirus strain that the Company licensed to Glaxo expired. The Glaxo agreement terminates automatically upon the expiration, lapse or invalidation of the last relevant patent right (patent or patent application) covered by the Glaxo agreement. The only remaining relevant patent right is a patent application in Mexico with a projected final expiry date in May 2013 which is under appeal. The PRF agreement provided for a normal expiry of the PRF agreement on December 12, 2012 except that the PRF agreement provides for an exclusive 120-day right of negotiation for extension in certain circumstances.</w:t>
      </w:r>
    </w:p>
    <w:p>
      <w:pPr>
        <w:spacing w:after="0" w:line="197"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Company's retained interests in Rotarix net royalties which were not sold to PRF are recorded as product royalty revenue and a corresponding amount that is payable to CCH is recorded as royalty expense. Product royalty revenue and royalty expense related to the Company's retained interest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Rotarix was $10.8 million, $9.1 million and $6.4 million for the years ended December 31, 2012, 2011 and 2010,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 (Pfizer)</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April 2008, the Company and Pfizer entered into a License and Development Agreement under which Pfizer was granted an exclusive worldwide license to rindopepimut. Under the Pfizer agreement, Pfizer made an upfront payment to the Company of $40 million and made a $10 million equity investment in the Company. The Pfizer agreement also provided for reimbursement by Pfizer of all costs incurred by the Company in connection with the collaboration since the effective date.</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November 2010, the Pfizer agreement was terminated and all rights to rindopepimut were returned to the Company. Pfizer did not provide a reason for termination. As a result of the termination, the Company recognized the remaining deferred revenue related to the Pfizer agreement to product development and licensing agreement revenue during the year ended December 31, 2010. The Company recorded $39.9 million in product development and licensing agreement revenue under the Pfizer agreement during the year ended December 31, 2010. The Company incurred and invoiced Pfizer reimbursable costs related to the Pfizer collaboration of $0.8 million for the year ended December 31, 2010. Since the termination of the Pfizer agreement, Pfizer is no longer funding the development of rindopepimut.</w:t>
      </w:r>
    </w:p>
    <w:p>
      <w:pPr>
        <w:spacing w:after="0" w:line="198" w:lineRule="exact"/>
        <w:rPr>
          <w:sz w:val="20"/>
          <w:szCs w:val="20"/>
          <w:color w:val="auto"/>
        </w:rPr>
      </w:pPr>
    </w:p>
    <w:p>
      <w:pPr>
        <w:jc w:val="both"/>
        <w:ind w:right="180" w:firstLine="351"/>
        <w:spacing w:after="0" w:line="335" w:lineRule="auto"/>
        <w:rPr>
          <w:sz w:val="20"/>
          <w:szCs w:val="20"/>
          <w:color w:val="auto"/>
        </w:rPr>
      </w:pPr>
      <w:r>
        <w:rPr>
          <w:rFonts w:ascii="Arial" w:cs="Arial" w:eastAsia="Arial" w:hAnsi="Arial"/>
          <w:sz w:val="15"/>
          <w:szCs w:val="15"/>
          <w:color w:val="auto"/>
        </w:rPr>
        <w:t>In connection with the Pfizer agreement, the Company paid a total of $6.9 million in sublicense fees to Duke University and Thomas Jefferson University. As a result of the Pfizer termination, the Company recognized the remaining deferred costs related to the Pfizer agreement to royalty expense during year ended December 31, 2010. The Company recorded $5.7 million in royalty expense related to these deferred sublicense fees during the year ended December 31, 2010.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AGREEMENTS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has entered into license agreements whereby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developmental, regulatory and/or commercial milestones. Nonrefundable license fee expense was $0.7 million, $1.4 million and $1.0 million for the years ended December 31, 2012, 2011 and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Medarex, a former related party, and the Company have entered into the following agreements, each of which was approved by a majority of its independent directors who did not have an interest in the transaction. These agreements include:</w:t>
      </w:r>
    </w:p>
    <w:p>
      <w:pPr>
        <w:spacing w:after="0" w:line="199" w:lineRule="exact"/>
        <w:rPr>
          <w:sz w:val="20"/>
          <w:szCs w:val="20"/>
          <w:color w:val="auto"/>
        </w:rPr>
      </w:pPr>
    </w:p>
    <w:p>
      <w:pPr>
        <w:jc w:val="both"/>
        <w:ind w:left="1080" w:right="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Assignment and License Agreement, as amended, (Assignment and License Agreement) that provides for the assignment of certain patent and other intellectual property rights and a license to certain Medarex technology related to the Company's APC Targeting Technology™ and an anti-mannose receptor product;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(Continued)</w:t>
      </w:r>
    </w:p>
    <w:p>
      <w:pPr>
        <w:spacing w:after="0" w:line="244" w:lineRule="exact"/>
        <w:rPr>
          <w:rFonts w:ascii="Arial" w:cs="Arial" w:eastAsia="Arial" w:hAnsi="Arial"/>
          <w:sz w:val="18"/>
          <w:szCs w:val="18"/>
          <w:b w:val="1"/>
          <w:bCs w:val="1"/>
          <w:color w:val="auto"/>
        </w:rPr>
      </w:pPr>
    </w:p>
    <w:p>
      <w:pPr>
        <w:ind w:left="1080" w:right="200" w:hanging="532"/>
        <w:spacing w:after="0" w:line="259"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Research and Commercialization Agreement, as amended, (Research and Commercialization Agreement) that provides the Company with certain rights to obtain exclusive commercial licenses to proprietary monoclonal antibodies raised against certain antigens utilizing the Medarex UltiMAb technology platform for generating antibodies until December 2015.</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terms of the Assignment and License Agreement, the Company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 Under the terms of the Research and Commercialization Agreement, the Company may be required to pay milestones of up to $7.0 million upon obtaining first approval for commercial sale in a first indication of a product containing a licensed antibody and royalty payments in the low- to mid-single digits on any net product sales to Medarex with respect to the development of any products containing such licensed antibodies until the later of (i) the expiration of the last to expire applicable patent and (ii) the tenth anniversary of the first commercial sale of such licensed product. In September 2010, the Company exercised an option under the Research and Commercialization Agreement, whereby it licensed from Medarex access to the UltiMab technology to develop and commercialize human antibodies to CD27, including CDX-1127.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2005, the Company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The Company may be required to pay milestones of up to $3.9 million upon obtaining first approval for commercial sale in a first indication of a product targeting the licensed receptor and royalty payments in the low- to mid-single digits on any net product sales to Rockefeller with respect to development and commercialization of the human DEC-205 receptor.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September 2006, the Company and Duke entered into a license agreement that gave the Company access and reference to the clinical data generated by Duke and its collaborators in order for the Company to generate its own filing with the FDA relating to rindopepimut. The Company may be required to pay milestone of up to $1.0 million upon obtaining first approval for commercial sale in a first indication and royalty payments in the low-single digits on any net product sales to Duke with respect to development and commercialization of rindopepimut.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October 2006, the Company and Ludwig entered into an agreement for the nonexclusive rights to certain cancer tumor targets for use in combination with the Company's APC Targeting Technology. The term of the agreement is for ten years. The Company may be required to pay milestones of up to $1.0 million upon obtaining first approval for commercial sale in a first indication and royalty payments in the low-single digits on any net product sales to Ludwig with respect to development and commercialization of the technology licensed from Ludwig.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October 2005, the Company completed the acquisition of the assets of Alteris, including the EGFRvIII molecule. The Company may be required to pay Alteris up to $5.0 million upon obtaining the first approval for commercial sale of a product containing EGFRvIII, including rindopepimut.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Jefferson University (TJU)</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connection with our acquisition of the assets of Alteris, the Company obtained the rights to two exclusive license agreements with TJU dated February 2003 related to the EGFRvIII tumor antigen. Under these licenses, the Company may be required to pay milestones of up to $3.0 million upon obtaining first approval for commercial sale in a first indication and royalty payments in the low-single digits on any net product sales to TJU with respect to development and commercialization of rindopepimut.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November 2008, the Company entered into a license agreement with Southampton to develop human antibodies towards CD27, a potentially important target for immunotherapy of various cancers. The Company may be required to pay milestones of up to approximately $1.4 million upon obtaining first approval for commercial sale in a first indication and royalty payments in the low-single digits on any net product sales to Southampton with respect to development and commercialization of CDX-1127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March 2009, the Company entered into a license agreement with Amgen to acquire the exclusive rights to CDX-301 and CD40 ligand (CD40L). CDX-301 and CD40L are immune modulating molecules that increase the numbers and activity of immune cells that control immune responses. The Company may be required to pay milestones of up to $1.0 million upon obtaining first approval for commercial sale in a first indication and royalty payments in the low-single digits on any net product sales to Amgen with respect to development and commercialization of the technology licensed from Amgen, including CDX-301.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connection with the CuraGen acquisition, the Company assumed the license agreement between CuraGen and Seattle Genetics whereby CuraGen acquired the rights to proprietary antibody-drug conjugate (ADC) technology for use with the Company's proprietary antibodies for the potential treatment of cancer. The Company may be required to pay milestones of up to $7.5 million upon obtaining first approval for commercial sale in a first indication and royalty payments in the mid-single digits on any net product sales to Seattle Genetics with respect to development and commercialization of the ADC technology, including CDX-011 and CDX-014.</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attributable to continuing operations consist of the following:</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19,394</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16,204</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Expiration of Net Operating Losses and Research &amp; Development Tax Credits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(13,924)</w:t>
            </w: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(11,526)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(22,205)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(19,008)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11,526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between the amount of reported income tax and the amount computed using the U.S. Statutory rate of 34%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Pre-tax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(59,123)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(44,799)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color w:val="auto"/>
              </w:rPr>
              <w:t>Loss at Statutory Rates</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(20,102)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(15,213)</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(838)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State Taxes</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(3,131)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8"/>
        </w:trPr>
        <w:tc>
          <w:tcPr>
            <w:tcW w:w="5180" w:type="dxa"/>
            <w:vAlign w:val="bottom"/>
          </w:tcPr>
          <w:p>
            <w:pPr>
              <w:spacing w:after="0"/>
              <w:rPr>
                <w:sz w:val="20"/>
                <w:szCs w:val="20"/>
                <w:color w:val="auto"/>
              </w:rPr>
            </w:pPr>
            <w:r>
              <w:rPr>
                <w:rFonts w:ascii="Arial" w:cs="Arial" w:eastAsia="Arial" w:hAnsi="Arial"/>
                <w:sz w:val="18"/>
                <w:szCs w:val="18"/>
                <w:color w:val="auto"/>
                <w:w w:val="92"/>
              </w:rPr>
              <w:t>Expiration of Net Operating Losses and Research &amp; Development Tax</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13,924</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(11,526)</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A valuation allowance is recorded against deferred tax assets if it is more likely than not that some or all of the deferred tax assets will not be realized.</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principal components of the deferred tax assets and liabilities at December 31, 2012 and 2011, respectively,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w w:val="94"/>
              </w:rPr>
              <w:t>December 31,</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67,728</w:t>
            </w: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58,802</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20,692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20,285</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Deferred Expenses</w:t>
            </w: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43,226</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31,002</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3,264</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3,184</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2,156</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2,029</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10"/>
        </w:trPr>
        <w:tc>
          <w:tcPr>
            <w:tcW w:w="57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137,307</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115,499</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Other Acquired Intangibles</w:t>
            </w:r>
          </w:p>
        </w:tc>
        <w:tc>
          <w:tcPr>
            <w:tcW w:w="220" w:type="dxa"/>
            <w:vAlign w:val="bottom"/>
          </w:tcPr>
          <w:p>
            <w:pPr>
              <w:spacing w:after="0"/>
              <w:rPr>
                <w:sz w:val="18"/>
                <w:szCs w:val="18"/>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8"/>
                <w:szCs w:val="18"/>
                <w:color w:val="auto"/>
              </w:rPr>
              <w:t>(4,481)</w:t>
            </w: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(4,878)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 Intangibles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(4,661)</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16"/>
        </w:trPr>
        <w:tc>
          <w:tcPr>
            <w:tcW w:w="57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(9,142)</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160" w:type="dxa"/>
            <w:vAlign w:val="bottom"/>
          </w:tcPr>
          <w:p>
            <w:pPr>
              <w:spacing w:after="0"/>
              <w:rPr>
                <w:sz w:val="18"/>
                <w:szCs w:val="18"/>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 and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128,165</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105,960</w:t>
            </w:r>
          </w:p>
        </w:tc>
      </w:tr>
      <w:tr>
        <w:trPr>
          <w:trHeight w:val="222"/>
        </w:trPr>
        <w:tc>
          <w:tcPr>
            <w:tcW w:w="5740" w:type="dxa"/>
            <w:vAlign w:val="bottom"/>
          </w:tcPr>
          <w:p>
            <w:pPr>
              <w:ind w:left="180"/>
              <w:spacing w:after="0"/>
              <w:rPr>
                <w:sz w:val="20"/>
                <w:szCs w:val="20"/>
                <w:color w:val="auto"/>
              </w:rPr>
            </w:pPr>
            <w:r>
              <w:rPr>
                <w:rFonts w:ascii="Arial" w:cs="Arial" w:eastAsia="Arial" w:hAnsi="Arial"/>
                <w:sz w:val="18"/>
                <w:szCs w:val="18"/>
                <w:color w:val="auto"/>
              </w:rPr>
              <w:t>Deferred Tax Assets Valuation Allowance</w:t>
            </w:r>
          </w:p>
        </w:tc>
        <w:tc>
          <w:tcPr>
            <w:tcW w:w="220" w:type="dxa"/>
            <w:vAlign w:val="bottom"/>
          </w:tcPr>
          <w:p>
            <w:pPr>
              <w:spacing w:after="0"/>
              <w:rPr>
                <w:sz w:val="19"/>
                <w:szCs w:val="19"/>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8"/>
                <w:szCs w:val="18"/>
                <w:color w:val="auto"/>
              </w:rPr>
              <w:t>(132,826)</w:t>
            </w:r>
          </w:p>
        </w:tc>
        <w:tc>
          <w:tcPr>
            <w:tcW w:w="3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(110,621)</w:t>
            </w: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(4,661)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r>
      <w:tr>
        <w:trPr>
          <w:trHeight w:val="27"/>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net deferred tax liability of $4.7 million at December 31, 2012 and 2011 relates to the temporary differences associated with the IPR&amp;D intangible assets acquired in the CuraGen acquisition, which are not deductible for tax purposes.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2012, the Company had the following federal net operating loss ("NOL") carryforwards:</w:t>
      </w:r>
    </w:p>
    <w:p>
      <w:pPr>
        <w:spacing w:after="0" w:line="239" w:lineRule="exact"/>
        <w:rPr>
          <w:sz w:val="20"/>
          <w:szCs w:val="20"/>
          <w:color w:val="auto"/>
        </w:rPr>
      </w:pPr>
    </w:p>
    <w:p>
      <w:pPr>
        <w:ind w:left="1080" w:right="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merger of the Company and AVANT, $33.0 million was generated by the Company which expire at various dates starting in 2023 and going through 2028;</w:t>
      </w:r>
    </w:p>
    <w:p>
      <w:pPr>
        <w:spacing w:after="0" w:line="212"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merger of the Company and AVANT, $101.2 million, net of expirations and utilization, was generated by AVANT which expire at various dates starting in 2018 and going through 2028. During the years ended, December 31, 2012 and 2011, NOLs of $16.4 million and $14.8 million expired, respectively;</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Following the merger of the Company and AVANT, $98.4 million was generated by the combined company which expire at various dates starting in 2028 and going through 2032;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its acquisition by the Company, $518.3 million was generated by CuraGen.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general, an ownership change, as defined by Section 382 of the Internal Revenue Code, results from transactions increasing the ownership of certain shareholders or public groups in the stock of a corporation by more than 50 percentage points over a three-year period. Such ownership changes can significantly limit the amount of NOLs that may be utilized in future periods. The Company currently expects that it is remote that the CuraGen NOLs may be utilized and, as such, no related asset has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been recorded for such losses. The Company has not completed an analysis of losses generated by AVANT, however, the Company believes it is remote that</w:t>
      </w:r>
    </w:p>
    <w:p>
      <w:pPr>
        <w:spacing w:after="0" w:line="3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$60.8 million of the AVANT NOLs may be utilized in future periods and there may be substantial limitations on the Company's ability to use the remaining NOLs of $40.4 million. Following the merger of the Company and AVANT, the Company experienced changes in ownership as defined by Section 382 in June 2009 and December 2009. Further, prior to the AVANT merger, the Company as a stand alone company experienced a change in ownership in October 2007. As a result of the ownership change in October 2007, utilization of the Company's NOLs prior to October 2007 is subject to an annual limitation of $4.5 million on</w:t>
      </w:r>
    </w:p>
    <w:p>
      <w:pPr>
        <w:spacing w:after="0" w:line="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$28.3 million of NOLs generated before that date. As a result of the ownership changes in June 2009 and December 2009, there is an annual limitation amount of $6.0 million on $67.7 million NOLs. Any unused annual limitation may be carried over to later years, and the amount of the limitation may, under certain circumstances, be subject to adjustment if the fair value of the Company's net assets are determined to be below or in excess of the tax basis of such assets at the time of the ownership change, and such unrealized loss or gain is recognized during the five-year period after the ownership change.</w:t>
      </w:r>
    </w:p>
    <w:p>
      <w:pPr>
        <w:spacing w:after="0" w:line="16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Similar to the AVANT and CuraGen NOL carryforwards above, the Company believes that it is not more likely than not that federal and state research and development ("R&amp;D") credits of $20.8 million and $14.4 million, respectively, will be utilized in the future periods. Further, the Company's ability to use the state NOLs of approximately $99.2 million and the remaining federal and state R&amp;D credit carryforwards of approximately $13.8 million and $10.2 million, respectively, may be substantially limited. These state NOLs and federal and state credits expire at various dates starting in 2013 going through 2031. The Company has not yet completed a study of these credits to substantiate the amounts. Until a study is completed, no amounts are being presented as an uncertain tax position.</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Subsequent ownership changes, as defined in Section 382, could further limit the amount of net operating loss carryforwards and research and development credits that can be utilized annually to offset future taxable income.</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applies the authoritative guidance on account for and disclosure of uncertainty in income tax positions which requires the Company to determine whether an income tax position of the Company is more likely than not to be sustained upon examination, including resolution of any related appeals or litigation processes, based on the technical merits of the position. For income tax positions meeting the more likely than not threshold, the tax amount recognized in the financial statements is reduced to the largest benefit that has a greater than fifty perfect likelihood of being realized upon the ultimate settlement with the relevant taxing authority. At December 31, 2012 and 2011, we had no unrecognized tax benefits. A full valuation allowance has been provided against our deferred tax assets and liabilities and, if an adjustment is required, this adjustment would be offset by an adjustment to the valuation allowance. Thus, there would be no impact to the consolidated balance sheet or statement of operations if an adjustment were required.</w:t>
      </w:r>
    </w:p>
    <w:p>
      <w:pPr>
        <w:spacing w:after="0" w:line="172"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 is not currently under examination by any other jurisdictions for any tax year.</w:t>
      </w:r>
    </w:p>
    <w:p>
      <w:pPr>
        <w:spacing w:after="0" w:line="186"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likely than not that it will not recognize the benefits of federal and state deferred tax assets and, as a result, a full valuation allowance was maintained at December 31, 2012 against the Company's net deferred tax assets.</w:t>
      </w:r>
    </w:p>
    <w:p>
      <w:pPr>
        <w:spacing w:after="0" w:line="186"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American Taxpayer Relief Act of 2012 was enacted on January 2, 2013 under which the federal research and development credit was retroactively extended for amounts paid or incurred after December 31, 2011 through December 31, 2013. The effects of the change in the tax law will be recognized in the first quarter of 2013, which is the quarter in which the law was enacted.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has facility and equipment leases that expire at various dates through 2017. Certain of these facility leases contain renewal options, early termination provisions, and provisions that escalate the base rent payments and require the Company to pay common area maintenance costs ("CAM") during the lease term. The Company entered into a letter of credit facility with a national U.S. financial institution which is collateralized by a security deposit for the leased facility in Phillipsburg, New Jersey. The Company recorded restricted cash related to this security deposit of $0.2 million to other assets in the consolidated balance sheets at December 31, 2012 and December 31, 2011.</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obligations for base rent and CAM costs under facility and other non-cancelable operating leases as of December 31, 2012 do not include the exercise of renewal terms or early termination provisions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2,303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2,374</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w:t>
            </w: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10,850</w:t>
            </w:r>
          </w:p>
        </w:tc>
      </w:tr>
      <w:tr>
        <w:trPr>
          <w:trHeight w:val="27"/>
        </w:trPr>
        <w:tc>
          <w:tcPr>
            <w:tcW w:w="7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total rent and CAM expense for all facility leases was $2.5 million for the years ended December 31, 2012, 2011 and 2010.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SAVINGS PLAN</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maintains a 401(k) Plan which is available to substantially all employees. Under the terms of the 401(k) Plan, participants may elect to contribute up to 15% of their compensation, or the statutory prescribed limits. The Company may make 50% matching contributions on up to 4% of a participant's annual salary. Benefit expense for the 401(k) Plan was $0.2 million, $0.2 million and $0.2 million for the years ended December 31, 2012, 2011 and 2010, respectively.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2012</w:t>
            </w:r>
          </w:p>
        </w:tc>
        <w:tc>
          <w:tcPr>
            <w:tcW w:w="3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Q1 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Q2 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Q3 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Q4 2012</w:t>
            </w:r>
          </w:p>
        </w:tc>
        <w:tc>
          <w:tcPr>
            <w:tcW w:w="1880" w:type="dxa"/>
            <w:vAlign w:val="bottom"/>
            <w:gridSpan w:val="2"/>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80"/>
              <w:spacing w:after="0" w:line="142" w:lineRule="exact"/>
              <w:rPr>
                <w:sz w:val="20"/>
                <w:szCs w:val="20"/>
                <w:color w:val="auto"/>
              </w:rPr>
            </w:pPr>
            <w:r>
              <w:rPr>
                <w:rFonts w:ascii="Arial" w:cs="Arial" w:eastAsia="Arial" w:hAnsi="Arial"/>
                <w:sz w:val="14"/>
                <w:szCs w:val="14"/>
                <w:b w:val="1"/>
                <w:bCs w:val="1"/>
                <w:color w:val="auto"/>
                <w:w w:val="81"/>
              </w:rPr>
              <w:t>(In</w:t>
            </w:r>
          </w:p>
        </w:tc>
        <w:tc>
          <w:tcPr>
            <w:tcW w:w="160" w:type="dxa"/>
            <w:vAlign w:val="bottom"/>
          </w:tcPr>
          <w:p>
            <w:pPr>
              <w:spacing w:after="0"/>
              <w:rPr>
                <w:sz w:val="12"/>
                <w:szCs w:val="12"/>
                <w:color w:val="auto"/>
              </w:rPr>
            </w:pPr>
          </w:p>
        </w:tc>
        <w:tc>
          <w:tcPr>
            <w:tcW w:w="4520" w:type="dxa"/>
            <w:vAlign w:val="bottom"/>
            <w:gridSpan w:val="10"/>
          </w:tcPr>
          <w:p>
            <w:pPr>
              <w:spacing w:after="0" w:line="142" w:lineRule="exact"/>
              <w:rPr>
                <w:sz w:val="20"/>
                <w:szCs w:val="20"/>
                <w:color w:val="auto"/>
              </w:rPr>
            </w:pPr>
            <w:r>
              <w:rPr>
                <w:rFonts w:ascii="Arial" w:cs="Arial" w:eastAsia="Arial" w:hAnsi="Arial"/>
                <w:sz w:val="14"/>
                <w:szCs w:val="14"/>
                <w:b w:val="1"/>
                <w:bCs w:val="1"/>
                <w:color w:val="auto"/>
              </w:rPr>
              <w:t>thousands, except per share amounts)</w:t>
            </w:r>
          </w:p>
        </w:tc>
      </w:tr>
      <w:tr>
        <w:trPr>
          <w:trHeight w:val="216"/>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(13,516)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(15,027)</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Basic and diluted net loss per common share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1720" w:type="dxa"/>
            <w:vAlign w:val="bottom"/>
          </w:tcPr>
          <w:p>
            <w:pPr>
              <w:spacing w:after="0"/>
              <w:rPr>
                <w:sz w:val="18"/>
                <w:szCs w:val="18"/>
                <w:color w:val="auto"/>
              </w:rPr>
            </w:pPr>
          </w:p>
        </w:tc>
      </w:tr>
      <w:tr>
        <w:trPr>
          <w:trHeight w:val="797"/>
        </w:trPr>
        <w:tc>
          <w:tcPr>
            <w:tcW w:w="17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2011</w:t>
            </w:r>
          </w:p>
        </w:tc>
        <w:tc>
          <w:tcPr>
            <w:tcW w:w="3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Q1 2011</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Q2 2011</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Q3 2011</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Q4 2011</w:t>
            </w:r>
          </w:p>
        </w:tc>
        <w:tc>
          <w:tcPr>
            <w:tcW w:w="1880" w:type="dxa"/>
            <w:vAlign w:val="bottom"/>
            <w:gridSpan w:val="2"/>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80"/>
              <w:spacing w:after="0" w:line="142" w:lineRule="exact"/>
              <w:rPr>
                <w:sz w:val="20"/>
                <w:szCs w:val="20"/>
                <w:color w:val="auto"/>
              </w:rPr>
            </w:pPr>
            <w:r>
              <w:rPr>
                <w:rFonts w:ascii="Arial" w:cs="Arial" w:eastAsia="Arial" w:hAnsi="Arial"/>
                <w:sz w:val="14"/>
                <w:szCs w:val="14"/>
                <w:b w:val="1"/>
                <w:bCs w:val="1"/>
                <w:color w:val="auto"/>
                <w:w w:val="81"/>
              </w:rPr>
              <w:t>(In</w:t>
            </w:r>
          </w:p>
        </w:tc>
        <w:tc>
          <w:tcPr>
            <w:tcW w:w="160" w:type="dxa"/>
            <w:vAlign w:val="bottom"/>
          </w:tcPr>
          <w:p>
            <w:pPr>
              <w:spacing w:after="0"/>
              <w:rPr>
                <w:sz w:val="12"/>
                <w:szCs w:val="12"/>
                <w:color w:val="auto"/>
              </w:rPr>
            </w:pPr>
          </w:p>
        </w:tc>
        <w:tc>
          <w:tcPr>
            <w:tcW w:w="4520" w:type="dxa"/>
            <w:vAlign w:val="bottom"/>
            <w:gridSpan w:val="10"/>
          </w:tcPr>
          <w:p>
            <w:pPr>
              <w:spacing w:after="0" w:line="142" w:lineRule="exact"/>
              <w:rPr>
                <w:sz w:val="20"/>
                <w:szCs w:val="20"/>
                <w:color w:val="auto"/>
              </w:rPr>
            </w:pPr>
            <w:r>
              <w:rPr>
                <w:rFonts w:ascii="Arial" w:cs="Arial" w:eastAsia="Arial" w:hAnsi="Arial"/>
                <w:sz w:val="14"/>
                <w:szCs w:val="14"/>
                <w:b w:val="1"/>
                <w:bCs w:val="1"/>
                <w:color w:val="auto"/>
              </w:rPr>
              <w:t>thousands, except per share amounts)</w:t>
            </w:r>
          </w:p>
        </w:tc>
      </w:tr>
      <w:tr>
        <w:trPr>
          <w:trHeight w:val="216"/>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(10,059)</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(10,236)</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(11,772)</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(12,732)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Basic and diluted net loss per common share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2012,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2012.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this evaluation, our management concluded that our internal control over financial reporting was effective as of December 31, 2012.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2012 has been audited by PricewaterhouseCoopers LLP, an independent registered public accounting firm, as stated in their report, which is included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2012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information required by this Item 10 will be included in the definitive Proxy Statement for our 2013 Annual Meeting of Stockholders, or the 2013 Proxy Statement, under "Information Regarding the Current Directors and Executive Officers of Celldex Therapeutic, Inc.," "Section 16(a) Beneficial Ownership Reporting Compliance," "Code of Business Conduct and Ethics" and "The Board of Directors and Its Committees" and is incorporated herein by reference. If the 2013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information required by this Item 11 will be included in the 2013 Proxy Statement under "Executive Compensation," and "Compensation Committee Interlocks and Insider Participation," and is incorporated herein by reference. If the 2013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information required by this Item 12 will be included in the 2013 Proxy Statement under "Security Ownership of Certain Beneficial Owners and Management" and "Equity Compensation Plan Information" and is incorporated herein by reference. If the 2013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The information required by this Item 13 will be included in the 2013 Proxy Statement under "Election of Directors" and "Approval of Related Person Transactions and Transactions with Related Persons" and is incorporated herein by reference. If the 2013 Proxy Statement is not filed with the SEC within 120 days after the end of our most recent fiscal year, we will provide such information by means of an amendment to this Annual Report on Form 10-K.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information required by this Item 14 will be included in the 2013 Proxy Statement under "Independent Registered Public Accounting Firm" and is incorporated herein by reference. If the 2013 Proxy Statement is not filed with the SEC within 120 days after the end of our most recent fiscal year, we will provide such information by means of an amendment to this Annual Report on Form 10-K.</w:t>
      </w:r>
    </w:p>
    <w:p>
      <w:pPr>
        <w:spacing w:after="0" w:line="19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and Supplementary Data are included in Part II Item 8 of this report.</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are omitted since the required information is not applicable or is not present in amounts sufficient to require submission of the schedule, or because the information required is included in the Consolidated Financial Statements or Notes thereto.</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80" w:type="dxa"/>
            <w:vAlign w:val="bottom"/>
          </w:tcPr>
          <w:p>
            <w:pPr>
              <w:jc w:val="right"/>
              <w:ind w:right="72"/>
              <w:spacing w:after="0"/>
              <w:rPr>
                <w:sz w:val="20"/>
                <w:szCs w:val="20"/>
                <w:color w:val="auto"/>
              </w:rPr>
            </w:pPr>
            <w:r>
              <w:rPr>
                <w:rFonts w:ascii="Arial" w:cs="Arial" w:eastAsia="Arial" w:hAnsi="Arial"/>
                <w:sz w:val="18"/>
                <w:szCs w:val="18"/>
                <w:i w:val="1"/>
                <w:iCs w:val="1"/>
                <w:color w:val="auto"/>
                <w:w w:val="90"/>
              </w:rPr>
              <w:t>(3)</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Exhibits:</w:t>
            </w:r>
          </w:p>
        </w:tc>
        <w:tc>
          <w:tcPr>
            <w:tcW w:w="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5680" w:type="dxa"/>
            <w:vAlign w:val="bottom"/>
            <w:gridSpan w:val="2"/>
          </w:tcPr>
          <w:p>
            <w:pPr>
              <w:ind w:left="2420"/>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i w:val="1"/>
                <w:iCs w:val="1"/>
                <w:color w:val="auto"/>
                <w:w w:val="92"/>
              </w:rPr>
              <w:t>Plan of</w:t>
            </w:r>
          </w:p>
        </w:tc>
        <w:tc>
          <w:tcPr>
            <w:tcW w:w="16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Acquisition, Reorganization, Arrangement, Liquidation or Succession</w:t>
            </w: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October 19, 2007, by and among</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10/22/07</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AVANT, Celldex Merger Corporation, and Celldex Therapeutics, Inc.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7"/>
              </w:rPr>
              <w:t>Agreement and Plan of Merger, dated as of May 28, 2009, by and among</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5/29/09</w:t>
            </w: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Celldex Therapeutics, Inc., CuraGen Corporation and Cottrell Merger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Sub, Inc.</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4"/>
          </w:tcPr>
          <w:p>
            <w:pPr>
              <w:ind w:left="80"/>
              <w:spacing w:after="0"/>
              <w:rPr>
                <w:sz w:val="20"/>
                <w:szCs w:val="20"/>
                <w:color w:val="auto"/>
              </w:rPr>
            </w:pPr>
            <w:r>
              <w:rPr>
                <w:rFonts w:ascii="Arial" w:cs="Arial" w:eastAsia="Arial" w:hAnsi="Arial"/>
                <w:sz w:val="18"/>
                <w:szCs w:val="18"/>
                <w:i w:val="1"/>
                <w:iCs w:val="1"/>
                <w:color w:val="auto"/>
              </w:rPr>
              <w:t>Articles of Incorporation and By-Laws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Second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Third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5/10/02</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Fourth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3"/>
              </w:rPr>
              <w:t>Fifth 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3"/>
              </w:rPr>
              <w:t>Sixth 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11/10/08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as of March 14,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3/18/08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4"/>
          </w:tcPr>
          <w:p>
            <w:pPr>
              <w:ind w:left="80"/>
              <w:spacing w:after="0"/>
              <w:rPr>
                <w:sz w:val="20"/>
                <w:szCs w:val="20"/>
                <w:color w:val="auto"/>
              </w:rPr>
            </w:pPr>
            <w:r>
              <w:rPr>
                <w:rFonts w:ascii="Arial" w:cs="Arial" w:eastAsia="Arial" w:hAnsi="Arial"/>
                <w:sz w:val="18"/>
                <w:szCs w:val="18"/>
                <w:i w:val="1"/>
                <w:iCs w:val="1"/>
                <w:color w:val="auto"/>
              </w:rPr>
              <w:t>Instruments Defining the Rights of Security Holders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Specimen of Common Stock Certificate</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S-3</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4.17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4/5/10</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860"/>
          </w:cols>
          <w:pgMar w:left="240" w:top="131" w:right="799" w:bottom="1440" w:gutter="0" w:footer="0" w:header="0"/>
        </w:sectPr>
      </w:pPr>
    </w:p>
    <w:p>
      <w:pPr>
        <w:spacing w:after="0" w:line="10"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560"/>
        <w:spacing w:after="0"/>
        <w:tabs>
          <w:tab w:leader="none" w:pos="19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Shareholder Rights Agreement dated November 5, 2004</w:t>
      </w: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53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Amendment No. 1 to Shareholder Rights Agreement dated October 19, 2007</w:t>
      </w:r>
    </w:p>
    <w:p>
      <w:pPr>
        <w:spacing w:after="0" w:line="200" w:lineRule="exact"/>
        <w:rPr>
          <w:sz w:val="20"/>
          <w:szCs w:val="20"/>
          <w:color w:val="auto"/>
        </w:rPr>
      </w:pPr>
    </w:p>
    <w:p>
      <w:pPr>
        <w:spacing w:after="0" w:line="268"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Amendment No. 2 to Shareholder Rights Agreement dated March 7, 2008</w:t>
      </w:r>
    </w:p>
    <w:p>
      <w:pPr>
        <w:spacing w:after="0" w:line="200" w:lineRule="exact"/>
        <w:rPr>
          <w:sz w:val="20"/>
          <w:szCs w:val="20"/>
          <w:color w:val="auto"/>
        </w:rPr>
      </w:pPr>
    </w:p>
    <w:p>
      <w:pPr>
        <w:spacing w:after="0" w:line="268" w:lineRule="exact"/>
        <w:rPr>
          <w:sz w:val="20"/>
          <w:szCs w:val="20"/>
          <w:color w:val="auto"/>
        </w:rPr>
      </w:pPr>
    </w:p>
    <w:p>
      <w:pPr>
        <w:ind w:left="1940" w:right="120" w:hanging="381"/>
        <w:spacing w:after="0" w:line="259" w:lineRule="auto"/>
        <w:tabs>
          <w:tab w:leader="none" w:pos="1920" w:val="left"/>
        </w:tabs>
        <w:rPr>
          <w:sz w:val="20"/>
          <w:szCs w:val="20"/>
          <w:color w:val="auto"/>
        </w:rPr>
      </w:pPr>
      <w:r>
        <w:rPr>
          <w:rFonts w:ascii="Arial" w:cs="Arial" w:eastAsia="Arial" w:hAnsi="Arial"/>
          <w:sz w:val="18"/>
          <w:szCs w:val="18"/>
          <w:color w:val="auto"/>
        </w:rPr>
        <w:t>4.5</w:t>
        <w:tab/>
        <w:t>Certificate of Designations, Preferences and Rights of a Series of Preferred Stock classifying and designating the Series C-1 Junior Participating Cumulative Preferred Stock</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Material Contracts—Leases</w:t>
      </w:r>
    </w:p>
    <w:p>
      <w:pPr>
        <w:spacing w:after="0" w:line="15" w:lineRule="exact"/>
        <w:rPr>
          <w:sz w:val="20"/>
          <w:szCs w:val="20"/>
          <w:color w:val="auto"/>
        </w:rPr>
      </w:pPr>
    </w:p>
    <w:p>
      <w:pPr>
        <w:ind w:left="1940" w:right="200" w:hanging="468"/>
        <w:spacing w:after="0" w:line="261" w:lineRule="auto"/>
        <w:tabs>
          <w:tab w:leader="none" w:pos="1920" w:val="left"/>
        </w:tabs>
        <w:rPr>
          <w:sz w:val="20"/>
          <w:szCs w:val="20"/>
          <w:color w:val="auto"/>
        </w:rPr>
      </w:pPr>
      <w:r>
        <w:rPr>
          <w:rFonts w:ascii="Arial" w:cs="Arial" w:eastAsia="Arial" w:hAnsi="Arial"/>
          <w:sz w:val="18"/>
          <w:szCs w:val="18"/>
          <w:color w:val="auto"/>
        </w:rPr>
        <w:t>10.1</w:t>
        <w:tab/>
        <w:t>Commercial Lease Agreement of May 1, 1996 between the Company and Fourth Avenue Ventures Limited Partnership</w:t>
      </w:r>
    </w:p>
    <w:p>
      <w:pPr>
        <w:spacing w:after="0" w:line="219" w:lineRule="exact"/>
        <w:rPr>
          <w:sz w:val="20"/>
          <w:szCs w:val="20"/>
          <w:color w:val="auto"/>
        </w:rPr>
      </w:pPr>
    </w:p>
    <w:p>
      <w:pPr>
        <w:ind w:left="1940" w:right="180" w:hanging="468"/>
        <w:spacing w:after="0" w:line="306" w:lineRule="auto"/>
        <w:tabs>
          <w:tab w:leader="none" w:pos="1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Extension of Lease Agreement of May 1, 1997 between the Company and DIV Needham 53 LLC (successor in interest to Fourth Avenue Ventures Limited Partnership) dated as of August 23, 2001</w:t>
      </w:r>
    </w:p>
    <w:p>
      <w:pPr>
        <w:spacing w:after="0" w:line="188"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First Amendment to Lease by and between the Company and DIV Needham</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53 LLC dated November 29, 2005</w:t>
      </w:r>
    </w:p>
    <w:p>
      <w:pPr>
        <w:spacing w:after="0" w:line="246" w:lineRule="exact"/>
        <w:rPr>
          <w:sz w:val="20"/>
          <w:szCs w:val="20"/>
          <w:color w:val="auto"/>
        </w:rPr>
      </w:pPr>
    </w:p>
    <w:p>
      <w:pPr>
        <w:ind w:left="1940" w:right="360" w:hanging="556"/>
        <w:spacing w:after="0" w:line="370" w:lineRule="auto"/>
        <w:tabs>
          <w:tab w:leader="none" w:pos="1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Lease Agreement, by and between the Company and the Massachusetts Development Finance Agency, dated as of December 22, 2003</w:t>
      </w:r>
    </w:p>
    <w:p>
      <w:pPr>
        <w:spacing w:after="0" w:line="143" w:lineRule="exact"/>
        <w:rPr>
          <w:sz w:val="20"/>
          <w:szCs w:val="20"/>
          <w:color w:val="auto"/>
        </w:rPr>
      </w:pPr>
    </w:p>
    <w:p>
      <w:pPr>
        <w:ind w:left="1940" w:right="240" w:hanging="468"/>
        <w:spacing w:after="0" w:line="332" w:lineRule="auto"/>
        <w:tabs>
          <w:tab w:leader="none" w:pos="1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First Amendment to Lease between Massachusetts Development Finance Agency and the Company dated March 17, 2005</w:t>
      </w:r>
    </w:p>
    <w:p>
      <w:pPr>
        <w:spacing w:after="0" w:line="166" w:lineRule="exact"/>
        <w:rPr>
          <w:sz w:val="20"/>
          <w:szCs w:val="20"/>
          <w:color w:val="auto"/>
        </w:rPr>
      </w:pPr>
    </w:p>
    <w:p>
      <w:pPr>
        <w:ind w:left="1940" w:right="40" w:hanging="468"/>
        <w:spacing w:after="0" w:line="370" w:lineRule="auto"/>
        <w:tabs>
          <w:tab w:leader="none" w:pos="19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Second Amendment to Lease by and between the Company and the Massachusetts Development Finance Agency dated as of November 4, 2005</w:t>
      </w:r>
    </w:p>
    <w:p>
      <w:pPr>
        <w:spacing w:after="0" w:line="143" w:lineRule="exact"/>
        <w:rPr>
          <w:sz w:val="20"/>
          <w:szCs w:val="20"/>
          <w:color w:val="auto"/>
        </w:rPr>
      </w:pPr>
    </w:p>
    <w:p>
      <w:pPr>
        <w:ind w:left="1940" w:right="180" w:hanging="468"/>
        <w:spacing w:after="0" w:line="332" w:lineRule="auto"/>
        <w:tabs>
          <w:tab w:leader="none" w:pos="19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Third Amendment to Lease between Massachusetts Development Finance Agency and the Company dated December 20, 2006</w:t>
      </w:r>
    </w:p>
    <w:p>
      <w:pPr>
        <w:spacing w:after="0" w:line="166" w:lineRule="exact"/>
        <w:rPr>
          <w:sz w:val="20"/>
          <w:szCs w:val="20"/>
          <w:color w:val="auto"/>
        </w:rPr>
      </w:pPr>
    </w:p>
    <w:p>
      <w:pPr>
        <w:ind w:left="1940" w:right="220" w:hanging="468"/>
        <w:spacing w:after="0" w:line="332" w:lineRule="auto"/>
        <w:tabs>
          <w:tab w:leader="none" w:pos="19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Fifth Amendment to Lease between Massachusetts Development Finance Agency and the Company dated October 3, 2008</w:t>
      </w:r>
    </w:p>
    <w:p>
      <w:pPr>
        <w:spacing w:after="0" w:line="166" w:lineRule="exact"/>
        <w:rPr>
          <w:sz w:val="20"/>
          <w:szCs w:val="20"/>
          <w:color w:val="auto"/>
        </w:rPr>
      </w:pPr>
    </w:p>
    <w:p>
      <w:pPr>
        <w:ind w:left="1940" w:right="200" w:hanging="468"/>
        <w:spacing w:after="0" w:line="332" w:lineRule="auto"/>
        <w:tabs>
          <w:tab w:leader="none" w:pos="19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Sixth Amendment to Lease between Massachusetts Development Finance Agency and the Company dated August 20, 2009</w:t>
      </w:r>
    </w:p>
    <w:p>
      <w:pPr>
        <w:spacing w:after="0" w:line="166" w:lineRule="exact"/>
        <w:rPr>
          <w:sz w:val="20"/>
          <w:szCs w:val="20"/>
          <w:color w:val="auto"/>
        </w:rPr>
      </w:pPr>
    </w:p>
    <w:p>
      <w:pPr>
        <w:ind w:left="1940" w:right="360" w:hanging="556"/>
        <w:spacing w:after="0" w:line="370" w:lineRule="auto"/>
        <w:tabs>
          <w:tab w:leader="none" w:pos="19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Seventh Amendment to Lease by and between the Company and the Massachusetts Development Finance Agency dated as of June 22, 2010</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8-A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11/8/04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rPr>
              <w:t>8-A/A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10/22/07</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rPr>
              <w:t>8-A/A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3/7/08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8/23/96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8/5/10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320" w:space="300"/>
            <w:col w:w="2660"/>
          </w:cols>
          <w:pgMar w:left="240" w:top="131" w:right="13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940" w:right="160" w:hanging="550"/>
        <w:spacing w:after="0" w:line="259" w:lineRule="auto"/>
        <w:tabs>
          <w:tab w:leader="none" w:pos="1920" w:val="left"/>
        </w:tabs>
        <w:rPr>
          <w:sz w:val="20"/>
          <w:szCs w:val="20"/>
          <w:color w:val="auto"/>
        </w:rPr>
      </w:pPr>
      <w:r>
        <w:rPr>
          <w:rFonts w:ascii="Arial" w:cs="Arial" w:eastAsia="Arial" w:hAnsi="Arial"/>
          <w:sz w:val="18"/>
          <w:szCs w:val="18"/>
          <w:color w:val="auto"/>
        </w:rPr>
        <w:t>10.11</w:t>
        <w:tab/>
        <w:t>Lease Agreement dated as of October 21, 2005 by and between Phillipsburg Associates, L.P. and the Company.</w:t>
      </w:r>
    </w:p>
    <w:p>
      <w:pPr>
        <w:spacing w:after="0" w:line="221" w:lineRule="exact"/>
        <w:rPr>
          <w:sz w:val="20"/>
          <w:szCs w:val="20"/>
          <w:color w:val="auto"/>
        </w:rPr>
      </w:pPr>
    </w:p>
    <w:p>
      <w:pPr>
        <w:ind w:left="1940" w:right="400" w:hanging="556"/>
        <w:spacing w:after="0" w:line="268" w:lineRule="auto"/>
        <w:tabs>
          <w:tab w:leader="none" w:pos="1920" w:val="left"/>
        </w:tabs>
        <w:rPr>
          <w:sz w:val="20"/>
          <w:szCs w:val="20"/>
          <w:color w:val="auto"/>
        </w:rPr>
      </w:pPr>
      <w:r>
        <w:rPr>
          <w:rFonts w:ascii="Arial" w:cs="Arial" w:eastAsia="Arial" w:hAnsi="Arial"/>
          <w:sz w:val="18"/>
          <w:szCs w:val="18"/>
          <w:color w:val="auto"/>
        </w:rPr>
        <w:t>10.12</w:t>
        <w:tab/>
        <w:t>First Amendment to Lease between Phillipsburg Associates, L.P. and the Company dated October 11, 2010</w:t>
      </w:r>
    </w:p>
    <w:p>
      <w:pPr>
        <w:spacing w:after="0" w:line="213" w:lineRule="exact"/>
        <w:rPr>
          <w:sz w:val="20"/>
          <w:szCs w:val="20"/>
          <w:color w:val="auto"/>
        </w:rPr>
      </w:pPr>
    </w:p>
    <w:p>
      <w:pPr>
        <w:ind w:left="1940" w:hanging="556"/>
        <w:spacing w:after="0" w:line="268" w:lineRule="auto"/>
        <w:tabs>
          <w:tab w:leader="none" w:pos="1920" w:val="left"/>
        </w:tabs>
        <w:rPr>
          <w:sz w:val="20"/>
          <w:szCs w:val="20"/>
          <w:color w:val="auto"/>
        </w:rPr>
      </w:pPr>
      <w:r>
        <w:rPr>
          <w:rFonts w:ascii="Arial" w:cs="Arial" w:eastAsia="Arial" w:hAnsi="Arial"/>
          <w:sz w:val="18"/>
          <w:szCs w:val="18"/>
          <w:color w:val="auto"/>
        </w:rPr>
        <w:t>10.13</w:t>
        <w:tab/>
        <w:t>Subordination, Non-Disturbance and Attornment Agreement between Bank of America and the Company dated October 11, 2010</w:t>
      </w:r>
    </w:p>
    <w:p>
      <w:pPr>
        <w:spacing w:after="0" w:line="213" w:lineRule="exact"/>
        <w:rPr>
          <w:sz w:val="20"/>
          <w:szCs w:val="20"/>
          <w:color w:val="auto"/>
        </w:rPr>
      </w:pPr>
    </w:p>
    <w:p>
      <w:pPr>
        <w:ind w:left="1280" w:right="300" w:hanging="43"/>
        <w:spacing w:after="0" w:line="286" w:lineRule="auto"/>
        <w:rPr>
          <w:sz w:val="20"/>
          <w:szCs w:val="20"/>
          <w:color w:val="auto"/>
        </w:rPr>
      </w:pPr>
      <w:r>
        <w:rPr>
          <w:rFonts w:ascii="Arial" w:cs="Arial" w:eastAsia="Arial" w:hAnsi="Arial"/>
          <w:sz w:val="16"/>
          <w:szCs w:val="16"/>
          <w:i w:val="1"/>
          <w:iCs w:val="1"/>
          <w:color w:val="auto"/>
        </w:rPr>
        <w:t xml:space="preserve">Material Contracts—License, Collaboration, Supply and Distribution Agreements </w:t>
      </w:r>
      <w:r>
        <w:rPr>
          <w:rFonts w:ascii="Arial" w:cs="Arial" w:eastAsia="Arial" w:hAnsi="Arial"/>
          <w:sz w:val="16"/>
          <w:szCs w:val="16"/>
          <w:color w:val="auto"/>
        </w:rPr>
        <w:t>*10.14 License Agreement between the Company and SmithKline Beecham PLC</w:t>
      </w:r>
    </w:p>
    <w:p>
      <w:pPr>
        <w:ind w:left="1940"/>
        <w:spacing w:after="0"/>
        <w:rPr>
          <w:sz w:val="20"/>
          <w:szCs w:val="20"/>
          <w:color w:val="auto"/>
        </w:rPr>
      </w:pPr>
      <w:r>
        <w:rPr>
          <w:rFonts w:ascii="Arial" w:cs="Arial" w:eastAsia="Arial" w:hAnsi="Arial"/>
          <w:sz w:val="18"/>
          <w:szCs w:val="18"/>
          <w:color w:val="auto"/>
        </w:rPr>
        <w:t>dated as of December 1, 1997</w:t>
      </w:r>
    </w:p>
    <w:p>
      <w:pPr>
        <w:spacing w:after="0" w:line="246" w:lineRule="exact"/>
        <w:rPr>
          <w:sz w:val="20"/>
          <w:szCs w:val="20"/>
          <w:color w:val="auto"/>
        </w:rPr>
      </w:pPr>
    </w:p>
    <w:p>
      <w:pPr>
        <w:ind w:left="1940" w:right="240" w:hanging="556"/>
        <w:spacing w:after="0" w:line="268" w:lineRule="auto"/>
        <w:tabs>
          <w:tab w:leader="none" w:pos="1920" w:val="left"/>
        </w:tabs>
        <w:rPr>
          <w:sz w:val="20"/>
          <w:szCs w:val="20"/>
          <w:color w:val="auto"/>
        </w:rPr>
      </w:pPr>
      <w:r>
        <w:rPr>
          <w:rFonts w:ascii="Arial" w:cs="Arial" w:eastAsia="Arial" w:hAnsi="Arial"/>
          <w:sz w:val="18"/>
          <w:szCs w:val="18"/>
          <w:color w:val="auto"/>
        </w:rPr>
        <w:t>10.15</w:t>
        <w:tab/>
        <w:t>Amendment Agreement, dated January 9, 2003, between the Company and SmithKline Beecham PLC</w:t>
      </w:r>
    </w:p>
    <w:p>
      <w:pPr>
        <w:spacing w:after="0" w:line="213" w:lineRule="exact"/>
        <w:rPr>
          <w:sz w:val="20"/>
          <w:szCs w:val="20"/>
          <w:color w:val="auto"/>
        </w:rPr>
      </w:pPr>
    </w:p>
    <w:p>
      <w:pPr>
        <w:ind w:left="1940" w:right="340" w:hanging="556"/>
        <w:spacing w:after="0" w:line="259" w:lineRule="auto"/>
        <w:tabs>
          <w:tab w:leader="none" w:pos="1920" w:val="left"/>
        </w:tabs>
        <w:rPr>
          <w:sz w:val="20"/>
          <w:szCs w:val="20"/>
          <w:color w:val="auto"/>
        </w:rPr>
      </w:pPr>
      <w:r>
        <w:rPr>
          <w:rFonts w:ascii="Arial" w:cs="Arial" w:eastAsia="Arial" w:hAnsi="Arial"/>
          <w:sz w:val="18"/>
          <w:szCs w:val="18"/>
          <w:color w:val="auto"/>
        </w:rPr>
        <w:t>10.16</w:t>
        <w:tab/>
        <w:t>License and Clinical Trials Agreement, effective as of February 27, 1995, between the Company and the James N. Gamble Institute of Medical Research</w:t>
      </w:r>
    </w:p>
    <w:p>
      <w:pPr>
        <w:spacing w:after="0" w:line="221" w:lineRule="exact"/>
        <w:rPr>
          <w:sz w:val="20"/>
          <w:szCs w:val="20"/>
          <w:color w:val="auto"/>
        </w:rPr>
      </w:pPr>
    </w:p>
    <w:p>
      <w:pPr>
        <w:ind w:left="1940" w:right="400" w:hanging="556"/>
        <w:spacing w:after="0" w:line="268" w:lineRule="auto"/>
        <w:tabs>
          <w:tab w:leader="none" w:pos="1920" w:val="left"/>
        </w:tabs>
        <w:rPr>
          <w:sz w:val="20"/>
          <w:szCs w:val="20"/>
          <w:color w:val="auto"/>
        </w:rPr>
      </w:pPr>
      <w:r>
        <w:rPr>
          <w:rFonts w:ascii="Arial" w:cs="Arial" w:eastAsia="Arial" w:hAnsi="Arial"/>
          <w:sz w:val="18"/>
          <w:szCs w:val="18"/>
          <w:color w:val="auto"/>
        </w:rPr>
        <w:t>10.17</w:t>
        <w:tab/>
        <w:t>Amendment Agreement between Cincinnati Children's Hospital Medical Center and the Company dated November 17, 2003</w:t>
      </w:r>
    </w:p>
    <w:p>
      <w:pPr>
        <w:spacing w:after="0" w:line="213" w:lineRule="exact"/>
        <w:rPr>
          <w:sz w:val="20"/>
          <w:szCs w:val="20"/>
          <w:color w:val="auto"/>
        </w:rPr>
      </w:pPr>
    </w:p>
    <w:p>
      <w:pPr>
        <w:jc w:val="center"/>
        <w:ind w:left="1380"/>
        <w:spacing w:after="0"/>
        <w:tabs>
          <w:tab w:leader="none" w:pos="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License Agreement, dated as of November 25, 1988, by and among The Johns</w:t>
      </w:r>
    </w:p>
    <w:p>
      <w:pPr>
        <w:spacing w:after="0" w:line="15"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Hopkins University, Brigham and Women's Hospital and the Company</w:t>
      </w:r>
    </w:p>
    <w:p>
      <w:pPr>
        <w:spacing w:after="0" w:line="246" w:lineRule="exact"/>
        <w:rPr>
          <w:sz w:val="20"/>
          <w:szCs w:val="20"/>
          <w:color w:val="auto"/>
        </w:rPr>
      </w:pPr>
    </w:p>
    <w:p>
      <w:pPr>
        <w:ind w:left="1940" w:hanging="556"/>
        <w:spacing w:after="0" w:line="268" w:lineRule="auto"/>
        <w:tabs>
          <w:tab w:leader="none" w:pos="1920" w:val="left"/>
        </w:tabs>
        <w:rPr>
          <w:sz w:val="20"/>
          <w:szCs w:val="20"/>
          <w:color w:val="auto"/>
        </w:rPr>
      </w:pPr>
      <w:r>
        <w:rPr>
          <w:rFonts w:ascii="Arial" w:cs="Arial" w:eastAsia="Arial" w:hAnsi="Arial"/>
          <w:sz w:val="18"/>
          <w:szCs w:val="18"/>
          <w:color w:val="auto"/>
        </w:rPr>
        <w:t>10.19</w:t>
        <w:tab/>
        <w:t>Purchase Agreement, dated as of May 16, 2005, by and between the Company and PRF Vaccine Holdings LLC</w:t>
      </w:r>
    </w:p>
    <w:p>
      <w:pPr>
        <w:spacing w:after="0" w:line="213" w:lineRule="exact"/>
        <w:rPr>
          <w:sz w:val="20"/>
          <w:szCs w:val="20"/>
          <w:color w:val="auto"/>
        </w:rPr>
      </w:pPr>
    </w:p>
    <w:p>
      <w:pPr>
        <w:ind w:left="1940" w:right="220" w:hanging="556"/>
        <w:spacing w:after="0" w:line="332" w:lineRule="auto"/>
        <w:tabs>
          <w:tab w:leader="none" w:pos="19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Amendment Agreement to Purchase Agreement between the Company and PRF Vaccine Holdings LLC, dated as of March 14, 2006</w:t>
      </w:r>
    </w:p>
    <w:p>
      <w:pPr>
        <w:spacing w:after="0" w:line="166" w:lineRule="exact"/>
        <w:rPr>
          <w:sz w:val="20"/>
          <w:szCs w:val="20"/>
          <w:color w:val="auto"/>
        </w:rPr>
      </w:pPr>
    </w:p>
    <w:p>
      <w:pPr>
        <w:ind w:left="1940" w:right="580" w:hanging="644"/>
        <w:spacing w:after="0" w:line="268" w:lineRule="auto"/>
        <w:tabs>
          <w:tab w:leader="none" w:pos="1920" w:val="left"/>
        </w:tabs>
        <w:rPr>
          <w:sz w:val="20"/>
          <w:szCs w:val="20"/>
          <w:color w:val="auto"/>
        </w:rPr>
      </w:pPr>
      <w:r>
        <w:rPr>
          <w:rFonts w:ascii="Arial" w:cs="Arial" w:eastAsia="Arial" w:hAnsi="Arial"/>
          <w:sz w:val="18"/>
          <w:szCs w:val="18"/>
          <w:color w:val="auto"/>
        </w:rPr>
        <w:t>*10.21</w:t>
        <w:tab/>
        <w:t>Exclusive License Agreement dated February 1, 2003 by and between Thomas Jefferson University and the Company</w:t>
      </w:r>
    </w:p>
    <w:p>
      <w:pPr>
        <w:spacing w:after="0" w:line="213" w:lineRule="exact"/>
        <w:rPr>
          <w:sz w:val="20"/>
          <w:szCs w:val="20"/>
          <w:color w:val="auto"/>
        </w:rPr>
      </w:pPr>
    </w:p>
    <w:p>
      <w:pPr>
        <w:ind w:left="1940" w:right="40" w:hanging="644"/>
        <w:spacing w:after="0" w:line="268" w:lineRule="auto"/>
        <w:tabs>
          <w:tab w:leader="none" w:pos="1920" w:val="left"/>
        </w:tabs>
        <w:rPr>
          <w:sz w:val="20"/>
          <w:szCs w:val="20"/>
          <w:color w:val="auto"/>
        </w:rPr>
      </w:pPr>
      <w:r>
        <w:rPr>
          <w:rFonts w:ascii="Arial" w:cs="Arial" w:eastAsia="Arial" w:hAnsi="Arial"/>
          <w:sz w:val="18"/>
          <w:szCs w:val="18"/>
          <w:color w:val="auto"/>
        </w:rPr>
        <w:t>*10.22</w:t>
        <w:tab/>
        <w:t>Amendment to License Agreement between Thomas Jefferson University and the Company dated March 27, 2008</w:t>
      </w:r>
    </w:p>
    <w:p>
      <w:pPr>
        <w:spacing w:after="0" w:line="213" w:lineRule="exact"/>
        <w:rPr>
          <w:sz w:val="20"/>
          <w:szCs w:val="20"/>
          <w:color w:val="auto"/>
        </w:rPr>
      </w:pPr>
    </w:p>
    <w:p>
      <w:pPr>
        <w:ind w:left="1940" w:right="520" w:hanging="644"/>
        <w:spacing w:after="0" w:line="268" w:lineRule="auto"/>
        <w:tabs>
          <w:tab w:leader="none" w:pos="1920" w:val="left"/>
        </w:tabs>
        <w:rPr>
          <w:sz w:val="20"/>
          <w:szCs w:val="20"/>
          <w:color w:val="auto"/>
        </w:rPr>
      </w:pPr>
      <w:r>
        <w:rPr>
          <w:rFonts w:ascii="Arial" w:cs="Arial" w:eastAsia="Arial" w:hAnsi="Arial"/>
          <w:sz w:val="18"/>
          <w:szCs w:val="18"/>
          <w:color w:val="auto"/>
        </w:rPr>
        <w:t>*10.23</w:t>
        <w:tab/>
        <w:t>License Agreement dated as of November 1, 2005 by and between The Rockefeller University and the Company</w:t>
      </w:r>
    </w:p>
    <w:p>
      <w:pPr>
        <w:spacing w:after="0" w:line="213" w:lineRule="exact"/>
        <w:rPr>
          <w:sz w:val="20"/>
          <w:szCs w:val="20"/>
          <w:color w:val="auto"/>
        </w:rPr>
      </w:pPr>
    </w:p>
    <w:p>
      <w:pPr>
        <w:ind w:left="1940" w:right="780" w:hanging="644"/>
        <w:spacing w:after="0" w:line="268" w:lineRule="auto"/>
        <w:tabs>
          <w:tab w:leader="none" w:pos="1920" w:val="left"/>
        </w:tabs>
        <w:rPr>
          <w:sz w:val="20"/>
          <w:szCs w:val="20"/>
          <w:color w:val="auto"/>
        </w:rPr>
      </w:pPr>
      <w:r>
        <w:rPr>
          <w:rFonts w:ascii="Arial" w:cs="Arial" w:eastAsia="Arial" w:hAnsi="Arial"/>
          <w:sz w:val="18"/>
          <w:szCs w:val="18"/>
          <w:color w:val="auto"/>
        </w:rPr>
        <w:t>*10.24</w:t>
        <w:tab/>
        <w:t>License Agreement dated September 1, 2006 by and between Duke University and the Company</w:t>
      </w:r>
    </w:p>
    <w:p>
      <w:pPr>
        <w:spacing w:after="0" w:line="213" w:lineRule="exact"/>
        <w:rPr>
          <w:sz w:val="20"/>
          <w:szCs w:val="20"/>
          <w:color w:val="auto"/>
        </w:rPr>
      </w:pPr>
    </w:p>
    <w:p>
      <w:pPr>
        <w:ind w:left="1940" w:right="660" w:hanging="556"/>
        <w:spacing w:after="0" w:line="268" w:lineRule="auto"/>
        <w:tabs>
          <w:tab w:leader="none" w:pos="1920" w:val="left"/>
        </w:tabs>
        <w:rPr>
          <w:sz w:val="20"/>
          <w:szCs w:val="20"/>
          <w:color w:val="auto"/>
        </w:rPr>
      </w:pPr>
      <w:r>
        <w:rPr>
          <w:rFonts w:ascii="Arial" w:cs="Arial" w:eastAsia="Arial" w:hAnsi="Arial"/>
          <w:sz w:val="18"/>
          <w:szCs w:val="18"/>
          <w:color w:val="auto"/>
        </w:rPr>
        <w:t>10.25</w:t>
        <w:tab/>
        <w:t>Amendment to License Agreement between Duke University and the Company dated April 2, 2008</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5"/>
              </w:rPr>
              <w:t>S-4</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8"/>
              </w:rPr>
              <w:t>10.10</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3/28/00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5/18/05</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3/15/06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40" w:space="180"/>
            <w:col w:w="2660"/>
          </w:cols>
          <w:pgMar w:left="240" w:top="131" w:right="13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940" w:right="80" w:hanging="644"/>
        <w:spacing w:after="0" w:line="259" w:lineRule="auto"/>
        <w:tabs>
          <w:tab w:leader="none" w:pos="1920" w:val="left"/>
        </w:tabs>
        <w:rPr>
          <w:sz w:val="20"/>
          <w:szCs w:val="20"/>
          <w:color w:val="auto"/>
        </w:rPr>
      </w:pPr>
      <w:r>
        <w:rPr>
          <w:rFonts w:ascii="Arial" w:cs="Arial" w:eastAsia="Arial" w:hAnsi="Arial"/>
          <w:sz w:val="18"/>
          <w:szCs w:val="18"/>
          <w:color w:val="auto"/>
        </w:rPr>
        <w:t>*10.26</w:t>
        <w:tab/>
        <w:t>License Agreement between Duke University, The Johns Hopkins University and the Company dated December 31, 2003</w:t>
      </w:r>
    </w:p>
    <w:p>
      <w:pPr>
        <w:spacing w:after="0" w:line="221" w:lineRule="exact"/>
        <w:rPr>
          <w:sz w:val="20"/>
          <w:szCs w:val="20"/>
          <w:color w:val="auto"/>
        </w:rPr>
      </w:pPr>
    </w:p>
    <w:p>
      <w:pPr>
        <w:ind w:left="1940" w:right="420" w:hanging="644"/>
        <w:spacing w:after="0" w:line="332" w:lineRule="auto"/>
        <w:tabs>
          <w:tab w:leader="none" w:pos="19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Amendment to License Agreement between Duke University, The Johns Hopkins University and the Company dated April 2, 2008</w:t>
      </w:r>
    </w:p>
    <w:p>
      <w:pPr>
        <w:spacing w:after="0" w:line="166" w:lineRule="exact"/>
        <w:rPr>
          <w:sz w:val="20"/>
          <w:szCs w:val="20"/>
          <w:color w:val="auto"/>
        </w:rPr>
      </w:pPr>
    </w:p>
    <w:p>
      <w:pPr>
        <w:ind w:left="1940" w:right="80" w:hanging="644"/>
        <w:spacing w:after="0" w:line="332" w:lineRule="auto"/>
        <w:tabs>
          <w:tab w:leader="none" w:pos="19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Assignment and License Agreement, as amended, dated April 6, 2004 by and among Medarex, Inc., GenPharm International, Inc. and the Company</w:t>
      </w:r>
    </w:p>
    <w:p>
      <w:pPr>
        <w:spacing w:after="0" w:line="166" w:lineRule="exact"/>
        <w:rPr>
          <w:sz w:val="20"/>
          <w:szCs w:val="20"/>
          <w:color w:val="auto"/>
        </w:rPr>
      </w:pPr>
    </w:p>
    <w:p>
      <w:pPr>
        <w:ind w:left="1940" w:hanging="644"/>
        <w:spacing w:after="0" w:line="259" w:lineRule="auto"/>
        <w:tabs>
          <w:tab w:leader="none" w:pos="1920" w:val="left"/>
        </w:tabs>
        <w:rPr>
          <w:sz w:val="20"/>
          <w:szCs w:val="20"/>
          <w:color w:val="auto"/>
        </w:rPr>
      </w:pPr>
      <w:r>
        <w:rPr>
          <w:rFonts w:ascii="Arial" w:cs="Arial" w:eastAsia="Arial" w:hAnsi="Arial"/>
          <w:sz w:val="18"/>
          <w:szCs w:val="18"/>
          <w:color w:val="auto"/>
        </w:rPr>
        <w:t>*10.29</w:t>
        <w:tab/>
        <w:t>Research and Commercialization Agreement, as amended, dated as of April 6, 2004 by and among Medarex, Inc., GenPharm International, Inc. and the Company</w:t>
      </w:r>
    </w:p>
    <w:p>
      <w:pPr>
        <w:spacing w:after="0" w:line="221" w:lineRule="exact"/>
        <w:rPr>
          <w:sz w:val="20"/>
          <w:szCs w:val="20"/>
          <w:color w:val="auto"/>
        </w:rPr>
      </w:pPr>
    </w:p>
    <w:p>
      <w:pPr>
        <w:ind w:left="1940" w:right="120" w:hanging="644"/>
        <w:spacing w:after="0" w:line="268" w:lineRule="auto"/>
        <w:tabs>
          <w:tab w:leader="none" w:pos="1920" w:val="left"/>
        </w:tabs>
        <w:rPr>
          <w:sz w:val="20"/>
          <w:szCs w:val="20"/>
          <w:color w:val="auto"/>
        </w:rPr>
      </w:pPr>
      <w:r>
        <w:rPr>
          <w:rFonts w:ascii="Arial" w:cs="Arial" w:eastAsia="Arial" w:hAnsi="Arial"/>
          <w:sz w:val="18"/>
          <w:szCs w:val="18"/>
          <w:color w:val="auto"/>
        </w:rPr>
        <w:t>*10.30</w:t>
        <w:tab/>
        <w:t>Supply Agreement dated August 18, 2006 by and between the Company and Biosyn</w:t>
      </w:r>
    </w:p>
    <w:p>
      <w:pPr>
        <w:spacing w:after="0" w:line="213" w:lineRule="exact"/>
        <w:rPr>
          <w:sz w:val="20"/>
          <w:szCs w:val="20"/>
          <w:color w:val="auto"/>
        </w:rPr>
      </w:pPr>
    </w:p>
    <w:p>
      <w:pPr>
        <w:ind w:left="1940" w:right="120" w:hanging="644"/>
        <w:spacing w:after="0" w:line="259" w:lineRule="auto"/>
        <w:tabs>
          <w:tab w:leader="none" w:pos="1920" w:val="left"/>
        </w:tabs>
        <w:rPr>
          <w:sz w:val="20"/>
          <w:szCs w:val="20"/>
          <w:color w:val="auto"/>
        </w:rPr>
      </w:pPr>
      <w:r>
        <w:rPr>
          <w:rFonts w:ascii="Arial" w:cs="Arial" w:eastAsia="Arial" w:hAnsi="Arial"/>
          <w:sz w:val="18"/>
          <w:szCs w:val="18"/>
          <w:color w:val="auto"/>
        </w:rPr>
        <w:t>*10.31</w:t>
        <w:tab/>
        <w:t>Research Collaboration and Commercialization Agreement effective October 20, 2006 between the Company and the Ludwig Institute for Cancer Research</w:t>
      </w:r>
    </w:p>
    <w:p>
      <w:pPr>
        <w:spacing w:after="0" w:line="221"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5"/>
          <w:szCs w:val="15"/>
          <w:color w:val="auto"/>
        </w:rPr>
        <w:t>Exclusive Patent and Know-How License Agreement dated as of</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November 5, 2008 between the Company and the University of Southampton</w:t>
      </w:r>
    </w:p>
    <w:p>
      <w:pPr>
        <w:spacing w:after="0" w:line="269" w:lineRule="exact"/>
        <w:rPr>
          <w:sz w:val="20"/>
          <w:szCs w:val="20"/>
          <w:color w:val="auto"/>
        </w:rPr>
      </w:pPr>
    </w:p>
    <w:p>
      <w:pPr>
        <w:ind w:left="1940" w:right="120" w:hanging="644"/>
        <w:spacing w:after="0" w:line="268" w:lineRule="auto"/>
        <w:tabs>
          <w:tab w:leader="none" w:pos="1920" w:val="left"/>
        </w:tabs>
        <w:rPr>
          <w:sz w:val="20"/>
          <w:szCs w:val="20"/>
          <w:color w:val="auto"/>
        </w:rPr>
      </w:pPr>
      <w:r>
        <w:rPr>
          <w:rFonts w:ascii="Arial" w:cs="Arial" w:eastAsia="Arial" w:hAnsi="Arial"/>
          <w:sz w:val="18"/>
          <w:szCs w:val="18"/>
          <w:color w:val="auto"/>
        </w:rPr>
        <w:t>*10.33</w:t>
        <w:tab/>
        <w:t>License and Assignment Agreement, between Amgen Inc. and the Company dated March 16, 2009</w:t>
      </w:r>
    </w:p>
    <w:p>
      <w:pPr>
        <w:spacing w:after="0" w:line="213" w:lineRule="exact"/>
        <w:rPr>
          <w:sz w:val="20"/>
          <w:szCs w:val="20"/>
          <w:color w:val="auto"/>
        </w:rPr>
      </w:pPr>
    </w:p>
    <w:p>
      <w:pPr>
        <w:ind w:left="1940" w:right="160" w:hanging="644"/>
        <w:spacing w:after="0" w:line="268" w:lineRule="auto"/>
        <w:tabs>
          <w:tab w:leader="none" w:pos="1920" w:val="left"/>
        </w:tabs>
        <w:rPr>
          <w:sz w:val="20"/>
          <w:szCs w:val="20"/>
          <w:color w:val="auto"/>
        </w:rPr>
      </w:pPr>
      <w:r>
        <w:rPr>
          <w:rFonts w:ascii="Arial" w:cs="Arial" w:eastAsia="Arial" w:hAnsi="Arial"/>
          <w:sz w:val="18"/>
          <w:szCs w:val="18"/>
          <w:color w:val="auto"/>
        </w:rPr>
        <w:t>*10.34</w:t>
        <w:tab/>
        <w:t>Collaboration Agreement dated June 18, 2004 between Seattle Genetics and CuraGen</w:t>
      </w:r>
    </w:p>
    <w:p>
      <w:pPr>
        <w:spacing w:after="0" w:line="213" w:lineRule="exact"/>
        <w:rPr>
          <w:sz w:val="20"/>
          <w:szCs w:val="20"/>
          <w:color w:val="auto"/>
        </w:rPr>
      </w:pPr>
    </w:p>
    <w:p>
      <w:pPr>
        <w:ind w:left="1940" w:right="40" w:hanging="644"/>
        <w:spacing w:after="0" w:line="268" w:lineRule="auto"/>
        <w:tabs>
          <w:tab w:leader="none" w:pos="1920" w:val="left"/>
        </w:tabs>
        <w:rPr>
          <w:sz w:val="20"/>
          <w:szCs w:val="20"/>
          <w:color w:val="auto"/>
        </w:rPr>
      </w:pPr>
      <w:r>
        <w:rPr>
          <w:rFonts w:ascii="Arial" w:cs="Arial" w:eastAsia="Arial" w:hAnsi="Arial"/>
          <w:sz w:val="18"/>
          <w:szCs w:val="18"/>
          <w:color w:val="auto"/>
        </w:rPr>
        <w:t>*10.35</w:t>
        <w:tab/>
        <w:t>Second Restated Collaboration Agreement dated April 12, 2004 and amended October 19, 2004 between Abgenix Inc. and CuraGen</w:t>
      </w:r>
    </w:p>
    <w:p>
      <w:pPr>
        <w:spacing w:after="0" w:line="213" w:lineRule="exact"/>
        <w:rPr>
          <w:sz w:val="20"/>
          <w:szCs w:val="20"/>
          <w:color w:val="auto"/>
        </w:rPr>
      </w:pPr>
    </w:p>
    <w:p>
      <w:pPr>
        <w:ind w:left="1940" w:right="980" w:hanging="556"/>
        <w:spacing w:after="0" w:line="268" w:lineRule="auto"/>
        <w:tabs>
          <w:tab w:leader="none" w:pos="1920" w:val="left"/>
        </w:tabs>
        <w:rPr>
          <w:sz w:val="20"/>
          <w:szCs w:val="20"/>
          <w:color w:val="auto"/>
        </w:rPr>
      </w:pPr>
      <w:r>
        <w:rPr>
          <w:rFonts w:ascii="Arial" w:cs="Arial" w:eastAsia="Arial" w:hAnsi="Arial"/>
          <w:sz w:val="18"/>
          <w:szCs w:val="18"/>
          <w:color w:val="auto"/>
        </w:rPr>
        <w:t>10.36</w:t>
        <w:tab/>
        <w:t>Amgen Letter Agreement, by and between CuraGen and Amgen Fremont, Inc. dated May 2, 2009</w:t>
      </w:r>
    </w:p>
    <w:p>
      <w:pPr>
        <w:spacing w:after="0" w:line="213" w:lineRule="exact"/>
        <w:rPr>
          <w:sz w:val="20"/>
          <w:szCs w:val="20"/>
          <w:color w:val="auto"/>
        </w:rPr>
      </w:pPr>
    </w:p>
    <w:p>
      <w:pPr>
        <w:ind w:left="1940" w:right="460" w:hanging="644"/>
        <w:spacing w:after="0" w:line="268" w:lineRule="auto"/>
        <w:tabs>
          <w:tab w:leader="none" w:pos="1920" w:val="left"/>
        </w:tabs>
        <w:rPr>
          <w:sz w:val="20"/>
          <w:szCs w:val="20"/>
          <w:color w:val="auto"/>
        </w:rPr>
      </w:pPr>
      <w:r>
        <w:rPr>
          <w:rFonts w:ascii="Arial" w:cs="Arial" w:eastAsia="Arial" w:hAnsi="Arial"/>
          <w:sz w:val="18"/>
          <w:szCs w:val="18"/>
          <w:color w:val="auto"/>
        </w:rPr>
        <w:t>*10.37</w:t>
        <w:tab/>
        <w:t>Transfer and Termination Agreement, dated as of April 21, 2008 by and between TopoTarget A/S and CuraGen</w:t>
      </w:r>
    </w:p>
    <w:p>
      <w:pPr>
        <w:spacing w:after="0" w:line="213"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5"/>
          <w:szCs w:val="15"/>
          <w:color w:val="auto"/>
        </w:rPr>
        <w:t>License Agreement between Medarex and Company dated September 17,</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2010</w:t>
      </w:r>
    </w:p>
    <w:p>
      <w:pPr>
        <w:spacing w:after="0" w:line="246" w:lineRule="exact"/>
        <w:rPr>
          <w:sz w:val="20"/>
          <w:szCs w:val="20"/>
          <w:color w:val="auto"/>
        </w:rPr>
      </w:pPr>
    </w:p>
    <w:p>
      <w:pPr>
        <w:jc w:val="center"/>
        <w:ind w:left="820"/>
        <w:spacing w:after="0"/>
        <w:tabs>
          <w:tab w:leader="none" w:pos="1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5"/>
          <w:szCs w:val="15"/>
          <w:color w:val="auto"/>
        </w:rPr>
        <w:t>Master Services Agreement dated March 29, 2010 by and between the</w:t>
      </w:r>
    </w:p>
    <w:p>
      <w:pPr>
        <w:spacing w:after="0" w:line="15"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Company and Prologue Research International, Inc. (Prologue)</w:t>
      </w:r>
    </w:p>
    <w:p>
      <w:pPr>
        <w:spacing w:after="0" w:line="246" w:lineRule="exact"/>
        <w:rPr>
          <w:sz w:val="20"/>
          <w:szCs w:val="20"/>
          <w:color w:val="auto"/>
        </w:rPr>
      </w:pPr>
    </w:p>
    <w:p>
      <w:pPr>
        <w:jc w:val="both"/>
        <w:ind w:left="1940" w:right="620" w:hanging="556"/>
        <w:spacing w:after="0" w:line="259" w:lineRule="auto"/>
        <w:tabs>
          <w:tab w:leader="none" w:pos="1920" w:val="left"/>
        </w:tabs>
        <w:rPr>
          <w:sz w:val="20"/>
          <w:szCs w:val="20"/>
          <w:color w:val="auto"/>
        </w:rPr>
      </w:pPr>
      <w:r>
        <w:rPr>
          <w:rFonts w:ascii="Arial" w:cs="Arial" w:eastAsia="Arial" w:hAnsi="Arial"/>
          <w:sz w:val="18"/>
          <w:szCs w:val="18"/>
          <w:color w:val="auto"/>
        </w:rPr>
        <w:t>10.40</w:t>
        <w:tab/>
        <w:t>Amendment to Master Services Agreement dated July 6, 2011 by and between the Company and Novella Clinical Inc. (formerly known as Prologue)</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10-K/A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4"/>
              </w:rPr>
              <w:t>10.11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10.30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11/3/11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11/3/11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40" w:space="180"/>
            <w:col w:w="2660"/>
          </w:cols>
          <w:pgMar w:left="240" w:top="131" w:right="13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i w:val="1"/>
          <w:iCs w:val="1"/>
          <w:color w:val="auto"/>
        </w:rPr>
        <w:t>Material Contracts—Stock Purchase, Financing and Credit Agreements</w:t>
      </w:r>
    </w:p>
    <w:p>
      <w:pPr>
        <w:spacing w:after="0" w:line="8" w:lineRule="exact"/>
        <w:rPr>
          <w:sz w:val="20"/>
          <w:szCs w:val="20"/>
          <w:color w:val="auto"/>
        </w:rPr>
      </w:pPr>
    </w:p>
    <w:p>
      <w:pPr>
        <w:ind w:left="1940" w:hanging="556"/>
        <w:spacing w:after="0" w:line="255" w:lineRule="auto"/>
        <w:tabs>
          <w:tab w:leader="none" w:pos="1920" w:val="left"/>
        </w:tabs>
        <w:rPr>
          <w:sz w:val="20"/>
          <w:szCs w:val="20"/>
          <w:color w:val="auto"/>
        </w:rPr>
      </w:pPr>
      <w:r>
        <w:rPr>
          <w:rFonts w:ascii="Arial" w:cs="Arial" w:eastAsia="Arial" w:hAnsi="Arial"/>
          <w:sz w:val="18"/>
          <w:szCs w:val="18"/>
          <w:color w:val="auto"/>
        </w:rPr>
        <w:t>10.41</w:t>
        <w:tab/>
        <w:t>Loan and Security Agreement, dated as of December 30, 2010, by and among Celldex Therapeutics, Inc., Celldex Research Corporation and MidCap Financial, LLC.</w:t>
      </w:r>
    </w:p>
    <w:p>
      <w:pPr>
        <w:spacing w:after="0" w:line="225" w:lineRule="exact"/>
        <w:rPr>
          <w:sz w:val="20"/>
          <w:szCs w:val="20"/>
          <w:color w:val="auto"/>
        </w:rPr>
      </w:pPr>
    </w:p>
    <w:p>
      <w:pPr>
        <w:ind w:left="1940" w:right="100" w:hanging="556"/>
        <w:spacing w:after="0" w:line="268" w:lineRule="auto"/>
        <w:tabs>
          <w:tab w:leader="none" w:pos="1920" w:val="left"/>
        </w:tabs>
        <w:rPr>
          <w:sz w:val="20"/>
          <w:szCs w:val="20"/>
          <w:color w:val="auto"/>
        </w:rPr>
      </w:pPr>
      <w:r>
        <w:rPr>
          <w:rFonts w:ascii="Arial" w:cs="Arial" w:eastAsia="Arial" w:hAnsi="Arial"/>
          <w:sz w:val="18"/>
          <w:szCs w:val="18"/>
          <w:color w:val="auto"/>
        </w:rPr>
        <w:t>10.42</w:t>
        <w:tab/>
        <w:t>Promissory Note issued by Celldex Therapeutics, Inc. and Celldex Research Corporation to MidCap Financial, LLC.</w:t>
      </w:r>
    </w:p>
    <w:p>
      <w:pPr>
        <w:spacing w:after="0" w:line="213" w:lineRule="exact"/>
        <w:rPr>
          <w:sz w:val="20"/>
          <w:szCs w:val="20"/>
          <w:color w:val="auto"/>
        </w:rPr>
      </w:pPr>
    </w:p>
    <w:p>
      <w:pPr>
        <w:ind w:left="1940" w:right="140" w:hanging="556"/>
        <w:spacing w:after="0" w:line="306" w:lineRule="auto"/>
        <w:tabs>
          <w:tab w:leader="none" w:pos="19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Joinder and First Loan Modification Agreement, dated as of March 7, 2011, by and among Celldex Therapeutics, Inc., Celldex Research Corporation, MidCap Funding V, LLC and General Electric Capital Corporation.</w:t>
      </w:r>
    </w:p>
    <w:p>
      <w:pPr>
        <w:spacing w:after="0" w:line="188" w:lineRule="exact"/>
        <w:rPr>
          <w:sz w:val="20"/>
          <w:szCs w:val="20"/>
          <w:color w:val="auto"/>
        </w:rPr>
      </w:pPr>
    </w:p>
    <w:p>
      <w:pPr>
        <w:ind w:left="1940" w:right="100" w:hanging="556"/>
        <w:spacing w:after="0" w:line="268" w:lineRule="auto"/>
        <w:tabs>
          <w:tab w:leader="none" w:pos="1920" w:val="left"/>
        </w:tabs>
        <w:rPr>
          <w:sz w:val="20"/>
          <w:szCs w:val="20"/>
          <w:color w:val="auto"/>
        </w:rPr>
      </w:pPr>
      <w:r>
        <w:rPr>
          <w:rFonts w:ascii="Arial" w:cs="Arial" w:eastAsia="Arial" w:hAnsi="Arial"/>
          <w:sz w:val="18"/>
          <w:szCs w:val="18"/>
          <w:color w:val="auto"/>
        </w:rPr>
        <w:t>10.44</w:t>
        <w:tab/>
        <w:t>Promissory Note issued by Celldex Therapeutics, Inc. and Celldex Research Corporation to General Electric Capital Corporation.</w:t>
      </w:r>
    </w:p>
    <w:p>
      <w:pPr>
        <w:spacing w:after="0" w:line="213" w:lineRule="exact"/>
        <w:rPr>
          <w:sz w:val="20"/>
          <w:szCs w:val="20"/>
          <w:color w:val="auto"/>
        </w:rPr>
      </w:pPr>
    </w:p>
    <w:p>
      <w:pPr>
        <w:jc w:val="both"/>
        <w:ind w:left="1940" w:right="220" w:hanging="556"/>
        <w:spacing w:after="0" w:line="306" w:lineRule="auto"/>
        <w:tabs>
          <w:tab w:leader="none" w:pos="19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Second Loan Modification Agreement, dated as of March 2, 2012, by and among Celldex Therapeutics, Inc., Celldex Research Corporation, MidCap Funding V, LLC and General Electric Capital Corporation.</w:t>
      </w:r>
    </w:p>
    <w:p>
      <w:pPr>
        <w:spacing w:after="0" w:line="188"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5"/>
          <w:szCs w:val="15"/>
          <w:color w:val="auto"/>
        </w:rPr>
        <w:t>Sales Agreement, dated January 6, 2011, between Celldex Therapeutics,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 Cantor Fitzgerald &amp; Co.</w:t>
      </w:r>
    </w:p>
    <w:p>
      <w:pPr>
        <w:spacing w:after="0" w:line="246" w:lineRule="exact"/>
        <w:rPr>
          <w:sz w:val="20"/>
          <w:szCs w:val="20"/>
          <w:color w:val="auto"/>
        </w:rPr>
      </w:pPr>
    </w:p>
    <w:p>
      <w:pPr>
        <w:ind w:left="1940" w:right="40" w:hanging="556"/>
        <w:spacing w:after="0" w:line="259" w:lineRule="auto"/>
        <w:tabs>
          <w:tab w:leader="none" w:pos="1920" w:val="left"/>
        </w:tabs>
        <w:rPr>
          <w:sz w:val="20"/>
          <w:szCs w:val="20"/>
          <w:color w:val="auto"/>
        </w:rPr>
      </w:pPr>
      <w:r>
        <w:rPr>
          <w:rFonts w:ascii="Arial" w:cs="Arial" w:eastAsia="Arial" w:hAnsi="Arial"/>
          <w:sz w:val="18"/>
          <w:szCs w:val="18"/>
          <w:color w:val="auto"/>
        </w:rPr>
        <w:t>10.47</w:t>
        <w:tab/>
        <w:t>Amendment No. 1 to Sales Agreement, dated January 6, 2011, between Celldex Therapeutics, Inc. and Cantor Fitzgerald &amp; Co., dated September 20, 2012</w:t>
      </w:r>
    </w:p>
    <w:p>
      <w:pPr>
        <w:spacing w:after="0" w:line="221" w:lineRule="exact"/>
        <w:rPr>
          <w:sz w:val="20"/>
          <w:szCs w:val="20"/>
          <w:color w:val="auto"/>
        </w:rPr>
      </w:pPr>
    </w:p>
    <w:p>
      <w:pPr>
        <w:ind w:left="1280" w:right="1000" w:hanging="43"/>
        <w:spacing w:after="0" w:line="332" w:lineRule="auto"/>
        <w:rPr>
          <w:sz w:val="20"/>
          <w:szCs w:val="20"/>
          <w:color w:val="auto"/>
        </w:rPr>
      </w:pPr>
      <w:r>
        <w:rPr>
          <w:rFonts w:ascii="Arial" w:cs="Arial" w:eastAsia="Arial" w:hAnsi="Arial"/>
          <w:sz w:val="16"/>
          <w:szCs w:val="16"/>
          <w:i w:val="1"/>
          <w:iCs w:val="1"/>
          <w:color w:val="auto"/>
        </w:rPr>
        <w:t xml:space="preserve">Material Contracts—Management Contracts and Compensatory Plans </w:t>
      </w:r>
      <w:r>
        <w:rPr>
          <w:rFonts w:ascii="Arial" w:cs="Arial" w:eastAsia="Arial" w:hAnsi="Arial"/>
          <w:sz w:val="16"/>
          <w:szCs w:val="16"/>
          <w:color w:val="auto"/>
        </w:rPr>
        <w:t>†10.48 2008 Stock Option and Incentive Plan, as amended and restated</w:t>
      </w:r>
    </w:p>
    <w:p>
      <w:pPr>
        <w:spacing w:after="0" w:line="382" w:lineRule="exact"/>
        <w:rPr>
          <w:sz w:val="20"/>
          <w:szCs w:val="20"/>
          <w:color w:val="auto"/>
        </w:rPr>
      </w:pPr>
    </w:p>
    <w:p>
      <w:pPr>
        <w:jc w:val="center"/>
        <w:ind w:left="200"/>
        <w:spacing w:after="0"/>
        <w:tabs>
          <w:tab w:leader="none" w:pos="1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5"/>
          <w:szCs w:val="15"/>
          <w:color w:val="auto"/>
        </w:rPr>
        <w:t>2004 Employee Stock Purchase Plan, as amended and restated</w:t>
      </w:r>
    </w:p>
    <w:p>
      <w:pPr>
        <w:spacing w:after="0" w:line="200" w:lineRule="exact"/>
        <w:rPr>
          <w:sz w:val="20"/>
          <w:szCs w:val="20"/>
          <w:color w:val="auto"/>
        </w:rPr>
      </w:pPr>
    </w:p>
    <w:p>
      <w:pPr>
        <w:spacing w:after="0" w:line="268" w:lineRule="exact"/>
        <w:rPr>
          <w:sz w:val="20"/>
          <w:szCs w:val="20"/>
          <w:color w:val="auto"/>
        </w:rPr>
      </w:pPr>
    </w:p>
    <w:p>
      <w:pPr>
        <w:ind w:left="1940" w:right="280" w:hanging="659"/>
        <w:spacing w:after="0" w:line="268" w:lineRule="auto"/>
        <w:tabs>
          <w:tab w:leader="none" w:pos="1920" w:val="left"/>
        </w:tabs>
        <w:rPr>
          <w:sz w:val="20"/>
          <w:szCs w:val="20"/>
          <w:color w:val="auto"/>
        </w:rPr>
      </w:pPr>
      <w:r>
        <w:rPr>
          <w:rFonts w:ascii="Arial" w:cs="Arial" w:eastAsia="Arial" w:hAnsi="Arial"/>
          <w:sz w:val="18"/>
          <w:szCs w:val="18"/>
          <w:color w:val="auto"/>
        </w:rPr>
        <w:t>†10.50</w:t>
        <w:tab/>
        <w:t>Employment Agreement, dated as of January 1, 2013, by and between the Company and Anthony S. Marucci</w:t>
      </w:r>
    </w:p>
    <w:p>
      <w:pPr>
        <w:spacing w:after="0" w:line="213" w:lineRule="exact"/>
        <w:rPr>
          <w:sz w:val="20"/>
          <w:szCs w:val="20"/>
          <w:color w:val="auto"/>
        </w:rPr>
      </w:pPr>
    </w:p>
    <w:p>
      <w:pPr>
        <w:ind w:left="1940" w:right="280" w:hanging="659"/>
        <w:spacing w:after="0" w:line="268" w:lineRule="auto"/>
        <w:tabs>
          <w:tab w:leader="none" w:pos="1920" w:val="left"/>
        </w:tabs>
        <w:rPr>
          <w:sz w:val="20"/>
          <w:szCs w:val="20"/>
          <w:color w:val="auto"/>
        </w:rPr>
      </w:pPr>
      <w:r>
        <w:rPr>
          <w:rFonts w:ascii="Arial" w:cs="Arial" w:eastAsia="Arial" w:hAnsi="Arial"/>
          <w:sz w:val="18"/>
          <w:szCs w:val="18"/>
          <w:color w:val="auto"/>
        </w:rPr>
        <w:t>†10.51</w:t>
        <w:tab/>
        <w:t>Employment Agreement, dated as of January 1, 2013, by and between the Company and Avery W. Catlin</w:t>
      </w:r>
    </w:p>
    <w:p>
      <w:pPr>
        <w:spacing w:after="0" w:line="213" w:lineRule="exact"/>
        <w:rPr>
          <w:sz w:val="20"/>
          <w:szCs w:val="20"/>
          <w:color w:val="auto"/>
        </w:rPr>
      </w:pPr>
    </w:p>
    <w:p>
      <w:pPr>
        <w:ind w:left="1940" w:right="280" w:hanging="659"/>
        <w:spacing w:after="0" w:line="268" w:lineRule="auto"/>
        <w:tabs>
          <w:tab w:leader="none" w:pos="1920" w:val="left"/>
        </w:tabs>
        <w:rPr>
          <w:sz w:val="20"/>
          <w:szCs w:val="20"/>
          <w:color w:val="auto"/>
        </w:rPr>
      </w:pPr>
      <w:r>
        <w:rPr>
          <w:rFonts w:ascii="Arial" w:cs="Arial" w:eastAsia="Arial" w:hAnsi="Arial"/>
          <w:sz w:val="18"/>
          <w:szCs w:val="18"/>
          <w:color w:val="auto"/>
        </w:rPr>
        <w:t>†10.52</w:t>
        <w:tab/>
        <w:t>Employment Agreement, dated as of January 1, 2013, by and between the Company and Thomas Davis, MD</w:t>
      </w:r>
    </w:p>
    <w:p>
      <w:pPr>
        <w:spacing w:after="0" w:line="213" w:lineRule="exact"/>
        <w:rPr>
          <w:sz w:val="20"/>
          <w:szCs w:val="20"/>
          <w:color w:val="auto"/>
        </w:rPr>
      </w:pPr>
    </w:p>
    <w:p>
      <w:pPr>
        <w:ind w:left="1940" w:right="280" w:hanging="659"/>
        <w:spacing w:after="0" w:line="268" w:lineRule="auto"/>
        <w:tabs>
          <w:tab w:leader="none" w:pos="1920" w:val="left"/>
        </w:tabs>
        <w:rPr>
          <w:sz w:val="20"/>
          <w:szCs w:val="20"/>
          <w:color w:val="auto"/>
        </w:rPr>
      </w:pPr>
      <w:r>
        <w:rPr>
          <w:rFonts w:ascii="Arial" w:cs="Arial" w:eastAsia="Arial" w:hAnsi="Arial"/>
          <w:sz w:val="18"/>
          <w:szCs w:val="18"/>
          <w:color w:val="auto"/>
        </w:rPr>
        <w:t>†10.53</w:t>
        <w:tab/>
        <w:t>Employment Agreement, dated as of January 1, 2013, by and between the Company and Tibor Keler, Ph.D.</w:t>
      </w:r>
    </w:p>
    <w:p>
      <w:pPr>
        <w:spacing w:after="0" w:line="213" w:lineRule="exact"/>
        <w:rPr>
          <w:sz w:val="20"/>
          <w:szCs w:val="20"/>
          <w:color w:val="auto"/>
        </w:rPr>
      </w:pPr>
    </w:p>
    <w:p>
      <w:pPr>
        <w:ind w:left="1940" w:right="280" w:hanging="659"/>
        <w:spacing w:after="0" w:line="268" w:lineRule="auto"/>
        <w:tabs>
          <w:tab w:leader="none" w:pos="1920" w:val="left"/>
        </w:tabs>
        <w:rPr>
          <w:sz w:val="20"/>
          <w:szCs w:val="20"/>
          <w:color w:val="auto"/>
        </w:rPr>
      </w:pPr>
      <w:r>
        <w:rPr>
          <w:rFonts w:ascii="Arial" w:cs="Arial" w:eastAsia="Arial" w:hAnsi="Arial"/>
          <w:sz w:val="18"/>
          <w:szCs w:val="18"/>
          <w:color w:val="auto"/>
        </w:rPr>
        <w:t>†10.54</w:t>
        <w:tab/>
        <w:t>Employment Agreement, dated as of January 1, 2013, by and between the Company and Ronald A. Pepin, Ph.D.</w:t>
      </w:r>
    </w:p>
    <w:p>
      <w:pPr>
        <w:spacing w:after="0" w:line="213"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6"/>
          <w:szCs w:val="16"/>
          <w:color w:val="auto"/>
        </w:rPr>
        <w:t>Form of Stock Option Agreement</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417"/>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10.1.1</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10.1.2</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10.53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3/9/11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10.54</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3/9/11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3/7/12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9/24/12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6/14/12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10.35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1/25/10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00" w:space="220"/>
            <w:col w:w="2660"/>
          </w:cols>
          <w:pgMar w:left="240" w:top="131" w:right="13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60" w:type="dxa"/>
            <w:vAlign w:val="bottom"/>
            <w:gridSpan w:val="2"/>
          </w:tcPr>
          <w:p>
            <w:pPr>
              <w:ind w:left="80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†10.56</w:t>
            </w:r>
          </w:p>
        </w:tc>
        <w:tc>
          <w:tcPr>
            <w:tcW w:w="160" w:type="dxa"/>
            <w:vAlign w:val="bottom"/>
          </w:tcPr>
          <w:p>
            <w:pPr>
              <w:spacing w:after="0"/>
              <w:rPr>
                <w:sz w:val="17"/>
                <w:szCs w:val="17"/>
                <w:color w:val="auto"/>
              </w:rPr>
            </w:pPr>
          </w:p>
        </w:tc>
        <w:tc>
          <w:tcPr>
            <w:tcW w:w="55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CuraGen 2007 Stock Incentive Plan, amended and restated</w:t>
            </w:r>
          </w:p>
        </w:tc>
        <w:tc>
          <w:tcPr>
            <w:tcW w:w="16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10-K</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10.41</w:t>
            </w:r>
          </w:p>
        </w:tc>
        <w:tc>
          <w:tcPr>
            <w:tcW w:w="160" w:type="dxa"/>
            <w:vAlign w:val="bottom"/>
          </w:tcPr>
          <w:p>
            <w:pPr>
              <w:spacing w:after="0"/>
              <w:rPr>
                <w:sz w:val="17"/>
                <w:szCs w:val="17"/>
                <w:color w:val="auto"/>
              </w:rPr>
            </w:pPr>
          </w:p>
        </w:tc>
        <w:tc>
          <w:tcPr>
            <w:tcW w:w="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3/12/10</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620" w:type="dxa"/>
            <w:vAlign w:val="bottom"/>
          </w:tcPr>
          <w:p>
            <w:pPr>
              <w:jc w:val="right"/>
              <w:spacing w:after="0"/>
              <w:rPr>
                <w:sz w:val="20"/>
                <w:szCs w:val="20"/>
                <w:color w:val="auto"/>
              </w:rPr>
            </w:pPr>
            <w:r>
              <w:rPr>
                <w:rFonts w:ascii="Arial" w:cs="Arial" w:eastAsia="Arial" w:hAnsi="Arial"/>
                <w:sz w:val="18"/>
                <w:szCs w:val="18"/>
                <w:color w:val="auto"/>
              </w:rPr>
              <w:t>†10.57</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Form of Restricted Stock Award</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21.0</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List of Subsidiaries</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w w:val="92"/>
              </w:rPr>
              <w:t>Consent of PricewaterhouseCoopers LLP, an Independent Registered Public</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Accounting Firm</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Certification of President and Chief Executive Officer</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Section 1350 Certifications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Furnished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Instance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0"/>
        </w:trPr>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213" w:lineRule="exact"/>
        <w:rPr>
          <w:sz w:val="20"/>
          <w:szCs w:val="20"/>
          <w:color w:val="auto"/>
        </w:rPr>
      </w:pPr>
    </w:p>
    <w:p>
      <w:pPr>
        <w:ind w:left="1680" w:hanging="531"/>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200" w:lineRule="exact"/>
        <w:rPr>
          <w:sz w:val="20"/>
          <w:szCs w:val="20"/>
          <w:color w:val="auto"/>
        </w:rPr>
      </w:pPr>
    </w:p>
    <w:p>
      <w:pPr>
        <w:spacing w:after="0" w:line="255" w:lineRule="exact"/>
        <w:rPr>
          <w:sz w:val="20"/>
          <w:szCs w:val="20"/>
          <w:color w:val="auto"/>
        </w:rPr>
      </w:pPr>
    </w:p>
    <w:p>
      <w:pPr>
        <w:ind w:left="1680" w:right="20" w:hanging="531"/>
        <w:spacing w:after="0" w:line="332" w:lineRule="auto"/>
        <w:tabs>
          <w:tab w:leader="none" w:pos="1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CELLDEX THERAPEUTICS, INC.</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040" w:type="dxa"/>
            <w:vAlign w:val="bottom"/>
          </w:tcPr>
          <w:p>
            <w:pPr>
              <w:ind w:left="4660"/>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0" w:type="dxa"/>
            <w:vAlign w:val="bottom"/>
          </w:tcPr>
          <w:p>
            <w:pPr>
              <w:spacing w:after="0"/>
              <w:rPr>
                <w:sz w:val="1"/>
                <w:szCs w:val="1"/>
                <w:color w:val="auto"/>
              </w:rPr>
            </w:pPr>
          </w:p>
        </w:tc>
      </w:tr>
      <w:tr>
        <w:trPr>
          <w:trHeight w:val="218"/>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Anthony S. Marucci</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March 8, 2013</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p>
      <w:pPr>
        <w:ind w:left="2340"/>
        <w:spacing w:after="0"/>
        <w:tabs>
          <w:tab w:leader="none" w:pos="6440" w:val="left"/>
          <w:tab w:leader="none" w:pos="95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472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2013</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(Principal Executive Officer)</w:t>
            </w: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2"/>
              </w:rPr>
              <w:t>Anthony S. Marucci</w:t>
            </w:r>
          </w:p>
        </w:tc>
        <w:tc>
          <w:tcPr>
            <w:tcW w:w="4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 AVERY W. CATLIN</w:t>
            </w:r>
          </w:p>
        </w:tc>
        <w:tc>
          <w:tcPr>
            <w:tcW w:w="4720" w:type="dxa"/>
            <w:vAlign w:val="bottom"/>
          </w:tcPr>
          <w:p>
            <w:pPr>
              <w:ind w:left="140"/>
              <w:spacing w:after="0"/>
              <w:rPr>
                <w:sz w:val="20"/>
                <w:szCs w:val="20"/>
                <w:color w:val="auto"/>
              </w:rPr>
            </w:pPr>
            <w:r>
              <w:rPr>
                <w:rFonts w:ascii="Arial" w:cs="Arial" w:eastAsia="Arial" w:hAnsi="Arial"/>
                <w:sz w:val="18"/>
                <w:szCs w:val="18"/>
                <w:color w:val="auto"/>
                <w:w w:val="95"/>
              </w:rPr>
              <w:t>Senior Vice President, Chief Financial Officer and Treasurer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2013</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0"/>
              </w:rPr>
              <w:t>Avery W. Catlin</w:t>
            </w:r>
          </w:p>
        </w:tc>
        <w:tc>
          <w:tcPr>
            <w:tcW w:w="4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/s/ LARRY ELLBERGER</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 Chairman of the Board of Directors</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2013</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Larry Ellberger</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HERBERT J. CONRAD</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6"/>
              </w:rPr>
              <w:t>Herbert J. Conrad</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2013</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/s/ GEORGE O. ELSTON</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George O. Elston</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2013</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HARRY H. PENNER, JR.</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Harry H. Penner, Jr.</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2013</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/s/ TIMOTHY M. SHANNON, M.D.</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Timothy M. Shannon, M.D.</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2013</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/s/ KAREN L. SHOOS</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Karen L. Shoos</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2013</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720" w:type="dxa"/>
            <w:vAlign w:val="bottom"/>
          </w:tcPr>
          <w:p>
            <w:pPr>
              <w:ind w:left="1460"/>
              <w:spacing w:after="0"/>
              <w:rPr>
                <w:sz w:val="20"/>
                <w:szCs w:val="20"/>
                <w:color w:val="auto"/>
              </w:rPr>
            </w:pPr>
            <w:r>
              <w:rPr>
                <w:rFonts w:ascii="Arial" w:cs="Arial" w:eastAsia="Arial" w:hAnsi="Arial"/>
                <w:sz w:val="18"/>
                <w:szCs w:val="18"/>
                <w:color w:val="auto"/>
              </w:rPr>
              <w:t>101</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spacing w:after="0"/>
        <w:rPr>
          <w:rFonts w:ascii="Arial" w:cs="Arial" w:eastAsia="Arial" w:hAnsi="Arial"/>
          <w:sz w:val="22"/>
          <w:szCs w:val="22"/>
          <w:color w:val="0000EE"/>
        </w:rPr>
      </w:pPr>
      <w:hyperlink w:anchor="page10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420" w:type="dxa"/>
            <w:vAlign w:val="bottom"/>
            <w:gridSpan w:val="3"/>
          </w:tcPr>
          <w:p>
            <w:pPr>
              <w:ind w:left="700"/>
              <w:spacing w:after="0"/>
              <w:rPr>
                <w:sz w:val="20"/>
                <w:szCs w:val="20"/>
                <w:color w:val="auto"/>
              </w:rPr>
            </w:pPr>
            <w:r>
              <w:rPr>
                <w:rFonts w:ascii="Arial" w:cs="Arial" w:eastAsia="Arial" w:hAnsi="Arial"/>
                <w:sz w:val="18"/>
                <w:szCs w:val="18"/>
                <w:b w:val="1"/>
                <w:bCs w:val="1"/>
                <w:color w:val="auto"/>
              </w:rPr>
              <w:t>LIST OF SUBSIDIARIES</w:t>
            </w:r>
          </w:p>
        </w:tc>
        <w:tc>
          <w:tcPr>
            <w:tcW w:w="0" w:type="dxa"/>
            <w:vAlign w:val="bottom"/>
          </w:tcPr>
          <w:p>
            <w:pPr>
              <w:spacing w:after="0"/>
              <w:rPr>
                <w:sz w:val="1"/>
                <w:szCs w:val="1"/>
                <w:color w:val="auto"/>
              </w:rPr>
            </w:pPr>
          </w:p>
        </w:tc>
      </w:tr>
      <w:tr>
        <w:trPr>
          <w:trHeight w:val="367"/>
        </w:trPr>
        <w:tc>
          <w:tcPr>
            <w:tcW w:w="400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490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 of Incorporation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Celldex Research Corporation</w:t>
            </w:r>
          </w:p>
        </w:tc>
        <w:tc>
          <w:tcPr>
            <w:tcW w:w="628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rPr>
              <w:t>Delaware</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Exhibit 21.0</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8">
        <w:r>
          <w:rPr>
            <w:rFonts w:ascii="Arial" w:cs="Arial" w:eastAsia="Arial" w:hAnsi="Arial"/>
            <w:sz w:val="16"/>
            <w:szCs w:val="16"/>
            <w:u w:val="single" w:color="auto"/>
            <w:color w:val="0000EE"/>
          </w:rPr>
          <w:t>LIST OF SUBSIDIARIES</w:t>
        </w:r>
      </w:hyperlink>
    </w:p>
    <w:p>
      <w:pPr>
        <w:sectPr>
          <w:pgSz w:w="11900" w:h="16838" w:orient="portrait"/>
          <w:cols w:equalWidth="0" w:num="1">
            <w:col w:w="10219"/>
          </w:cols>
          <w:pgMar w:left="240" w:top="820" w:right="1440" w:bottom="1440" w:gutter="0" w:footer="0" w:header="0"/>
        </w:sectPr>
      </w:pPr>
    </w:p>
    <w:bookmarkStart w:id="109" w:name="page110"/>
    <w:bookmarkEnd w:id="109"/>
    <w:p>
      <w:pPr>
        <w:spacing w:after="0"/>
        <w:rPr>
          <w:rFonts w:ascii="Arial" w:cs="Arial" w:eastAsia="Arial" w:hAnsi="Arial"/>
          <w:sz w:val="22"/>
          <w:szCs w:val="22"/>
          <w:color w:val="0000EE"/>
        </w:rPr>
      </w:pPr>
      <w:hyperlink w:anchor="page1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333-182142, 333-151728, 333-117602 and 333-162423) and on Form S-3 (Nos. 333-165899 and 333-185647) of Celldex Therapeutics, Inc. of our report dated March 8, 2013 relating to the financial statements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11" w:name="page112"/>
    <w:bookmarkEnd w:id="111"/>
    <w:p>
      <w:pPr>
        <w:spacing w:after="0"/>
        <w:rPr>
          <w:rFonts w:ascii="Arial" w:cs="Arial" w:eastAsia="Arial" w:hAnsi="Arial"/>
          <w:sz w:val="22"/>
          <w:szCs w:val="22"/>
          <w:color w:val="0000EE"/>
        </w:rPr>
      </w:pPr>
      <w:hyperlink w:anchor="page11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61"/>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ind w:left="1140"/>
              <w:spacing w:after="0"/>
              <w:rPr>
                <w:sz w:val="20"/>
                <w:szCs w:val="20"/>
                <w:color w:val="auto"/>
              </w:rPr>
            </w:pPr>
            <w:r>
              <w:rPr>
                <w:rFonts w:ascii="Arial" w:cs="Arial" w:eastAsia="Arial" w:hAnsi="Arial"/>
                <w:sz w:val="18"/>
                <w:szCs w:val="18"/>
                <w:color w:val="auto"/>
              </w:rPr>
              <w:t>Date: March 8, 2013</w:t>
            </w:r>
          </w:p>
        </w:tc>
        <w:tc>
          <w:tcPr>
            <w:tcW w:w="7320" w:type="dxa"/>
            <w:vAlign w:val="bottom"/>
            <w:gridSpan w:val="4"/>
          </w:tcPr>
          <w:p>
            <w:pPr>
              <w:ind w:left="1500"/>
              <w:spacing w:after="0"/>
              <w:rPr>
                <w:sz w:val="20"/>
                <w:szCs w:val="20"/>
                <w:color w:val="auto"/>
              </w:rPr>
            </w:pPr>
            <w:r>
              <w:rPr>
                <w:rFonts w:ascii="Arial" w:cs="Arial" w:eastAsia="Arial" w:hAnsi="Arial"/>
                <w:sz w:val="18"/>
                <w:szCs w:val="18"/>
                <w:color w:val="auto"/>
              </w:rPr>
              <w:t>By:   /s/ ANTHONY S. MARUCCI</w:t>
            </w:r>
          </w:p>
        </w:tc>
      </w:tr>
      <w:tr>
        <w:trPr>
          <w:trHeight w:val="97"/>
        </w:trPr>
        <w:tc>
          <w:tcPr>
            <w:tcW w:w="4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4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4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41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13" w:name="page114"/>
    <w:bookmarkEnd w:id="113"/>
    <w:p>
      <w:pPr>
        <w:spacing w:after="0"/>
        <w:rPr>
          <w:rFonts w:ascii="Arial" w:cs="Arial" w:eastAsia="Arial" w:hAnsi="Arial"/>
          <w:sz w:val="22"/>
          <w:szCs w:val="22"/>
          <w:color w:val="0000EE"/>
        </w:rPr>
      </w:pPr>
      <w:hyperlink w:anchor="page11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61"/>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ind w:left="1140"/>
              <w:spacing w:after="0"/>
              <w:rPr>
                <w:sz w:val="20"/>
                <w:szCs w:val="20"/>
                <w:color w:val="auto"/>
              </w:rPr>
            </w:pPr>
            <w:r>
              <w:rPr>
                <w:rFonts w:ascii="Arial" w:cs="Arial" w:eastAsia="Arial" w:hAnsi="Arial"/>
                <w:sz w:val="18"/>
                <w:szCs w:val="18"/>
                <w:color w:val="auto"/>
              </w:rPr>
              <w:t>Date: March 8, 2013</w:t>
            </w:r>
          </w:p>
        </w:tc>
        <w:tc>
          <w:tcPr>
            <w:tcW w:w="7320" w:type="dxa"/>
            <w:vAlign w:val="bottom"/>
            <w:gridSpan w:val="4"/>
          </w:tcPr>
          <w:p>
            <w:pPr>
              <w:ind w:left="1500"/>
              <w:spacing w:after="0"/>
              <w:rPr>
                <w:sz w:val="20"/>
                <w:szCs w:val="20"/>
                <w:color w:val="auto"/>
              </w:rPr>
            </w:pPr>
            <w:r>
              <w:rPr>
                <w:rFonts w:ascii="Arial" w:cs="Arial" w:eastAsia="Arial" w:hAnsi="Arial"/>
                <w:sz w:val="18"/>
                <w:szCs w:val="18"/>
                <w:color w:val="auto"/>
              </w:rPr>
              <w:t>By:   /s/ AVERY W. CATLIN</w:t>
            </w:r>
          </w:p>
        </w:tc>
      </w:tr>
      <w:tr>
        <w:trPr>
          <w:trHeight w:val="97"/>
        </w:trPr>
        <w:tc>
          <w:tcPr>
            <w:tcW w:w="4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4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Avery W. Catlin</w:t>
            </w:r>
          </w:p>
        </w:tc>
      </w:tr>
      <w:tr>
        <w:trPr>
          <w:trHeight w:val="216"/>
        </w:trPr>
        <w:tc>
          <w:tcPr>
            <w:tcW w:w="4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4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Chief Financial Officer</w:t>
            </w:r>
          </w:p>
        </w:tc>
      </w:tr>
      <w:tr>
        <w:trPr>
          <w:trHeight w:val="120"/>
        </w:trPr>
        <w:tc>
          <w:tcPr>
            <w:tcW w:w="41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14">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15" w:name="page116"/>
    <w:bookmarkEnd w:id="115"/>
    <w:p>
      <w:pPr>
        <w:spacing w:after="0"/>
        <w:rPr>
          <w:rFonts w:ascii="Arial" w:cs="Arial" w:eastAsia="Arial" w:hAnsi="Arial"/>
          <w:sz w:val="22"/>
          <w:szCs w:val="22"/>
          <w:color w:val="0000EE"/>
        </w:rPr>
      </w:pPr>
      <w:hyperlink w:anchor="page1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2012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 March 8, 2013</w:t>
            </w:r>
          </w:p>
        </w:tc>
        <w:tc>
          <w:tcPr>
            <w:tcW w:w="1960" w:type="dxa"/>
            <w:vAlign w:val="bottom"/>
          </w:tcPr>
          <w:p>
            <w:pPr>
              <w:ind w:left="150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ANTHONY S. MARUCCI</w:t>
            </w:r>
          </w:p>
        </w:tc>
      </w:tr>
      <w:tr>
        <w:trPr>
          <w:trHeight w:val="97"/>
        </w:trPr>
        <w:tc>
          <w:tcPr>
            <w:tcW w:w="2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2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2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59"/>
        </w:trPr>
        <w:tc>
          <w:tcPr>
            <w:tcW w:w="2960" w:type="dxa"/>
            <w:vAlign w:val="bottom"/>
          </w:tcPr>
          <w:p>
            <w:pPr>
              <w:spacing w:after="0"/>
              <w:rPr>
                <w:sz w:val="20"/>
                <w:szCs w:val="20"/>
                <w:color w:val="auto"/>
              </w:rPr>
            </w:pPr>
            <w:r>
              <w:rPr>
                <w:rFonts w:ascii="Arial" w:cs="Arial" w:eastAsia="Arial" w:hAnsi="Arial"/>
                <w:sz w:val="18"/>
                <w:szCs w:val="18"/>
                <w:color w:val="auto"/>
              </w:rPr>
              <w:t>Date: March 8, 2013</w:t>
            </w:r>
          </w:p>
        </w:tc>
        <w:tc>
          <w:tcPr>
            <w:tcW w:w="1960" w:type="dxa"/>
            <w:vAlign w:val="bottom"/>
          </w:tcPr>
          <w:p>
            <w:pPr>
              <w:ind w:left="150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AVERY W. CATLIN</w:t>
            </w:r>
          </w:p>
        </w:tc>
      </w:tr>
      <w:tr>
        <w:trPr>
          <w:trHeight w:val="97"/>
        </w:trPr>
        <w:tc>
          <w:tcPr>
            <w:tcW w:w="2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2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Avery W. Catlin</w:t>
            </w:r>
          </w:p>
        </w:tc>
      </w:tr>
      <w:tr>
        <w:trPr>
          <w:trHeight w:val="216"/>
        </w:trPr>
        <w:tc>
          <w:tcPr>
            <w:tcW w:w="2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2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10"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certification shall be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116">
        <w:r>
          <w:rPr>
            <w:rFonts w:ascii="Arial" w:cs="Arial" w:eastAsia="Arial" w:hAnsi="Arial"/>
            <w:sz w:val="18"/>
            <w:szCs w:val="18"/>
            <w:u w:val="single" w:color="auto"/>
            <w:color w:val="0000EE"/>
          </w:rPr>
          <w:t>PURSUANT TO SECTION 906 OF THE SARBANES-OXLEY ACT OF 2002</w:t>
        </w:r>
      </w:hyperlink>
    </w:p>
    <w:sectPr>
      <w:pgSz w:w="11900" w:h="16838" w:orient="portrait"/>
      <w:cols w:equalWidth="0" w:num="1">
        <w:col w:w="10980"/>
      </w:cols>
      <w:pgMar w:left="240" w:top="8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2"/>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3"/>
    </w:lvl>
  </w:abstractNum>
  <w:abstractNum w:abstractNumId="27">
    <w:nsid w:val="5577F8E1"/>
    <w:multiLevelType w:val="hybridMultilevel"/>
    <w:lvl w:ilvl="0">
      <w:lvlJc w:val="left"/>
      <w:lvlText w:val="(%1)"/>
      <w:numFmt w:val="decimal"/>
      <w:start w:val="1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3"/>
    </w:lvl>
    <w:lvl w:ilvl="1">
      <w:lvlJc w:val="left"/>
      <w:lvlText w:val="•"/>
      <w:numFmt w:val="bullet"/>
      <w:start w:val="1"/>
    </w:lvl>
  </w:abstractNum>
  <w:abstractNum w:abstractNumId="30">
    <w:nsid w:val="3804823E"/>
    <w:multiLevelType w:val="hybridMultilevel"/>
    <w:lvl w:ilvl="0">
      <w:lvlJc w:val="left"/>
      <w:lvlText w:val="(%1)"/>
      <w:numFmt w:val="decimal"/>
      <w:start w:val="14"/>
    </w:lvl>
  </w:abstractNum>
  <w:abstractNum w:abstractNumId="31">
    <w:nsid w:val="77465F01"/>
    <w:multiLevelType w:val="hybridMultilevel"/>
    <w:lvl w:ilvl="0">
      <w:lvlJc w:val="left"/>
      <w:lvlText w:val="(%1)"/>
      <w:numFmt w:val="decimal"/>
      <w:start w:val="14"/>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upperLetter"/>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2"/>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2019-12-05T21:29:48Z</dcterms:created>
  <dcterms:modified xsi:type="dcterms:W3CDTF">2019-12-05T21:29:48Z</dcterms:modified>
</cp:coreProperties>
</file>