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900" w:right="300" w:hanging="534"/>
        <w:spacing w:after="0" w:line="256" w:lineRule="auto"/>
        <w:tabs>
          <w:tab w:leader="none" w:pos="9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left="86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25" w:lineRule="exact"/>
        <w:rPr>
          <w:sz w:val="24"/>
          <w:szCs w:val="24"/>
          <w:color w:val="auto"/>
        </w:rPr>
      </w:pPr>
    </w:p>
    <w:p>
      <w:pPr>
        <w:ind w:left="600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00" w:right="280" w:hanging="534"/>
        <w:spacing w:after="0" w:line="256" w:lineRule="auto"/>
        <w:tabs>
          <w:tab w:leader="none" w:pos="9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2, 2009, 31,602,188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September 30, 2009</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88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6762750</wp:posOffset>
            </wp:positionH>
            <wp:positionV relativeFrom="paragraph">
              <wp:posOffset>20955</wp:posOffset>
            </wp:positionV>
            <wp:extent cx="488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I—Financial Information</w:t>
        </w:r>
      </w:hyperlink>
    </w:p>
    <w:p>
      <w:pPr>
        <w:spacing w:after="0" w:line="209" w:lineRule="exact"/>
        <w:rPr>
          <w:sz w:val="24"/>
          <w:szCs w:val="24"/>
          <w:color w:val="auto"/>
        </w:rPr>
      </w:pPr>
    </w:p>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Unaudited Financial Statements.</w:t>
        </w:r>
      </w:hyperlink>
    </w:p>
    <w:p>
      <w:pPr>
        <w:sectPr>
          <w:pgSz w:w="11900" w:h="16838" w:orient="portrait"/>
          <w:cols w:equalWidth="0" w:num="1">
            <w:col w:w="11340"/>
          </w:cols>
          <w:pgMar w:left="240" w:top="233"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September 30, 2009 and December 31, 2008</w:t>
              </w:r>
            </w:hyperlink>
          </w:p>
        </w:tc>
        <w:tc>
          <w:tcPr>
            <w:tcW w:w="17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1"/>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Operations for the Three and Nine Months Ended September 30, 2009 and 2008</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Nine Months Ended September 30, 2009 and 2008</w:t>
              </w:r>
            </w:hyperlink>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330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Borders>
              <w:top w:val="single" w:sz="8" w:color="0000EE"/>
            </w:tcBorders>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10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4"/>
          </w:tcPr>
          <w:p>
            <w:pPr>
              <w:spacing w:after="0"/>
              <w:rPr>
                <w:sz w:val="24"/>
                <w:szCs w:val="24"/>
                <w:color w:val="auto"/>
              </w:rPr>
            </w:pPr>
          </w:p>
        </w:tc>
        <w:tc>
          <w:tcPr>
            <w:tcW w:w="31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828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 Legal Proceedings.</w:t>
              </w:r>
            </w:hyperlink>
          </w:p>
        </w:tc>
        <w:tc>
          <w:tcPr>
            <w:tcW w:w="604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 Risk Factors.</w:t>
              </w:r>
            </w:hyperlink>
          </w:p>
        </w:tc>
        <w:tc>
          <w:tcPr>
            <w:tcW w:w="616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 Submission of Matters to a Vote of Security Holders.</w:t>
              </w:r>
            </w:hyperlink>
          </w:p>
        </w:tc>
        <w:tc>
          <w:tcPr>
            <w:tcW w:w="372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 Exhibits.</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690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 Index</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5380" w:type="dxa"/>
            <w:vAlign w:val="bottom"/>
            <w:gridSpan w:val="11"/>
          </w:tcPr>
          <w:p>
            <w:pPr>
              <w:jc w:val="center"/>
              <w:ind w:left="3590"/>
              <w:spacing w:after="0"/>
              <w:rPr>
                <w:sz w:val="20"/>
                <w:szCs w:val="20"/>
                <w:color w:val="auto"/>
              </w:rPr>
            </w:pPr>
            <w:r>
              <w:rPr>
                <w:rFonts w:ascii="Arial" w:cs="Arial" w:eastAsia="Arial" w:hAnsi="Arial"/>
                <w:sz w:val="18"/>
                <w:szCs w:val="18"/>
                <w:color w:val="auto"/>
                <w:w w:val="99"/>
              </w:rPr>
              <w:t>2</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28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80" w:type="dxa"/>
            <w:vAlign w:val="bottom"/>
            <w:gridSpan w:val="19"/>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20" w:type="dxa"/>
            <w:vAlign w:val="bottom"/>
            <w:gridSpan w:val="7"/>
          </w:tcPr>
          <w:p>
            <w:pPr>
              <w:jc w:val="center"/>
              <w:ind w:left="10"/>
              <w:spacing w:after="0"/>
              <w:rPr>
                <w:sz w:val="20"/>
                <w:szCs w:val="20"/>
                <w:color w:val="auto"/>
              </w:rPr>
            </w:pPr>
            <w:r>
              <w:rPr>
                <w:rFonts w:ascii="Arial" w:cs="Arial" w:eastAsia="Arial" w:hAnsi="Arial"/>
                <w:sz w:val="18"/>
                <w:szCs w:val="18"/>
                <w:b w:val="1"/>
                <w:bCs w:val="1"/>
                <w:color w:val="auto"/>
              </w:rPr>
              <w:t>CELLDEX THERAPEUTICS, INC.</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4"/>
          </w:tcPr>
          <w:p>
            <w:pPr>
              <w:jc w:val="center"/>
              <w:ind w:right="200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20" w:type="dxa"/>
            <w:vAlign w:val="bottom"/>
            <w:gridSpan w:val="7"/>
          </w:tcPr>
          <w:p>
            <w:pPr>
              <w:jc w:val="center"/>
              <w:ind w:left="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18"/>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25,985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Accounts and Other Receivables</w:t>
            </w: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28,010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47,076</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6,136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80" w:type="dxa"/>
            <w:vAlign w:val="bottom"/>
            <w:tcBorders>
              <w:top w:val="single" w:sz="8" w:color="CCEEFF"/>
              <w:bottom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Payable Due Medarex</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17"/>
          </w:tcPr>
          <w:p>
            <w:pPr>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5,366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14,107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14,101</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35,246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50,342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51,659</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Commitments and Contingent Liabilities (Note 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18"/>
          </w:tcPr>
          <w:p>
            <w:pPr>
              <w:spacing w:after="0"/>
              <w:rPr>
                <w:sz w:val="20"/>
                <w:szCs w:val="20"/>
                <w:color w:val="auto"/>
              </w:rPr>
            </w:pPr>
            <w:r>
              <w:rPr>
                <w:rFonts w:ascii="Arial" w:cs="Arial" w:eastAsia="Arial" w:hAnsi="Arial"/>
                <w:sz w:val="18"/>
                <w:szCs w:val="18"/>
                <w:color w:val="auto"/>
              </w:rPr>
              <w:t>Stockholders’ (Deficit) Equity:</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8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8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Outstanding at September 30, 2009 and December 31, 2008</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-6287770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-6287770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2"/>
              </w:rPr>
              <w:t>Common Stock, $.001 Par Value; 297,000,000 Shares Authorized; 15,879,475 and 15,789,756 Shares Issued</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and Outstanding at September 30, 2009 and December 31, 2008, respectively</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139,882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136,661</w:t>
            </w: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2,606</w:t>
            </w: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(144,731)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(121,149)</w:t>
            </w:r>
          </w:p>
        </w:tc>
      </w:tr>
      <w:tr>
        <w:trPr>
          <w:trHeight w:val="21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(Deficit) Equity</w:t>
            </w: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160" w:type="dxa"/>
            <w:vAlign w:val="bottom"/>
            <w:tcBorders>
              <w:bottom w:val="single" w:sz="8" w:color="CCEEFF"/>
            </w:tcBorders>
          </w:tcPr>
          <w:p>
            <w:pPr>
              <w:spacing w:after="0"/>
              <w:rPr>
                <w:sz w:val="18"/>
                <w:szCs w:val="18"/>
                <w:color w:val="auto"/>
              </w:rPr>
            </w:pPr>
          </w:p>
        </w:tc>
      </w:tr>
      <w:tr>
        <w:trPr>
          <w:trHeight w:val="21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Product Royalties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5,170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2,358</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10,447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23,729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4,206</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10,701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Charge for In-Process Research and Development</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10,936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34,112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(23,665)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(Expense) Income, Net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(See Note 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Shares Used in Calculating Basic and Diluted Net Loss per Share</w:t>
            </w:r>
          </w:p>
        </w:tc>
        <w:tc>
          <w:tcPr>
            <w:tcW w:w="1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15,879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15,708</w:t>
            </w: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15,844</w:t>
            </w:r>
          </w:p>
        </w:tc>
        <w:tc>
          <w:tcPr>
            <w:tcW w:w="1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13,695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2)</w:t>
            </w: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8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r>
      <w:tr>
        <w:trPr>
          <w:trHeight w:val="171"/>
        </w:trPr>
        <w:tc>
          <w:tcPr>
            <w:tcW w:w="8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4"/>
                <w:szCs w:val="14"/>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(23,582)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(40,047)</w:t>
            </w: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1,771</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(Gain) loss on Sale or Disposal of Assets</w:t>
            </w: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4,286</w:t>
            </w: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14,756</w:t>
            </w: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Accounts and Other Receivables</w:t>
            </w:r>
          </w:p>
        </w:tc>
        <w:tc>
          <w:tcPr>
            <w:tcW w:w="4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Cash Acquired in AVANT Merger, Net of Transaction Costs</w:t>
            </w: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Deposits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Loan Due to Medarex</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4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(18,272)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44,257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25,985</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42,697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Received in Exchange in the AVANT Merger</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Shares Issued to Medarex in Settlement of a Payable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Future Amounts Payable to Licensors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Shares Issued to Executive Officers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2008, which are included in the Company’s Annual Report on Form 10-K filed with the Securities and Exchange Commission (“SEC”) on March 2, 2009.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between AVANT and Celldex Research</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March 7, 2008, the Company (formerly known as AVANT Immunotherapeutics, Inc.) (“AVANT”) merged with and into Celldex Research Corporation (formerly known as Celldex Therapeutics, Inc.) (“Celldex Research”), a privately-held company, (the “AVANT Merger”). Effective October 1, 2008, the Company changed its name from AVANT Immunotherapeutics, Inc. to Celldex Therapeutics, Inc.</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AVANT Merger was accounted for using the former purchase method of accounting and was treated as an acquisition by Celldex Research of AVANT, with Celldex Research being considered the accounting acquirer even though AVANT was the issuer of common stock and the surviving legal entity in the transaction. Under the former purchase method of accounting, the deemed purchase price was allocated to AVANT’s underlying tangible and identifiable intangible assets acquired and liabilities assumed based upon the respective fair value of each with any excess deemed purchase price allocated to</w:t>
      </w:r>
    </w:p>
    <w:p>
      <w:pPr>
        <w:sectPr>
          <w:pgSz w:w="11900" w:h="16838" w:orient="portrait"/>
          <w:cols w:equalWidth="0" w:num="1">
            <w:col w:w="11420"/>
          </w:cols>
          <w:pgMar w:left="240" w:top="125" w:right="239" w:bottom="0" w:gutter="0" w:footer="0" w:header="0"/>
        </w:sectPr>
      </w:pPr>
    </w:p>
    <w:bookmarkStart w:id="4" w:name="page5"/>
    <w:bookmarkEnd w:id="4"/>
    <w:p>
      <w:pPr>
        <w:ind w:right="120"/>
        <w:spacing w:after="0" w:line="259" w:lineRule="auto"/>
        <w:rPr>
          <w:sz w:val="20"/>
          <w:szCs w:val="20"/>
          <w:color w:val="auto"/>
        </w:rPr>
      </w:pPr>
      <w:r>
        <w:rPr>
          <w:rFonts w:ascii="Arial" w:cs="Arial" w:eastAsia="Arial" w:hAnsi="Arial"/>
          <w:sz w:val="18"/>
          <w:szCs w:val="18"/>
          <w:color w:val="auto"/>
        </w:rPr>
        <w:t>goodwill. The valuation analysis conducted by the Company determined that the fair value of assets acquired and the fair value of liabilities assumed by Celldex Research exceeded the purchase price for AVANT, resulting in negative goodwill of approximately $6.0 million. The negative goodwill was allocated to all of the acquired assets that were non-financial and non-current assets, including property and equipment, identifiable intangible assets, and in-process research and development.</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Because Celldex Research was determined to be the acquirer for accounting purposes, the historical financial statements of Celldex Research became the historical financial statements of the Company as of the closing of the AVANT Merger. Accordingly, the financial statements of the Company prior to the AVANT Merger reflect the financial position, results of operations and cash flows of Celldex Research, which during the historical periods presented in the accompanying consolidated financial statements, was then majority-owned by Medarex, Inc. (“Medarex”). Following the AVANT Merger, the financial statements reflect the financial position, results of operation and cash flows of the combined companies. The results of operations of AVANT are included in the results of operations of the Company beginning March 8, 2008. Accordingly, except as otherwise discussed below, this report reflects the financial condition, results of operations and liquidity of the combined companies at September 30, 2009 and for the period from the AVANT Merger through September 30,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between the Company and CuraGen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more fully discussed in Note 12, on October 1, 2009, CuraGen Corporation (“CuraGen”), a former publicly-traded company, merged with a wholly-owned subsidiary of the Company (the “CuraGen Merger”)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accordance with a definitive merger agreement dated May 28, 2009 (the “CuraGen Merger Agreement”). Accordingly, the results of operations of CuraGen will be included in the results of operations of the Company beginning October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Company’s cash and cash equivalents at September 30, 2009 were $26.0 million. Its working capital at September 30, 2009 was $13.9 million. The Company incurred a loss of $7.2 million and $23.6 million for the three and nine months ended September 30, 2009, respectively. Net cash used in operations for the nine months ended September 30, 2009 was $19.0 million. The Company believes that the cash and investments acquired in the CuraGen Merger, the cash inflows from existing grants and collaborations, interest income on invested funds and the cash and cash equivalents at September 30, 2009 will be sufficient to meet estimated working capital requirements and fund planned operations for at least the next twelve months. The working capital requirements of the Company are dependent on several factors including, but not limited to, the costs associated with research and development programs, preclinical and clinical studies, manufacture of clinical materials, the scope of collaborative arrangements. At September 30, 2009, CuraGen had cash and investments of $70.3 million and 4% convertible subordinated debt due in February 2011 of $12.5 million.</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During the next twelve to twenty-four months, the Company may take steps to raise additional capital to meet its long-term liquidity needs including, but not limited to, the licensing of technology programs with existing or new collaborative partners, possible business combinations, or the issuance of common stock via private placements or public offerings. While the Company continues to seek capital through a number of means, there can be no assurance that additional financing will be available on acceptable terms, if at all, particularly in light of the recent disruptions in the financial markets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that reduce the Company’s economic potential from products under development. If the Company is unable to raise the funds necessary to meet its long-term liquidity needs, it may have to (i) delay or discontinue the development of programs, (ii) license out programs earlier than expected, (iii) raise funds at significant discount or on other unfavorable terms, or (iv) sell all or a part of the Company.</w:t>
      </w:r>
    </w:p>
    <w:p>
      <w:pPr>
        <w:spacing w:after="0" w:line="16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ind w:right="28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nine months ended September 30, 2009 are consistent with those discussed in Note 1 to the consolidated financial statements in our Annual Report on Form 10-K for the year ended December 31, 2008, except for the adoption of new accounting standards during the first nine months of 2009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January 1, 2009, the Company adopted the new acquisition method of accounting for business combinations which applies to acquisitions that are completed after January 1, 2009, including the CuraGen Merger. The Company assigns the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assets, using a variety of methods including present-value models. Each asset and liability is measured at fair value from the perspective of a market participant. Transaction costs associated with the acquisition are expensed as incurred.</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acquisitions completed prior to January 1, 2009, including the AVANT Merger, the Company expensed the fair value of IPR&amp;D to research and development expense as of the acquisition date and included transaction costs associated with the business combination as part of the cost of the acquired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ectPr>
          <w:pgSz w:w="11900" w:h="16838" w:orient="portrait"/>
          <w:cols w:equalWidth="0" w:num="1">
            <w:col w:w="11420"/>
          </w:cols>
          <w:pgMar w:left="240" w:top="125" w:right="239" w:bottom="32" w:gutter="0" w:footer="0" w:header="0"/>
        </w:sectPr>
      </w:pPr>
    </w:p>
    <w:bookmarkStart w:id="5" w:name="page6"/>
    <w:bookmarkEnd w:id="5"/>
    <w:p>
      <w:pPr>
        <w:ind w:right="440" w:firstLine="648"/>
        <w:spacing w:after="0" w:line="277" w:lineRule="auto"/>
        <w:rPr>
          <w:sz w:val="20"/>
          <w:szCs w:val="20"/>
          <w:color w:val="auto"/>
        </w:rPr>
      </w:pPr>
      <w:r>
        <w:rPr>
          <w:rFonts w:ascii="Arial" w:cs="Arial" w:eastAsia="Arial" w:hAnsi="Arial"/>
          <w:sz w:val="18"/>
          <w:szCs w:val="18"/>
          <w:color w:val="auto"/>
        </w:rPr>
        <w:t>The Company evaluated all events or transactions that occurred after September 30, 2009 up through November 6, 2009, the date the Company issued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1, 2009, the Company adopted the following new U.S. GAAP accounting standards all of which did not have a material impact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condition or results of operations:</w:t>
      </w:r>
    </w:p>
    <w:p>
      <w:pPr>
        <w:spacing w:after="0" w:line="211" w:lineRule="exact"/>
        <w:rPr>
          <w:sz w:val="20"/>
          <w:szCs w:val="20"/>
          <w:color w:val="auto"/>
        </w:rPr>
      </w:pPr>
    </w:p>
    <w:p>
      <w:pPr>
        <w:ind w:left="900" w:right="20" w:hanging="262"/>
        <w:spacing w:after="0" w:line="277" w:lineRule="auto"/>
        <w:tabs>
          <w:tab w:leader="none" w:pos="86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collaborations existing after January 1, 2009, certain transactions between collaborators are recorded in the income statement on either a gross or net basis within expenses when certain characteristics exist in the collaboration relationship;</w:t>
      </w:r>
    </w:p>
    <w:p>
      <w:pPr>
        <w:spacing w:after="0" w:line="170" w:lineRule="exact"/>
        <w:rPr>
          <w:rFonts w:ascii="Arial" w:cs="Arial" w:eastAsia="Arial" w:hAnsi="Arial"/>
          <w:sz w:val="18"/>
          <w:szCs w:val="18"/>
          <w:color w:val="auto"/>
        </w:rPr>
      </w:pPr>
    </w:p>
    <w:p>
      <w:pPr>
        <w:ind w:left="900" w:right="220" w:hanging="244"/>
        <w:spacing w:after="0" w:line="264" w:lineRule="auto"/>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color w:val="auto"/>
        </w:rPr>
        <w:t>Certain new factors should be considered in developing renewal or extension assumptions used to determine the useful life of a recognized intangible asset so that the useful life of a recognized intangible asset is consistent with the period of estimated cash flows used to measure fair value of the asset;</w:t>
      </w:r>
    </w:p>
    <w:p>
      <w:pPr>
        <w:spacing w:after="0" w:line="181" w:lineRule="exact"/>
        <w:rPr>
          <w:rFonts w:ascii="Arial" w:cs="Arial" w:eastAsia="Arial" w:hAnsi="Arial"/>
          <w:sz w:val="18"/>
          <w:szCs w:val="18"/>
          <w:color w:val="auto"/>
        </w:rPr>
      </w:pPr>
    </w:p>
    <w:p>
      <w:pPr>
        <w:ind w:left="900" w:right="80" w:hanging="262"/>
        <w:spacing w:after="0" w:line="291" w:lineRule="auto"/>
        <w:tabs>
          <w:tab w:leader="none" w:pos="86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Determine whether instruments granted in share-based payment transactions are participating securities prior to vesting and, therefore, need to be included in the earnings allocation in computing earnings per share (“EPS”) under the two-class method. The new accounting standard</w:t>
      </w:r>
    </w:p>
    <w:p>
      <w:pPr>
        <w:ind w:left="900" w:right="100"/>
        <w:spacing w:after="0" w:line="295" w:lineRule="auto"/>
        <w:rPr>
          <w:rFonts w:ascii="Arial" w:cs="Arial" w:eastAsia="Arial" w:hAnsi="Arial"/>
          <w:sz w:val="16"/>
          <w:szCs w:val="16"/>
          <w:color w:val="auto"/>
        </w:rPr>
      </w:pPr>
      <w:r>
        <w:rPr>
          <w:rFonts w:ascii="Arial" w:cs="Arial" w:eastAsia="Arial" w:hAnsi="Arial"/>
          <w:sz w:val="16"/>
          <w:szCs w:val="16"/>
          <w:color w:val="auto"/>
        </w:rPr>
        <w:t>(i) applies to the calculation of EPS for share-based payment awards with rights to dividends or dividend equivalents, (ii) clarifies that unvested share-based payment awards that contain nonforfeitable rights to dividends or dividend equivalents (whether paid or unpaid) are participating securities and shall be included in the computation of EPS pursuant to the two class method and (iii) requires all prior-period EPS data presented to be adjusted retrospectively (including interim financial statements, summaries of earnings and selected financial data); and</w:t>
      </w:r>
    </w:p>
    <w:p>
      <w:pPr>
        <w:spacing w:after="0" w:line="161" w:lineRule="exact"/>
        <w:rPr>
          <w:rFonts w:ascii="Arial" w:cs="Arial" w:eastAsia="Arial" w:hAnsi="Arial"/>
          <w:sz w:val="16"/>
          <w:szCs w:val="16"/>
          <w:color w:val="auto"/>
        </w:rPr>
      </w:pPr>
    </w:p>
    <w:p>
      <w:pPr>
        <w:ind w:left="900" w:right="160" w:hanging="244"/>
        <w:spacing w:after="0" w:line="277" w:lineRule="auto"/>
        <w:tabs>
          <w:tab w:leader="none" w:pos="869"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 the fair values of financial instruments in interim and annual financial statements. Prior to the issuance of the new accounting standard, disclosures about fair values of financial instruments were only required to be disclosed annually.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1, 2009, the Company adopted the Financial Accounting Standards Board (“FASB”) Accounting Standards Codification (the “Codification”) which is the source of authoritative, nongovernmental GAAP, except for rules and interpretive releases of the SEC, which are sources of authoritative GAAP for SEC registrants. All other nongrandfathered, non-SEC accounting literature not included in the Codification will become nonauthoritative. As the Codification was not intended to change or alter existing U.S. GAAP, the Codification did not have any impact on the Company’s financial statements or results of operations.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August 2009, the FASB issued a new U.S. GAAP accounting standard that provides clarification that in circumstances in which a quoted price in an active market for the identical liability is not available, a reporting entity is required to measure fair value using one or more of the following methods: 1) a valuation technique that uses a) the quoted price of the identical liability when traded as an asset or b) quoted prices for similar liabilities or similar liabilities when traded as assets and/or 2) a valuation technique that is consistent with the principles of an income approach or market approach. The standard also clarifies that when estimating the fair value of a liability, a reporting entity is not required to adjust to include inputs relating to the existence of transfer restrictions on that liability. The Company is required to adopt this standard on October 1, 2009 and does not expect the adoption will have a material impact on its financial position or results of operations; however, this standard may impact the Company in future periods.</w:t>
      </w:r>
    </w:p>
    <w:p>
      <w:pPr>
        <w:spacing w:after="0" w:line="178"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In October 2009, the FASB issued a new U.S. GAAP accounting standard which amends existing revenue recognition accounting guidance to provide accounting principles and application guidance on whether multiple deliverables exist, how the arrangement should be separated, and the consideration allocated. This guidance eliminates the requirement to establish objective evidence of fair value of undelivered products and services and instead provides for separate revenue recognition based upon management’s estimate of the selling price for an undelivered item when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there is no other means to determine the fair value of that undelivered item. The existing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existing guidance if the fair value of all of the elements in the arrangement was not determinable, then revenue was deferred until all of the items were delivered or fair value was determined. The Company expects to adopt the standard on January 1, 2010 on a prospective basis. The Company is currently evaluating the potential impact of this standard on its financial position and results of operations.</w:t>
      </w:r>
    </w:p>
    <w:p>
      <w:pPr>
        <w:spacing w:after="0" w:line="174" w:lineRule="exact"/>
        <w:rPr>
          <w:sz w:val="20"/>
          <w:szCs w:val="20"/>
          <w:color w:val="auto"/>
        </w:rPr>
      </w:pPr>
    </w:p>
    <w:p>
      <w:pPr>
        <w:ind w:left="640" w:hanging="578"/>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Comprehensive Loss and Net Loss Per Share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three and nine months ended September 30, 2009 and 2008,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32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4"/>
                <w:szCs w:val="14"/>
                <w:color w:val="auto"/>
              </w:rPr>
            </w:pPr>
          </w:p>
        </w:tc>
        <w:tc>
          <w:tcPr>
            <w:tcW w:w="2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51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(7,174)</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(40,047)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translation gain (loss)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0"/>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r>
      <w:tr>
        <w:trPr>
          <w:trHeight w:val="22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computations of basic and diluted loss per common share are based upon the weighted average number of common shares outstanding and potentially dilutive securities. Potentially dilutive securities include stock options at September 30, 2009. Options to purchase 2,695,480 and 2,046,427 shares of common stock were not included in the September 30, 2009 and 2008 computation of diluted net loss per share, respectively, because inclusion of such shares would have an anti-dilutive effect on net loss per share.</w:t>
      </w:r>
    </w:p>
    <w:p>
      <w:pPr>
        <w:spacing w:after="0" w:line="183" w:lineRule="exact"/>
        <w:rPr>
          <w:sz w:val="20"/>
          <w:szCs w:val="20"/>
          <w:color w:val="auto"/>
        </w:rPr>
      </w:pPr>
    </w:p>
    <w:p>
      <w:pPr>
        <w:ind w:left="640" w:hanging="57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ectPr>
          <w:pgSz w:w="11900" w:h="16838" w:orient="portrait"/>
          <w:cols w:equalWidth="0" w:num="1">
            <w:col w:w="11420"/>
          </w:cols>
          <w:pgMar w:left="240" w:top="125" w:right="239" w:bottom="0" w:gutter="0" w:footer="0" w:header="0"/>
        </w:sectPr>
      </w:pPr>
    </w:p>
    <w:bookmarkStart w:id="6" w:name="page7"/>
    <w:bookmarkEnd w:id="6"/>
    <w:p>
      <w:pPr>
        <w:spacing w:after="0" w:line="5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Fair value measurement is the exchange price that would be received for an asset or paid to transfer a liability (an exit price) in the principal or most advantageous market for the asset or liability in an orderly transaction between market participants on the measurement date. Market participants are buyers and sellers in the principal market that are (i) independent, (ii) knowledgeable, (iii) able to transact, and (iv) willing to transact.</w:t>
      </w:r>
    </w:p>
    <w:p>
      <w:pPr>
        <w:spacing w:after="0" w:line="166"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uses a fair value hierarchy for the Company’s assets and liabilities that are measured at fair value on a recurring basis as of September 30, 2009 and December 31, 2008. This fair value hierarchy maximizes the use of observable inputs, where available, and minimizes the use of unobservable inputs when measuring fair value. The following are the three levels of inputs that may be used to measure fair value:</w:t>
      </w:r>
    </w:p>
    <w:p>
      <w:pPr>
        <w:spacing w:after="0" w:line="162" w:lineRule="exact"/>
        <w:rPr>
          <w:sz w:val="20"/>
          <w:szCs w:val="20"/>
          <w:color w:val="auto"/>
        </w:rPr>
      </w:pPr>
    </w:p>
    <w:p>
      <w:pPr>
        <w:ind w:left="1000" w:hanging="985"/>
        <w:spacing w:after="0" w:line="342" w:lineRule="auto"/>
        <w:tabs>
          <w:tab w:leader="none" w:pos="9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 The Company’s Level 1 assets consist of cash equivalents. As of September 30, 2009 and December 31, 2008, the Company held cash equivalents of $22.1 million and $43.5 million in money market funds, respectively.</w:t>
      </w:r>
    </w:p>
    <w:p>
      <w:pPr>
        <w:spacing w:after="0" w:line="124" w:lineRule="exact"/>
        <w:rPr>
          <w:sz w:val="20"/>
          <w:szCs w:val="20"/>
          <w:color w:val="auto"/>
        </w:rPr>
      </w:pPr>
    </w:p>
    <w:p>
      <w:pPr>
        <w:ind w:left="1000" w:right="40" w:hanging="985"/>
        <w:spacing w:after="0" w:line="264" w:lineRule="auto"/>
        <w:tabs>
          <w:tab w:leader="none" w:pos="9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The Company had no Level 2 assets or liabilities at September 30, 2009 and December 31, 2008.</w:t>
      </w:r>
    </w:p>
    <w:p>
      <w:pPr>
        <w:spacing w:after="0" w:line="181" w:lineRule="exact"/>
        <w:rPr>
          <w:sz w:val="20"/>
          <w:szCs w:val="20"/>
          <w:color w:val="auto"/>
        </w:rPr>
      </w:pPr>
    </w:p>
    <w:p>
      <w:pPr>
        <w:ind w:left="1000" w:right="360" w:hanging="985"/>
        <w:spacing w:after="0" w:line="277" w:lineRule="auto"/>
        <w:tabs>
          <w:tab w:leader="none" w:pos="9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The Company had no Level 3 assets or liabilities at September 30, 2009 and December 31, 2008.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The Company’s financial instruments consist mainly of cash and cash equivalents, short-term accounts receivable, accounts payable and debt obligations.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loan payable and note payable approximates its carrying value at September 30, 2009.</w:t>
      </w:r>
    </w:p>
    <w:p>
      <w:pPr>
        <w:spacing w:after="0" w:line="18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September 30, 2009, the Company had two stock-based compensation plans: the 2004 Employee Stock Purchase Plan (the “2004 ESPP Plan”) and the 2008 Stock Option and Incentive Plan (the “2008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All full time employees of the Company are eligible to participate in the 2004 ESPP Plan. A total of 12,500 shares of common stock are reserved for issuance under the 2004 ESPP Plan. Under the 2004 ESPP Plan, each participating employee may contribute up to 15% of his or her compensation to purchase up to 100 shares of common stock per year in any six-month offering period and may withdraw from the offering at any time before stock is purchased. Participation terminates automatically upon termination of employment. The purchase price per share of common stock in an offering is 85% of the lower of its fair market value at either the beginning of the offering period or the applicable exercise date.</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three and nine months ended September 30, 2009, the Company issued 1,482 and 2,979 shares under the 2004 ESPP Plan, respectively. There were no shares issued under the 2004 ESPP Plan during the nine months ended September 30, 2008. At September 30, 2009, 6,906 shares were available for issuance under the 2004 ESPP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2008 Plan allows for a maximum of 1,500,000 shares of common stock to be granted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The 2008 Plan also provides for discretionary grants of non-qualified stock options to non-employee directors. Vesting of all employee and non-employee director stock option awards is accelerated upon a change in control as defined in the 2008 Plan.</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connection with the AVANT Merger, the Company assumed the obligations of Celldex Research under Celldex Research’s 2005 Equity Incentive Plan (the “Celldex Research 2005 Plan”) and each outstanding option to purchase Celldex Research common stock (a “Celldex Research Stock Option”) granted under the Celldex Research 2005 Plan. Each Celldex Research Stock Option assumed by the Company is deemed to constitute an option to acquire, on the same terms and conditions as were applicable under the Celldex Research 2005 Plan, shares of the Company’s common stock that have been adjusted consistent with the ratio at which the Company’s common stock was issued in exchange for Celldex Research’s common stock in the AVANT Merger. As of March 7, 2008, the Company assumed options to acquire 1,446,913 shares of its common stock at a weighted average exercise price of $8.35. The Celldex Research Stock Options generally vest over a two-to four-year period and the term of each option cannot exceed ten years from the date of grant. No additional awards will be issued under the Celldex Research 2005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stock option activity under the 2008 Plan and the Celldex Research 2005 Plan for the nine months ended September 30, 2009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888" w:orient="portrait"/>
          <w:cols w:equalWidth="0" w:num="1">
            <w:col w:w="11400"/>
          </w:cols>
          <w:pgMar w:left="240" w:top="125"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28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285"/>
              <w:spacing w:after="0" w:line="149" w:lineRule="exact"/>
              <w:rPr>
                <w:sz w:val="20"/>
                <w:szCs w:val="20"/>
                <w:color w:val="auto"/>
              </w:rPr>
            </w:pPr>
            <w:r>
              <w:rPr>
                <w:rFonts w:ascii="Arial" w:cs="Arial" w:eastAsia="Arial" w:hAnsi="Arial"/>
                <w:sz w:val="14"/>
                <w:szCs w:val="14"/>
                <w:b w:val="1"/>
                <w:bCs w:val="1"/>
                <w:color w:val="auto"/>
                <w:w w:val="86"/>
              </w:rPr>
              <w:t>Exercise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02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w w:val="94"/>
              </w:rPr>
              <w:t>Per Share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8.39</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714,325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8.50</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8.16</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Canceled/forfeited</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(32,013)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8.75</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8.16</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8.42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September 30, 2009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2,497,869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8.43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Options Exercisable at September 30, 2009</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8.47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145,143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rPr>
              <w:t>Weighted Average Fair Value of Options Granted During the nine months ended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September 30, 2009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options outstanding at September 30, 2009 was $12,918.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to Executive Officers</w:t>
      </w:r>
    </w:p>
    <w:p>
      <w:pPr>
        <w:spacing w:after="0" w:line="225" w:lineRule="exact"/>
        <w:rPr>
          <w:sz w:val="20"/>
          <w:szCs w:val="20"/>
          <w:color w:val="auto"/>
        </w:rPr>
      </w:pPr>
    </w:p>
    <w:p>
      <w:pPr>
        <w:ind w:right="260" w:firstLine="630"/>
        <w:spacing w:after="0" w:line="277" w:lineRule="auto"/>
        <w:rPr>
          <w:sz w:val="20"/>
          <w:szCs w:val="20"/>
          <w:color w:val="auto"/>
        </w:rPr>
      </w:pPr>
      <w:r>
        <w:rPr>
          <w:rFonts w:ascii="Arial" w:cs="Arial" w:eastAsia="Arial" w:hAnsi="Arial"/>
          <w:sz w:val="18"/>
          <w:szCs w:val="18"/>
          <w:color w:val="auto"/>
        </w:rPr>
        <w:t>In January 2009, the Company granted 29,340 shares of common stock from the 2008 Plan to its executive officers. The value of these shares was $0.3 million on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employee and non-employee stock options and employee stock purchases for the three and nine months ended September 30, 2009 and 2008,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5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1,574</w:t>
            </w: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Impact on basic and diluted net loss per common share</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(0.12)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In connection with the AVANT Merger, the Company accounted for the exchange of Celldex Research Stock Options into options to acquire shares of the Company’s common stock as a modification. The modification affected a total of 15 employees, including members of the Celldex Research board of directors. The total incremental compensation cost resulting from the modifications was $2.6 million, of which $0.9 million was related to vested awards and was recognized immediately as stock-based compensation during the three months ended March 31, 2008.</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September 30, 2009, total compensation cost related to non-vested employee and non-employee director stock options not yet recognized was $4.0 million, net of estimated forfeitures, which is expected to be recognized as expense over a weighted average period of 2.8 years. The total fair value of employee and non-employee director stock options vested during the three and nine months ended September 30, 2009 was $0.4 million and $2.3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values of employee and non-employee stock options and employee stock purchases granted during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2008 were valued using the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3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c>
          <w:tcPr>
            <w:tcW w:w="3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(employees)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stock price volatility (non-employee directors)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57-67%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(2004 ESPP)</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option term (employees)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6.1 years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4.8 years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6.1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3.0-6.0 years</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(non-employee directors)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2.7–5.3 years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2.7-6.0 years</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Expected term (2004 ESPP)</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0.5 years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0.5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None</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calculates the expected term using the simplified method for “plain-vanilla” stock options. The simplified method estimates the expected term as the mid-point between the vesting date and the expiration date. The Company uses its daily historical stock price volatility consistent with the expected term of grant as the basis for its expected volatility assumption. The risk-free interest rate is based upon on the yield of U.S. Treasury securities consistent with the expected term of the option. The dividend yield assumption is based on the Company’s history of zero dividend payouts and expectation that no dividends will be paid in the foreseeable future. During the three and nine months ended September 30 2009, forfeitures were estimated based on historical experience by applying a ten and zero percent forfeiture rate to employee and non-employee director stock option awards granted, respectively.</w:t>
      </w:r>
    </w:p>
    <w:p>
      <w:pPr>
        <w:sectPr>
          <w:pgSz w:w="11900" w:h="16838" w:orient="portrait"/>
          <w:cols w:equalWidth="0" w:num="1">
            <w:col w:w="11420"/>
          </w:cols>
          <w:pgMar w:left="240" w:top="320" w:right="239" w:bottom="0" w:gutter="0" w:footer="0" w:header="0"/>
        </w:sectPr>
      </w:pPr>
    </w:p>
    <w:bookmarkStart w:id="8" w:name="page9"/>
    <w:bookmarkEnd w:id="8"/>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Gain on Sale of Intangible Asset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December 31, 2008, the Company had recorded $0.3 million in intangible assets related to the Megan poultry vaccines as a long-lived asset to be disposed of by sale due to the Company’s negotiations with Lohmann Animal Health International (“LAHI”). On January 9, 2009, the Company entered into a purchase agreement (“LAHI Agreement”) to sell its poultry vaccines assets to LAHI. Under the LAHI Agreement, LAHI paid an upfront fee of $0.9 million and agreed to pay potential milestone payments. The Company recorded a gain of $0.6 million related to the LAHI Agreement based on the upfront fee less the net book value of the related asset.</w:t>
      </w:r>
    </w:p>
    <w:p>
      <w:pPr>
        <w:spacing w:after="0" w:line="18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Effective with the AVANT Merger, the Company became a combined group for tax reporting purposes. As a result of the AVANT Merger, all of the prior tax attributes of the combined group will carry forward for potential future use subject to potential limitations.</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Massachusetts and New Jersey are the two states in which the Company primarily operates or has operated and has income tax nexus. Open federal and state return years subject to examination by major tax jurisdictions include the tax years ended December 31, 2006, 2007 and 2008. Carryforward attributes that were generated prior to 2006 may still be adjusted upon examination by the Internal Revenue Service if they either have been or will be used in a future period. The Company is currently not under examination by the Internal Revenue Service or any other jurisdictions for any tax years.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2009 and December 31, 2008.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Revenue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The Company is obligated to maintain a license with CCH with respect to the Glaxo agreement. All licensing fees are included in research and development expense. The term of the Glaxo agreement is through the expiration of the last of the relevant patents covered by the agreement, although Glaxo may terminate the agreement upon 90 days prior written notice.</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May 2005, the Company entered into an agreement whereby an affiliate of PRF purchased an interest in the net royalties the Company will receive on worldwide sales of Rotarix®. Under the PRF agreement, the Company retained 50% of Glaxo milestone payments beginning on the effective date of the agreement with PRF, with 70% and 30% of the remaining balance payable to PRF and CCH, respectively. The Company’s retained interests in Rotarix® net royalties which were not sold to PRF are recorded as product royalty revenue and a corresponding amount that is payable to CCH is recorded as royalty expense, which is included in research and development expense. Product royalty revenue and royalty expense related to the Company’s retained interests in Rotarix® was $1.9 million and $0.9 million for the three months ended September 30, 2009 and 2008 and $5.1 million and $1.7 million for the nine months ended September 30, 2009 and 2008, respectively.</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April 3, 2008, Rotarix® received FDA market approval for the prevention of rotavirus gastroenteritis in infants, which triggered a $1.5 million milestone payment to the Company from Glaxo, 50% of which the Company has retained under its agreement with PRF. During the three months ended June 30, 2008, the Company also recorded $0.2 million in revenue and an offsetting amount in royalty expense for the payable due to CCH for its portion of the Glaxo milestone. The market launch of Rotarix® by Glaxo in the U.S. market during the three months ended September 30, 2008 resulted in a $10 million milestone payment to the Company from PRF, which the Company received on October 1, 2008. As of March 31, 2008, the Company recorded the estimated fair value of the $10 million milestone payment due from PRF of $9.1 million, the purchase accounting value assigned to the PRF milestone payment at the time of the AVANT Merger. During the three months ended September 30, 2008, the Company recognized the balance of $0.9 million as other income in the condensed consolidated statement of operations. The Company has received $60 million in total milestone payments under the PRF agreement. No additional milestone payments are due from PRF under the agreement.</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Royalty rates on Rotarix®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the Company in Australia and certain European countries. The Company is currently evaluating the basis for Glaxo’s action and the Company’s potential remedies. If Glaxo’s position stands, the royalties to which PRF is entitled will no longer be limited by a $27.5 million annual threshold, which the Company projected may have been reached in later years as sales of Rotarix® increased. Irrespective of Glaxo’s position, the Company will still retain approximately 65% of the royalties on worldwide sales of Rotarix® once PRF receives 2.45 times the aggregate cash payments of $60 million it made to the Company, though the potential amount of such residual royalties will be lower if Glaxo’s position stands.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 License and Development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April 16, 2008, the Company and Pfizer entered into a License and Development Agreement (the “Pfizer Agreement”) under which Pfizer was granted an exclusive worldwide license to a therapeutic cancer vaccine candidate, CDX-110, in Phase 2 development for the treatment of glioblastoma multiforme. The Pfizer Agreement</w:t>
      </w:r>
    </w:p>
    <w:p>
      <w:pPr>
        <w:sectPr>
          <w:pgSz w:w="11900" w:h="16838" w:orient="portrait"/>
          <w:cols w:equalWidth="0" w:num="1">
            <w:col w:w="11420"/>
          </w:cols>
          <w:pgMar w:left="240" w:top="121"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w:t>
      </w:r>
    </w:p>
    <w:p>
      <w:pPr>
        <w:spacing w:after="0" w:line="17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w:t>
      </w:r>
    </w:p>
    <w:p>
      <w:pPr>
        <w:spacing w:after="0" w:line="18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Company has determined that its performance obligations under this collaboration should be accounted for as a single unit of accounting. The Company’s deliverables under this collaboration primarily include an exclusive license to its CDX-110 product candidate and its EGFRvIII technologies, research and development services as required under the collaboration and participation in the joint clinical development committee. The Company has estimated that its performance period under the collaboration will be 9.5 years based on an assessment of the period over which the Company will have met its performance obligations under the collaboration. Revenue, including research and development reimbursements, is being recognized on a straight-line basis over this period using the Contingency Adjusted Performance Model (“CAPM”). The $40 million upfront payment, less the $0.9 million in excess fair value for the Company’s common stock discussed above, was recorded as deferred revenue and is being amortized over the 9.5-year performance period at a rate of $1.0 million per quarter.</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agreement also provides for reimbursement by Pfizer of all costs incurred by the Company in connection with the collaboration since the effective date. The Company invoices Pfizer monthly for its reimbursable costs and records the invoiced amount as deferred revenue. These deferred revenue amounts are amortized to revenue over the expected 9.5-year performance period on a straight-line basis using the CAPM model. The Company incurred and invoiced Pfizer reimbursable costs related to the Pfizer collaboration of $0.3 million and $1.5 million for the three months ended September 30, 2009 and 2008 and $3.0 million and $2.8 million for the nine months ended September 30, 2009 and 2008,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product development and licensing agreements revenue under the Pfizer Agreement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5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1,030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9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814</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r>
      <w:tr>
        <w:trPr>
          <w:trHeight w:val="210"/>
        </w:trPr>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2009, the Company had total deferred revenue of $40.2 million related to the Pfizer Agreement.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Pfizer Agreement as discussed further in Note 9, the Company paid a total of $6.9 million in sublicense fees to Duke University and Thomas Jefferson University. The Company recorded these deferred sublicense fees to other assets in the condensed consolidated balance sheets and is amortizing them over the 9.5-year performance period at a rate of $0.2 million per quarter. At September 30, 2009, the unamortized balance of deferred costs was $5.9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 and Gates Grand Challenge Award</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is collaborating on the development of a vaccine, CDX-2401, aimed at providing protection from infection with HIV, the virus known to cause AIDS. This program is in a Bill &amp; Melinda Gates Foundation funded partnership with collaborators at Rockefeller and the Aaron Diamond AIDS Research Center. Preclinical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studies and manufacturing development are in progress and payments to the Company are made on a time and materials basis. The Company recognized grant revenue from Rockefeller of $0.8 million and $0.1 million for the three months ended September 30, 2009 and 2008 and $0.9 million and $0.3 million for the nine months ended September 30, 2009 and 2008, respectively. At September 30, 2009, the Company had total deferred revenue of $0.4 million related to the Rockefeller arrangement.</w:t>
      </w:r>
    </w:p>
    <w:p>
      <w:pPr>
        <w:spacing w:after="0" w:line="183" w:lineRule="exact"/>
        <w:rPr>
          <w:sz w:val="20"/>
          <w:szCs w:val="20"/>
          <w:color w:val="auto"/>
        </w:rPr>
      </w:pPr>
    </w:p>
    <w:p>
      <w:pPr>
        <w:ind w:left="660" w:hanging="59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Collaboration Agreements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has entered into licensing agreements with several universities and research organizations. Under the terms of these agreements,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and continuing patent prosecution costs. In addition, the Company has committed to make potential future milestone payments to third parties of up to approximately $117 million as part of our various collaborations including licensing and development programs. Payments under these agreements generally become due and payable only upon achievement of certain developmental, regulatory and/or commercial milestones. Nonrefundable license fee expense was $0.1 million and $0.2 million for the three months ended September 30, 2009 and 2008 and $0.5 million and $0.5 million for the nine months ended September 30, 2009 and 2008,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wholly-owned subsidiary of Bristol-Myers Squibb (“Medarex”)</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Medarex, a related party to the Company, owns approximately 18.6% of the Company’s outstanding common stock at September 30, 2009. The Company and Medarex have entered into the following agreements, each of which was approved by a majority of its independent directors who did not have an interest in the transaction. These agreements include:</w:t>
      </w:r>
    </w:p>
    <w:p>
      <w:pPr>
        <w:sectPr>
          <w:pgSz w:w="11900" w:h="16904" w:orient="portrait"/>
          <w:cols w:equalWidth="0" w:num="1">
            <w:col w:w="11420"/>
          </w:cols>
          <w:pgMar w:left="240" w:top="517" w:right="239" w:bottom="0" w:gutter="0" w:footer="0" w:header="0"/>
        </w:sectPr>
      </w:pPr>
    </w:p>
    <w:bookmarkStart w:id="10" w:name="page11"/>
    <w:bookmarkEnd w:id="10"/>
    <w:p>
      <w:pPr>
        <w:ind w:left="980" w:right="10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w:t>
      </w:r>
    </w:p>
    <w:p>
      <w:pPr>
        <w:spacing w:after="0" w:line="170" w:lineRule="exact"/>
        <w:rPr>
          <w:rFonts w:ascii="Arial" w:cs="Arial" w:eastAsia="Arial" w:hAnsi="Arial"/>
          <w:sz w:val="18"/>
          <w:szCs w:val="18"/>
          <w:color w:val="auto"/>
        </w:rPr>
      </w:pPr>
    </w:p>
    <w:p>
      <w:pPr>
        <w:ind w:left="980" w:right="180" w:hanging="324"/>
        <w:spacing w:after="0" w:line="342" w:lineRule="auto"/>
        <w:tabs>
          <w:tab w:leader="none" w:pos="9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Research and Commercialization Agreement, as amended, (“Research and Commercialization Agreement”) that provides the Company with certain rights to obtain exclusive commercial licenses to proprietary monoclonal antibodies raised against certain antigens; and</w:t>
      </w:r>
    </w:p>
    <w:p>
      <w:pPr>
        <w:spacing w:after="0" w:line="123" w:lineRule="exact"/>
        <w:rPr>
          <w:rFonts w:ascii="Arial" w:cs="Arial" w:eastAsia="Arial" w:hAnsi="Arial"/>
          <w:sz w:val="16"/>
          <w:szCs w:val="16"/>
          <w:color w:val="auto"/>
        </w:rPr>
      </w:pPr>
    </w:p>
    <w:p>
      <w:pPr>
        <w:ind w:left="980" w:right="2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Master Services Agreement, that sets forth Medarex’s agreement to provide the Company with certain services to be mutually agreed upon, which may include, among others, clinical and regulatory assistance.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Under the terms of the Assignment and License Agreement and Research and Commercialization Agreement, the Company may be required to pay license fees and milestone payments to Medarex with respect to the development of any products containing such licensed antibodies. These fees and milestones may total up to $7 to $10 million per licensed antibody if a product containing such licensed antibody receives approval from the FDA and/or equivalent foreign agencies. Potential future milestone payments may or may not be triggered, vary in size and are generally payable only upon achievement of certain clinical and regulatory milestones. No licensed antibody is currently in clinical development.</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may also be required to pay royalties on any product sales containing licensed antibodies. The royalties will be payable on a country-by-country and product-by-product basis until the date which is the later of: (i) the expiration of the last-to-expire of the Medarex patents covering the product in such country or (ii) the tenth anniversary of the first commercial sale of a product in such country. The Company will also be responsible for the payment of any royalties, license fees and milestone and other payments due to third parties if the Company licenses any additional technology in order to commercialize such products. To date, the Company has not made any royalty payments on sales of any products and believes it is at least a number of years away from selling any products that would require the Company to make any such royalty payments. Whether the Company will be obligated to make milestone or royalty payments in the future is subject to the success of the Company’s product development efforts and, accordingly, is inherently uncertain.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and Medarex entered into a settlement and mutual release agreement on October 19, 2007, whereby the parties agreed to a settlement with respect to a disputed return of capital related to certain unsuccessful initial public offering costs that were funded by Medarex on behalf of the Company in prior years. The Company issued to Medarex 351,692 shares of the Company’s common stock equal in value to $3.0 million, based on the per share price of $8.64 set on the second trading day prior to the closing date of the AVANT Merger. Both parties have agreed to mutual releases under the settlement and mutual release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payable due Medarex related to the Master Services Agreement of $3.0 million at September 30, 2009 and December 31,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October 2009, the Company paid Medarex the $3.0 million owed under the Master Services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November 1,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In addition, the Company acknowledges that Rockefeller has granted Howard Hughes Medical Institute (“HHMI”) a paid-up, nonexclusive, irrevocable license to use the patent rights, biological materials, and technical information for HHMI’s research purposes, but with no right to sublicense. The Company may be required to pay milestone payments to Rockefeller with respect to development of the human DEC-205 receptor. The Company may also be required to pay royalties on any product sales. The royalties will be payable on a country-by-country and licensed product-by-licensed product basis until the date which is the later of (i) the expiration of the last to expire of the patents covering the licensed product in such country or (ii) ten years following the first commercial sale of a licensed product in such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of Duke University (“Duke”)</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On September 1, 2006, the Company and Duke entered into a license agreement that gave the Company access and reference to the clinical data generated by Duke and its collaborators in order for the Company to generate its own filing with the FDA relating to its CDX-110 product. The Company may be required to pay license fees and milestone payments to Duke with respect to development of the CDX-110 product. The Company may also be required to pay royalties upon approval of CDX-110. The royalties will be payable on a country-by-country and licensed product-by-licensed product basis until the date of the expiration of the last to expire of the patents covering the licensed product in such country.</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Pfizer Agreement discussed in Note 8, the Company determined that $2.4 million was payable to Duke as a sublicense fee. As provided for under the Duke license, the Company paid 50% of this amount to Duke in the form of 81,512 shares of the Company’s common stock in October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On October 20, 2006, the Company and Ludwig entered into an agreement for the nonexclusive rights to six cancer tumor targets for use in combination with the Company’s APC Targeting Technology. The term of the agreement is for ten years. Under the Ludwig license, the Company may be required to pay milestone payments to Ludwig for the use of the cancer targets in combination with the Company’s technology.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October 2005, the Company completed the acquisition of Alteris. The Company may be required to pay Alteris up to $5.0 million upon obtaining the first approval for commercial sale of an EGFRvIII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February 2003, the Company entered into three exclusive license agreements with TJU. Under these licenses, the Company may be required to pay TJU milestone payments with respect to development of the licensed product as well as royalties on net sales of licensed products during the term of the license agreements. In the event that TJU provides notice of default and the default is not cured within 60 days of such notice, TJU may terminate the license agreements.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the Pfizer Agreement discussed in Note 8, the Company amended its licenses with TJU to add additional sublicensing rights and paid $4.5 million in sublicense fees to TJU in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 (“3M Company”)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11, 2008, the Company and 3M Company entered into a license agreement for the exclusive worldwide rights to access 3M Company’s proprietary Immune Response Modifier, Resiquimod™, (and additional Toll-Like Receptor 7/8 agonists (“TLR”)) for clinical study with the Company’s proprietary APC Targeting Technology, for use as vaccine adjuvants, with the right to sublicense the technology. The Company may be required to pay milestone payments to 3M Company with respect to development of Resiquimod™.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November 2008, the Company entered into an Exclusive Patent and Know-How License Agreement with Southampton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the Company’s other immunotherapies. The Company may be required to pay milestone payments to Southampton with respect to development of CD27. The Company may also be required to pay royalties upon approval of any product candidate. The royalties will be payable on a country-by-country and licensed product-by-licensed product basis until the date of the expiration of the last to expire of the patents covering the licensed product in such country.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March 2009, the Company entered into a license agreement with Amgen to expand its Precision Targeted Immunotherapy Platform by acquiring exclusive rights to FMS-like tyrosine kinase 3 ligand (Flt3L) and CD40 ligand (CD40L). Flt3L and CD40L are immune modulating molecules that increase the numbers and activity of immune cells that control immune responses. The Company may be required to pay milestone and royalty payments to Amgen with respect to development and commercialization of Flt3L and CD40L.</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Arrangements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Dr. Ronald C. Newbold, former Senior Vice President, Business Development, resigned from his position effective March 1, 2009 pursuant to the provision of his employment agreement that deems a resignation within the year following a change of control (in this case, the AVANT Merger) as a termination resulting from a change of control. In accordance with Dr. Newbold’s employment agreement, the Company recorded severance expense during the three months ended March 31, 2009 of $0.4 million. In addition, the Company recorded stock-based compensation expense during the three months ended March 31, 2009 of $0.4 million related to the acceleration of vesting of options to purchase 107,485 shares of Company common stock as provided for under Dr. Newbold’s employment agreement.</w:t>
      </w:r>
    </w:p>
    <w:p>
      <w:pPr>
        <w:spacing w:after="0" w:line="193"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 and Dr. Una S. Ryan, former President and Chief Executive Officer of the Company, executed a separation agreement effective July 16, 2008 (the “Separation Agreement”) setting forth such terms regarding Dr. Ryan’s separation from the Company. Pursuant to the Separation Agreement, the Company recorded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severance expense during the three months ended June 30, 2008 of $1.4 million. The Separation Agreement also provided for the vesting of options to purchase 153,125 shares of Company common stock (of the options to purchase 612,500 shares of Company common stock which had been granted to</w:t>
      </w:r>
    </w:p>
    <w:p>
      <w:pPr>
        <w:ind w:right="20"/>
        <w:spacing w:after="0" w:line="255" w:lineRule="auto"/>
        <w:rPr>
          <w:sz w:val="20"/>
          <w:szCs w:val="20"/>
          <w:color w:val="auto"/>
        </w:rPr>
      </w:pPr>
      <w:r>
        <w:rPr>
          <w:rFonts w:ascii="Arial" w:cs="Arial" w:eastAsia="Arial" w:hAnsi="Arial"/>
          <w:sz w:val="18"/>
          <w:szCs w:val="18"/>
          <w:color w:val="auto"/>
        </w:rPr>
        <w:t>Dr. Ryan on March 7, 2008). The remainder of Dr. Ryan’s options terminated as of July 16, 2008. The Company recorded stock-based compensation expense of $1.3 million to general and administrative expense related to the acceleration of vesting of options in July 2008, when the criteria for establishing a grant date were met.</w:t>
      </w:r>
    </w:p>
    <w:p>
      <w:pPr>
        <w:spacing w:after="0" w:line="18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AVANT Merger</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AVANT Merger, the Company acquired the CDX-1135, cholera, ETEC, typhoid fever and cholesterol management vaccine programs. In January 2009, the Company out-licensed its cholera and ETEC vaccine programs to VTI and no longer expects to incur significant costs on these projects. The Company is presently seeking partners for its typhoid fever and cholesterol management vaccine programs to complete the clinical development and commercialization of these projects. The Company does not expect to incur significant costs on these programs going forward. The Company is continuing the development of CDX-1135 and expects to incur approximately $6.3 million to move this project to the point of potentially out-licensing it to a third party. Estimated revenues from the typhoid-ETEC-cholera vaccine, the cholesterol management vaccine, and CDX-1135 are expected to be generated beginning in 2014, 2015 and 2014, respectively.</w:t>
      </w:r>
    </w:p>
    <w:p>
      <w:pPr>
        <w:spacing w:after="0" w:line="18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CuraGen Merger</w:t>
      </w:r>
    </w:p>
    <w:p>
      <w:pPr>
        <w:sectPr>
          <w:pgSz w:w="11900" w:h="16838" w:orient="portrait"/>
          <w:cols w:equalWidth="0" w:num="1">
            <w:col w:w="11400"/>
          </w:cols>
          <w:pgMar w:left="240" w:top="368" w:right="259" w:bottom="77" w:gutter="0" w:footer="0" w:header="0"/>
        </w:sectPr>
      </w:pPr>
    </w:p>
    <w:bookmarkStart w:id="12" w:name="page13"/>
    <w:bookmarkEnd w:id="12"/>
    <w:p>
      <w:pPr>
        <w:ind w:right="120" w:firstLine="648"/>
        <w:spacing w:after="0" w:line="291" w:lineRule="auto"/>
        <w:rPr>
          <w:sz w:val="20"/>
          <w:szCs w:val="20"/>
          <w:color w:val="auto"/>
        </w:rPr>
      </w:pPr>
      <w:r>
        <w:rPr>
          <w:rFonts w:ascii="Arial" w:cs="Arial" w:eastAsia="Arial" w:hAnsi="Arial"/>
          <w:sz w:val="16"/>
          <w:szCs w:val="16"/>
          <w:color w:val="auto"/>
        </w:rPr>
        <w:t>In connection with the CuraGen Merger, effective October 1, 2009, the Company (i) issued 15,722,713 shares of common stock of the Company, or 0.2739 shares, in exchange for each share of outstanding CuraGen common stock, plus cash in lieu of fractional shares (the “CuraGen Exchange Ratio”),</w:t>
      </w:r>
    </w:p>
    <w:p>
      <w:pPr>
        <w:jc w:val="both"/>
        <w:ind w:right="40" w:firstLine="8"/>
        <w:spacing w:after="0" w:line="255"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assumed all of the CuraGen stock options outstanding under the CuraGen 2007 Stock Plan (the “CuraGen 2007 Options”), and (iii) assumed an obligation for the $12.5 million in CuraGen 4% convertible subordinated debt due in February 2011 (the “CuraGen Debt”). The CuraGen 2007 Options are exercisable into 931,315 shares of the Company’s common stock after applying the CuraGen Exchange Ratio.</w:t>
      </w:r>
    </w:p>
    <w:p>
      <w:pPr>
        <w:spacing w:after="0" w:line="190"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In connection with the consummation of the CuraGen Merger, effective October 1, 2009, Celldex, CuraGen, and The Bank of New York Mellon (formerly the Bank of New York) (the “Trustee”) amended the CuraGen Debt to provide that the CuraGen Debt shall be convertible into shares of Celldex common stock at the rate of 28.27823 shares of Celldex common stock per $1,000 principal amount of notes, or $35.36 per share.</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Based on the closing price of the Company’s common stock on October 1, 2009 of $5.43, the fair value of the shares issued was $85.4 million. The Company will apply acquisition accounting as of October 1, 2009. Accordingly, the results of operations of CuraGen will be included in the results of operations of the Company beginning October 1, 2009.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sufficient capital on terms acceptable to us, or at all;</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integrate our and CuraGen’s businesses, to integrate our and CuraGen’s business without causing delays in the research and development necessary to select drug development candidates and/or delays in clinical trials, and to operate the combined business efficiently;</w:t>
      </w:r>
    </w:p>
    <w:p>
      <w:pPr>
        <w:spacing w:after="0" w:line="181"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adapt our vectoring systems to develop new, safe and effective orally administered vaccines against disease causing agents;</w:t>
      </w:r>
    </w:p>
    <w:p>
      <w:pPr>
        <w:spacing w:after="0" w:line="236" w:lineRule="exact"/>
        <w:rPr>
          <w:rFonts w:ascii="Arial" w:cs="Arial" w:eastAsia="Arial" w:hAnsi="Arial"/>
          <w:sz w:val="17"/>
          <w:szCs w:val="17"/>
          <w:color w:val="auto"/>
        </w:rPr>
      </w:pPr>
    </w:p>
    <w:p>
      <w:pPr>
        <w:ind w:left="980" w:right="140" w:hanging="324"/>
        <w:spacing w:after="0" w:line="264"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CDX-110, CDX-1307, Ty800, CDX-1135 (formerly TP10), CDX-1401 and other products and the growth of the markets for those product candidates;</w:t>
      </w:r>
    </w:p>
    <w:p>
      <w:pPr>
        <w:spacing w:after="0" w:line="181"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CDX-110, CDX-1307, Ty800, CDX-1135, CDX-1401 and other preclinical and clinical testing, some of which are not managed by us;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 including our cholesterol management vaccine, CETi;</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25" w:lineRule="exact"/>
        <w:rPr>
          <w:rFonts w:ascii="Arial" w:cs="Arial" w:eastAsia="Arial" w:hAnsi="Arial"/>
          <w:sz w:val="18"/>
          <w:szCs w:val="18"/>
          <w:color w:val="auto"/>
        </w:rPr>
      </w:pPr>
    </w:p>
    <w:p>
      <w:pPr>
        <w:jc w:val="both"/>
        <w:ind w:left="980" w:right="320" w:hanging="324"/>
        <w:spacing w:after="0" w:line="264"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Pfizer’s plans for CDX-110, GlaxoSmithKline’s plans with respect to Rotarix® and Vaccine Technologies’ plans concerning the CholeraGarde® (Peru-15) and ETEC E. coli vaccines, which are not within our control, and our ability to maintain strong, mutually beneficial relationships with those partners;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ectPr>
          <w:pgSz w:w="11900" w:h="16838" w:orient="portrait"/>
          <w:cols w:equalWidth="0" w:num="1">
            <w:col w:w="11420"/>
          </w:cols>
          <w:pgMar w:left="240" w:top="125" w:right="239" w:bottom="44" w:gutter="0" w:footer="0" w:header="0"/>
        </w:sectPr>
      </w:pPr>
    </w:p>
    <w:bookmarkStart w:id="13" w:name="page14"/>
    <w:bookmarkEnd w:id="13"/>
    <w:p>
      <w:pPr>
        <w:ind w:left="980" w:right="6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2008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a biopharmaceutical company that uses novel applications of immunology to develop products for the prevention and treatment of diseases. Using our Precision Targeted Immunotherapy Platform, we are developing a broad portfolio of vaccines, therapeutic antibodies and other targeted immunotherapeutics addressing a wide range of applications including oncology, inflammatory and infectious diseases. These include therapeutic cancer vaccines, monoclonal antibodies, single-dose, oral vaccines that protect against important disease-causing infectious agents and a treatment to reduce complement-mediated tissue damage. We are advancing a robust pipeline of clinical and preclinical product candidates, the most advanced of which are for treatment of various cancers. Our lead programs are therapeutic cancer vaccines designed to instruct the patient’s immune system to recognize and destroy cancer cells.</w:t>
      </w:r>
    </w:p>
    <w:p>
      <w:pPr>
        <w:spacing w:after="0" w:line="189"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Our strategy is to demonstrate proof-of-concept for our product candidates before leveraging their value through partnerships or, in appropriate situations, continuing late stage development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Our current collaborations encompass the commercialization of an oral human rotavirus vaccine, the development of oral cholera, ETEC and HIV vaccines, and a therapeutic brain cancer vaccine. Our product candidates generally address large market opportunities for which we believe current therapies are inadequate or non-existent.</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targeting our efforts where we can add the greatest value to the development of our products and technologies. We out-license technology and programs that do not match our development focus or where we lack sufficient resources for the technology’s or program’s efficient development or where certain uses of the technology are outside of our focus. Our goal is to demonstrate clinical proof-of-concept for each product, and then seek excellent partners to help see those products through to commercialization.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between AVANT and Celldex</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March 7, 2008, we (formerly known as AVANT Immunotherapeutics, Inc.) (“AVANT”) merged with and into Celldex Research Corporation (formerly known as Celldex Therapeutics, Inc.) (“Celldex Research”), a privately-held company, (the “AVANT Merger”). Effective October 1, 2008, we changed our name from AVANT Immunotherapeutics, Inc. to Celldex Therapeutics, Inc.</w:t>
      </w:r>
    </w:p>
    <w:p>
      <w:pPr>
        <w:spacing w:after="0" w:line="18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AVANT Merger was accounted for using the purchase method of accounting and was treated as an acquisition by Celldex Research of AVANT even though AVANT was the issuer of common stock and the surviving legal entity in the transaction. Because Celldex Research was determined to be the acquirer for accounting purposes, the historical financial statements of Celldex Research became our historical financial as of the closing of the AVANT Merger. Accordingly, our financial statements prior to the AVANT Merger reflect the financial position, results of operations and cash flows of Celldex Research, which during the historical periods presented in the accompanying consolidated financial statements, was then majority-owned by Medarex, Inc. (“Medarex”). Following the AVANT Merger, the financial statements reflect the financial position, results of operation and cash flows of the combined companies. The results of operations of AVANT are included in our results of operations beginning March 8,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between us and CuraGen</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On October 1, 2009, CuraGen Corporation (“CuraGen”), a former publicly-traded company, merged with a wholly-owned subsidiary of us (the “CuraGen Merger”) in accordance with a definitive merger agreement dated May 28, 2009 (the “CuraGen Merger Agreement”). In connection with the CuraGen Merger, effective October 1, 2009, we (i) issued 15,722,713 shares of our common stock, or 0.2739 shares, in exchange for each share of outstanding CuraGen common stock, plus cash in lieu of fractional shares (the “CuraGen Exchange Ratio”), (ii) assumed all of the CuraGen stock options outstanding under the CuraGen 2007 Stock Plan (the “CuraGen 2007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Options”), and (iii) assumed the obligations of the $12.5 million in CuraGen 4% convertible subordinated debt due in February 2011 (the “CuraGen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CuraGen 2007 Options are exercisable into 931,315 shares of our common stock after applying the CuraGen Exchange Ratio.</w:t>
      </w:r>
    </w:p>
    <w:p>
      <w:pPr>
        <w:spacing w:after="0" w:line="211"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In connection with the consummation of the CuraGen Merger, effective October 1, 2009, Celldex, CuraGen, and The Bank of New York Mellon (formerly the Bank of New York) (the “Trustee”) amended the CuraGen Debt to provide that the CuraGen Debt shall be convertible into shares of Celldex common stock at the rate of 28.27823 shares of Celldex common stock per $1,000 principal amount of notes, or $35.36 per share.</w:t>
      </w:r>
    </w:p>
    <w:p>
      <w:pPr>
        <w:sectPr>
          <w:pgSz w:w="11900" w:h="16838" w:orient="portrait"/>
          <w:cols w:equalWidth="0" w:num="1">
            <w:col w:w="11420"/>
          </w:cols>
          <w:pgMar w:left="240" w:top="125" w:right="239" w:bottom="0" w:gutter="0" w:footer="0" w:header="0"/>
        </w:sectPr>
      </w:pPr>
    </w:p>
    <w:bookmarkStart w:id="14" w:name="page15"/>
    <w:bookmarkEnd w:id="14"/>
    <w:p>
      <w:pPr>
        <w:ind w:right="160" w:firstLine="648"/>
        <w:spacing w:after="0" w:line="264" w:lineRule="auto"/>
        <w:rPr>
          <w:sz w:val="20"/>
          <w:szCs w:val="20"/>
          <w:color w:val="auto"/>
        </w:rPr>
      </w:pPr>
      <w:r>
        <w:rPr>
          <w:rFonts w:ascii="Arial" w:cs="Arial" w:eastAsia="Arial" w:hAnsi="Arial"/>
          <w:sz w:val="18"/>
          <w:szCs w:val="18"/>
          <w:color w:val="auto"/>
        </w:rPr>
        <w:t>Based on the closing price of the Company’s common stock on October 1, 2009 of $5.43, the fair value of the shares issued was $85.4 million. The Company will apply acquisition accounting as of October 1, 2009. Accordingly, the results of operations of CuraGen will be included in the results of operations of the Company beginning October 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PROGRAMS AND PARTNERSHIPS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products are derived from a broad set of complementary technologies which have the ability to utilize the human immune system and enable the creation of preventative and therapeutic agents. We are using these technologies to develop vaccines and targeted immunotherapeutics that prevent or treat cancer and disease caused by infectious organisms, and treatment vaccines that modify undesirable activity by the body’s own proteins or cells. A number of our immunotherapeutic and vaccine product candidates are in various stages of clinical trials. We expect that a large percentage of our research and development expenses will be incurred in support of our current and future clinical trial programs.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table of our currently active programs: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Technology</w:t>
            </w:r>
          </w:p>
        </w:tc>
        <w:tc>
          <w:tcPr>
            <w:tcW w:w="160" w:type="dxa"/>
            <w:vAlign w:val="bottom"/>
          </w:tcPr>
          <w:p>
            <w:pPr>
              <w:spacing w:after="0"/>
              <w:rPr>
                <w:sz w:val="14"/>
                <w:szCs w:val="14"/>
                <w:color w:val="auto"/>
              </w:rPr>
            </w:pPr>
          </w:p>
        </w:tc>
        <w:tc>
          <w:tcPr>
            <w:tcW w:w="1640" w:type="dxa"/>
            <w:vAlign w:val="bottom"/>
          </w:tcPr>
          <w:p>
            <w:pPr>
              <w:ind w:left="580"/>
              <w:spacing w:after="0"/>
              <w:rPr>
                <w:sz w:val="20"/>
                <w:szCs w:val="20"/>
                <w:color w:val="auto"/>
              </w:rPr>
            </w:pPr>
            <w:r>
              <w:rPr>
                <w:rFonts w:ascii="Arial" w:cs="Arial" w:eastAsia="Arial" w:hAnsi="Arial"/>
                <w:sz w:val="14"/>
                <w:szCs w:val="14"/>
                <w:b w:val="1"/>
                <w:bCs w:val="1"/>
                <w:color w:val="auto"/>
              </w:rPr>
              <w:t>Product</w:t>
            </w:r>
          </w:p>
        </w:tc>
        <w:tc>
          <w:tcPr>
            <w:tcW w:w="180" w:type="dxa"/>
            <w:vAlign w:val="bottom"/>
          </w:tcPr>
          <w:p>
            <w:pPr>
              <w:spacing w:after="0"/>
              <w:rPr>
                <w:sz w:val="14"/>
                <w:szCs w:val="14"/>
                <w:color w:val="auto"/>
              </w:rPr>
            </w:pPr>
          </w:p>
        </w:tc>
        <w:tc>
          <w:tcPr>
            <w:tcW w:w="3680" w:type="dxa"/>
            <w:vAlign w:val="bottom"/>
          </w:tcPr>
          <w:p>
            <w:pPr>
              <w:ind w:left="13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2460" w:type="dxa"/>
            <w:vAlign w:val="bottom"/>
            <w:gridSpan w:val="2"/>
          </w:tcPr>
          <w:p>
            <w:pPr>
              <w:ind w:left="900"/>
              <w:spacing w:after="0"/>
              <w:rPr>
                <w:sz w:val="20"/>
                <w:szCs w:val="20"/>
                <w:color w:val="auto"/>
              </w:rPr>
            </w:pPr>
            <w:r>
              <w:rPr>
                <w:rFonts w:ascii="Arial" w:cs="Arial" w:eastAsia="Arial" w:hAnsi="Arial"/>
                <w:sz w:val="14"/>
                <w:szCs w:val="14"/>
                <w:b w:val="1"/>
                <w:bCs w:val="1"/>
                <w:color w:val="auto"/>
              </w:rPr>
              <w:t>Partner</w:t>
            </w:r>
          </w:p>
        </w:tc>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CDX-110</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Glioblastoma multiforme</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Pfizer</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CDX-1307</w:t>
            </w:r>
          </w:p>
        </w:tc>
        <w:tc>
          <w:tcPr>
            <w:tcW w:w="3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Colorectal, bladder, pancreas, ovarian and breast</w:t>
            </w:r>
          </w:p>
        </w:tc>
        <w:tc>
          <w:tcPr>
            <w:tcW w:w="1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tumors</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CDX-1401</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Multiple solid tumors</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CDX-1127</w:t>
            </w:r>
          </w:p>
        </w:tc>
        <w:tc>
          <w:tcPr>
            <w:tcW w:w="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Immuno-modulation, multiple tumors</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CR011*</w:t>
            </w:r>
          </w:p>
        </w:tc>
        <w:tc>
          <w:tcPr>
            <w:tcW w:w="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Metastatic melanoma and breast cancer</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CR014*</w:t>
            </w:r>
          </w:p>
        </w:tc>
        <w:tc>
          <w:tcPr>
            <w:tcW w:w="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Renal and ovarian cancer</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INFLAMMATORY</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CDX-1135</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Transplantation</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DISEASE</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(formerly TP10)</w:t>
            </w:r>
          </w:p>
        </w:tc>
        <w:tc>
          <w:tcPr>
            <w:tcW w:w="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Renal disease</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CDX-1189</w:t>
            </w:r>
          </w:p>
        </w:tc>
        <w:tc>
          <w:tcPr>
            <w:tcW w:w="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Renal disease</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INFECTIOUS</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CholeraGarde</w:t>
            </w:r>
            <w:r>
              <w:rPr>
                <w:rFonts w:ascii="Arial" w:cs="Arial" w:eastAsia="Arial" w:hAnsi="Arial"/>
                <w:sz w:val="25"/>
                <w:szCs w:val="25"/>
                <w:color w:val="auto"/>
                <w:vertAlign w:val="superscript"/>
              </w:rPr>
              <w:t>®</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Cholera infection</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Vaccine Technologies</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DISEASE</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ETEC</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Enterotoxigenic </w:t>
            </w:r>
            <w:r>
              <w:rPr>
                <w:rFonts w:ascii="Arial" w:cs="Arial" w:eastAsia="Arial" w:hAnsi="Arial"/>
                <w:sz w:val="18"/>
                <w:szCs w:val="18"/>
                <w:i w:val="1"/>
                <w:iCs w:val="1"/>
                <w:color w:val="auto"/>
              </w:rPr>
              <w:t>E coli</w:t>
            </w:r>
            <w:r>
              <w:rPr>
                <w:rFonts w:ascii="Arial" w:cs="Arial" w:eastAsia="Arial" w:hAnsi="Arial"/>
                <w:sz w:val="18"/>
                <w:szCs w:val="18"/>
                <w:color w:val="auto"/>
              </w:rPr>
              <w:t xml:space="preserve"> infection</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Vaccine Technologies</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Ty800</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Typhoid fever infection</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Phase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CDX-2401</w:t>
            </w: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HIV infection</w:t>
            </w:r>
          </w:p>
        </w:tc>
        <w:tc>
          <w:tcPr>
            <w:tcW w:w="2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Rockefeller University</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MARKETED</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198" w:lineRule="exact"/>
              <w:rPr>
                <w:sz w:val="20"/>
                <w:szCs w:val="20"/>
                <w:color w:val="auto"/>
              </w:rPr>
            </w:pPr>
            <w:r>
              <w:rPr>
                <w:rFonts w:ascii="Arial" w:cs="Arial" w:eastAsia="Arial" w:hAnsi="Arial"/>
                <w:sz w:val="13"/>
                <w:szCs w:val="13"/>
                <w:color w:val="auto"/>
              </w:rPr>
              <w:t>Rotarix</w:t>
            </w:r>
            <w:r>
              <w:rPr>
                <w:rFonts w:ascii="Arial" w:cs="Arial" w:eastAsia="Arial" w:hAnsi="Arial"/>
                <w:sz w:val="22"/>
                <w:szCs w:val="22"/>
                <w:color w:val="auto"/>
                <w:vertAlign w:val="superscript"/>
              </w:rPr>
              <w:t>®</w:t>
            </w:r>
          </w:p>
        </w:tc>
        <w:tc>
          <w:tcPr>
            <w:tcW w:w="386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8"/>
                <w:szCs w:val="18"/>
                <w:color w:val="auto"/>
              </w:rPr>
              <w:t>Rotavirus infection</w:t>
            </w:r>
          </w:p>
        </w:tc>
        <w:tc>
          <w:tcPr>
            <w:tcW w:w="2620" w:type="dxa"/>
            <w:vAlign w:val="bottom"/>
            <w:gridSpan w:val="3"/>
            <w:shd w:val="clear" w:color="auto" w:fill="CCEEFF"/>
          </w:tcPr>
          <w:p>
            <w:pPr>
              <w:ind w:left="160"/>
              <w:spacing w:after="0" w:line="198" w:lineRule="exact"/>
              <w:rPr>
                <w:sz w:val="20"/>
                <w:szCs w:val="20"/>
                <w:color w:val="auto"/>
              </w:rPr>
            </w:pPr>
            <w:r>
              <w:rPr>
                <w:rFonts w:ascii="Arial" w:cs="Arial" w:eastAsia="Arial" w:hAnsi="Arial"/>
                <w:sz w:val="18"/>
                <w:szCs w:val="18"/>
                <w:color w:val="auto"/>
              </w:rPr>
              <w:t>GlaxoSmithKline</w:t>
            </w:r>
          </w:p>
        </w:tc>
        <w:tc>
          <w:tcPr>
            <w:tcW w:w="1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Marketed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Acquired effective October 1, 2009 in the CuraGen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6"/>
              </w:rPr>
              <w:t>1 - 2 Years</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520" w:type="dxa"/>
            <w:vAlign w:val="bottom"/>
            <w:gridSpan w:val="2"/>
          </w:tcPr>
          <w:p>
            <w:pPr>
              <w:ind w:left="580"/>
              <w:spacing w:after="0"/>
              <w:rPr>
                <w:sz w:val="20"/>
                <w:szCs w:val="20"/>
                <w:color w:val="auto"/>
              </w:rPr>
            </w:pPr>
            <w:r>
              <w:rPr>
                <w:rFonts w:ascii="Arial" w:cs="Arial" w:eastAsia="Arial" w:hAnsi="Arial"/>
                <w:sz w:val="18"/>
                <w:szCs w:val="18"/>
                <w:color w:val="auto"/>
              </w:rPr>
              <w:t>1 - 5 Years</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w:t>
      </w:r>
    </w:p>
    <w:p>
      <w:pPr>
        <w:sectPr>
          <w:pgSz w:w="11900" w:h="16838" w:orient="portrait"/>
          <w:cols w:equalWidth="0" w:num="1">
            <w:col w:w="11420"/>
          </w:cols>
          <w:pgMar w:left="240" w:top="125" w:right="239" w:bottom="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financial success are not substantially dependent on any one product candidate. To the extent we are unable to maintain a broad range of product candidates, our dependence on the success of one or a few product candidates increases.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past five years through December 31, 2008, we incurred an aggregate of $55.6 million in research and development expenses. The following table indicates the amount incurred for each of our significant research programs and for other identified research and development activities during the year ended December 31, 2008 and the nine months ended September 30, 2009 and 2008. The amounts disclosed in the following table reflect direct research and development costs, license fees associated with the underlying technology and an allocation of indirect research and development costs to each program. Prior to 2008, the privately-held Celldex Research did not maintain records that allowed for quantification of research and development expenses by project.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200" w:type="dxa"/>
            <w:vAlign w:val="bottom"/>
            <w:gridSpan w:val="7"/>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Oncology:</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CDX-110</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6,353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CDX-1307</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CDX-1401</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3,337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CDX-1127</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Inflammatory Disease: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CDX-1135</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CDX-1189</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Infectious Disease: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Bacterial Vaccines (CholeraGarde®/ETEC/Ty800)</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CDX-2401</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Marketed Products: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Rotarix®</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Other Programs: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1,977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23,729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Vaccine Development Programs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CDX-110: </w:t>
      </w:r>
      <w:r>
        <w:rPr>
          <w:rFonts w:ascii="Arial" w:cs="Arial" w:eastAsia="Arial" w:hAnsi="Arial"/>
          <w:sz w:val="17"/>
          <w:szCs w:val="17"/>
          <w:color w:val="auto"/>
        </w:rPr>
        <w:t>Our lead clinical development program, CDX-110, is a peptide-based immunotherapy that targets the tumor specific molecule called</w:t>
      </w:r>
      <w:r>
        <w:rPr>
          <w:rFonts w:ascii="Arial" w:cs="Arial" w:eastAsia="Arial" w:hAnsi="Arial"/>
          <w:sz w:val="17"/>
          <w:szCs w:val="17"/>
          <w:i w:val="1"/>
          <w:iCs w:val="1"/>
          <w:color w:val="auto"/>
        </w:rPr>
        <w:t xml:space="preserve"> </w:t>
      </w:r>
      <w:r>
        <w:rPr>
          <w:rFonts w:ascii="Arial" w:cs="Arial" w:eastAsia="Arial" w:hAnsi="Arial"/>
          <w:sz w:val="17"/>
          <w:szCs w:val="17"/>
          <w:color w:val="auto"/>
        </w:rPr>
        <w:t>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April 16, 2008, we and Pfizer Inc. (“Pfizer”) entered into a License and Development Agreement (the “Pfizer Agreement”) under which Pfizer was granted an exclusive worldwide license to CDX-110. The Pfizer Agreement also gives Pfizer exclusive rights to the use of EGFRvIII vaccines in other potential indications. Pfizer funds all development costs for these programs. We and Pfizer are currently pursuing the development of CDX-110 for GBM therapy and plan to expand the clinical development into other cancers through additional clinical studies. The FDA has granted orphan drug designation for CDX-110 for the treatment of EGFRvIII expressing GBM as well as fast track designation.</w:t>
      </w:r>
    </w:p>
    <w:p>
      <w:pPr>
        <w:spacing w:after="0" w:line="173"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We initiated a Phase 2b/3 randomized study (ACT III) of CDX-110 combined with standard of care, temozolomide, versus standard of care alone in patients with GBM in over 30 sites throughout the United States. In December 2008, we announced an amendment to convert the ACT III study to a single-arm Phase 2 clinical trial in which all patients will receive CDX-110 in combination with temozolomide. We expect to enroll approximately 60 patients. The decision, which follows the recommendation of the Independent Data Monitoring Committee, was based on the observation that the majority of patients</w:t>
      </w:r>
    </w:p>
    <w:p>
      <w:pPr>
        <w:sectPr>
          <w:pgSz w:w="11900" w:h="16838" w:orient="portrait"/>
          <w:cols w:equalWidth="0" w:num="1">
            <w:col w:w="11420"/>
          </w:cols>
          <w:pgMar w:left="240" w:top="125" w:right="239" w:bottom="0" w:gutter="0" w:footer="0" w:header="0"/>
        </w:sectPr>
      </w:pPr>
    </w:p>
    <w:bookmarkStart w:id="16" w:name="page17"/>
    <w:bookmarkEnd w:id="16"/>
    <w:p>
      <w:pPr>
        <w:spacing w:after="0" w:line="13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randomized to the control (standard of care) arm withdrew from this open-label study after being randomized to the control arm. Patients currently participating on the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arm of the study will be offered the option to receive treatment with CDX-110. Under this amendment, the ACT III study will provide a multi-center, non-randomized dataset for CDX-110 in patients with newly diagnosed GBM. These data will provide important additional information that can be used to better design the future development of CDX-110.</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CDX-1307: </w:t>
      </w:r>
      <w:r>
        <w:rPr>
          <w:rFonts w:ascii="Arial" w:cs="Arial" w:eastAsia="Arial" w:hAnsi="Arial"/>
          <w:sz w:val="18"/>
          <w:szCs w:val="18"/>
          <w:color w:val="auto"/>
        </w:rPr>
        <w:t>Our lead APC Targeting Technology™ product candidate, CDX-1307, is in development for the treatment of epithelial tumors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completing two Phase 1 studies at multiple centers that are designed to explore safety and dose/effect relationships via two administration routes—intradermal (ID), a traditional vaccine route that allows efficient access to local dermal dendritic cells and intravenous (IV), a novel systemic approach to vaccination that might target a much larger population of dendritic cells. In both studies, there are dose escalations of CDX-1307 alone and CDX-1307 with the adjuvant GM-CSF (known to increase mannose receptor expression on dendritic cells). At the highest dose levels planned, additional immune system modulators (Toll-Like Receptor Agonists, or TLR agonists) have been added to determine what effect they have in augmenting an immune response. Patients with an assortment of different tumor types that are known to express hCG-Beta are being accrued with retrospective analysis for hCG-Beta expression. A four dose regimen is utilized with the possibility of retreatment if patients demonstrate tumor regression or stable disease.</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Over seventy (70) patients with epithelial cancers have been treated in the Phase 1 clinical trials and more than half have evidence of hCG-Beta expression by their tumor. The immunotherapy has been well tolerated with only minor adverse events observed (reddening at the injection site). Analysis of the initial cohorts with GM-CSF have revealed that several patients developed good humoral responses to hCG-Beta, and some have demonstrated enhancement of circulating hCG-Beta-specific CD8 T cells. Thus, we are encouraged that CDX-1307 is providing similar results as predicted in the preclinical studies. In addition, seven patients with breast, colorectal or pancreatic cancers experienced disease stabilization from 2.2 to over 6.5 months. The safety of CDX-1307 in combination with defined immune system modulators is now being evaluated with intent to enter Phase 2 clinical research in the first quarter of 2010.</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CDX-1401: </w:t>
      </w:r>
      <w:r>
        <w:rPr>
          <w:rFonts w:ascii="Arial" w:cs="Arial" w:eastAsia="Arial" w:hAnsi="Arial"/>
          <w:sz w:val="17"/>
          <w:szCs w:val="17"/>
          <w:color w:val="auto"/>
        </w:rPr>
        <w:t>Our second APC Targeting Technology product candidate, CDX-1401, is a fusion protein consisting of a fully human monoclonal</w:t>
      </w:r>
      <w:r>
        <w:rPr>
          <w:rFonts w:ascii="Arial" w:cs="Arial" w:eastAsia="Arial" w:hAnsi="Arial"/>
          <w:sz w:val="17"/>
          <w:szCs w:val="17"/>
          <w:i w:val="1"/>
          <w:iCs w:val="1"/>
          <w:color w:val="auto"/>
        </w:rPr>
        <w:t xml:space="preserve"> </w:t>
      </w:r>
      <w:r>
        <w:rPr>
          <w:rFonts w:ascii="Arial" w:cs="Arial" w:eastAsia="Arial" w:hAnsi="Arial"/>
          <w:sz w:val="17"/>
          <w:szCs w:val="17"/>
          <w:color w:val="auto"/>
        </w:rPr>
        <w:t>antibody with specificity for the dendritic cell receptor, DEC-205, linked to the NY-ESO-1 tumor antigen. In humans, NY-ESO-1 is one of the most immunogenic tumor antigens and has been detected in 20-30%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 In September 2009, we initiated enrollment in a Phase 1/2 study with a combination regimen, including TLRs, for multiple tumors that express NY-ESO-1.</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CDX-1127: </w:t>
      </w:r>
      <w:r>
        <w:rPr>
          <w:rFonts w:ascii="Arial" w:cs="Arial" w:eastAsia="Arial" w:hAnsi="Arial"/>
          <w:sz w:val="18"/>
          <w:szCs w:val="18"/>
          <w:color w:val="auto"/>
        </w:rPr>
        <w:t>We have entered into a License Agreement with the University of Southampton, UK, to develop human antibodies to CD27, a</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important target for immunotherapy of various cancers. In 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currently evaluating new human monoclonal antibodies in preclinical models.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Inflammatory Disease Development Programs</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i w:val="1"/>
          <w:iCs w:val="1"/>
          <w:color w:val="auto"/>
        </w:rPr>
        <w:t xml:space="preserve">CDX-1135 (formerly TP10): </w:t>
      </w:r>
      <w:r>
        <w:rPr>
          <w:rFonts w:ascii="Arial" w:cs="Arial" w:eastAsia="Arial" w:hAnsi="Arial"/>
          <w:sz w:val="16"/>
          <w:szCs w:val="16"/>
          <w:color w:val="auto"/>
        </w:rPr>
        <w:t>CDX-1135 is a molecule that inhibits a part of the immune system called the complement system. The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effectively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and myasthenia gravis. We are currently defining the most appropriate clinical development path for CDX-1135 and are focusing on rare disease conditions of unregulated complement activation as the fastest route to FDA approval.</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CDX-1189: </w:t>
      </w:r>
      <w:r>
        <w:rPr>
          <w:rFonts w:ascii="Arial" w:cs="Arial" w:eastAsia="Arial" w:hAnsi="Arial"/>
          <w:sz w:val="17"/>
          <w:szCs w:val="17"/>
          <w:color w:val="auto"/>
        </w:rPr>
        <w:t>We are developing therapeutic human antibodies to a signaling molecule known as CD89 or Fca receptor type I (FcaRI). CD89 is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Development Programs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CholeraGarde® and ETEC Vaccine: </w:t>
      </w:r>
      <w:r>
        <w:rPr>
          <w:rFonts w:ascii="Arial" w:cs="Arial" w:eastAsia="Arial" w:hAnsi="Arial"/>
          <w:sz w:val="16"/>
          <w:szCs w:val="16"/>
          <w:color w:val="auto"/>
        </w:rPr>
        <w:t>In January 2009, we entered into a license agreement with Vaccine Technologies, Inc. (“VTI”) under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a worldwide exclusive license to VTI to develop and commercialize our CholeraGarde® and ETEC vaccine programs. Financial terms of the</w:t>
      </w:r>
    </w:p>
    <w:p>
      <w:pPr>
        <w:sectPr>
          <w:pgSz w:w="11900" w:h="16975" w:orient="portrait"/>
          <w:cols w:equalWidth="0" w:num="1">
            <w:col w:w="11420"/>
          </w:cols>
          <w:pgMar w:left="240" w:top="125" w:right="239" w:bottom="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agreement with VTI included an upfront license fee and provide for milestone payments and royalties on net sales of licensed products during the term of the agreement.</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Ty800 Typhoid Fever Vaccine: </w:t>
      </w:r>
      <w:r>
        <w:rPr>
          <w:rFonts w:ascii="Arial" w:cs="Arial" w:eastAsia="Arial" w:hAnsi="Arial"/>
          <w:sz w:val="18"/>
          <w:szCs w:val="18"/>
          <w:color w:val="auto"/>
        </w:rPr>
        <w:t>We have developed an oral vaccine to offer rapid, single-dose protection against</w:t>
      </w:r>
      <w:r>
        <w:rPr>
          <w:rFonts w:ascii="Arial" w:cs="Arial" w:eastAsia="Arial" w:hAnsi="Arial"/>
          <w:sz w:val="18"/>
          <w:szCs w:val="18"/>
          <w:i w:val="1"/>
          <w:iCs w:val="1"/>
          <w:color w:val="auto"/>
        </w:rPr>
        <w:t xml:space="preserve"> Salmonella typhi</w:t>
      </w:r>
      <w:r>
        <w:rPr>
          <w:rFonts w:ascii="Arial" w:cs="Arial" w:eastAsia="Arial" w:hAnsi="Arial"/>
          <w:sz w:val="18"/>
          <w:szCs w:val="18"/>
          <w:color w:val="auto"/>
        </w:rPr>
        <w:t>, the cause of</w:t>
      </w:r>
      <w:r>
        <w:rPr>
          <w:rFonts w:ascii="Arial" w:cs="Arial" w:eastAsia="Arial" w:hAnsi="Arial"/>
          <w:sz w:val="18"/>
          <w:szCs w:val="18"/>
          <w:i w:val="1"/>
          <w:iCs w:val="1"/>
          <w:color w:val="auto"/>
        </w:rPr>
        <w:t xml:space="preserve"> </w:t>
      </w:r>
      <w:r>
        <w:rPr>
          <w:rFonts w:ascii="Arial" w:cs="Arial" w:eastAsia="Arial" w:hAnsi="Arial"/>
          <w:sz w:val="18"/>
          <w:szCs w:val="18"/>
          <w:color w:val="auto"/>
        </w:rPr>
        <w:t>typhoid fever. Ty800 is targeted for both the travelers’ market and global health needs. Results from our Phase 2 trial of Ty800 showed that the single-dose, oral vaccine was well tolerated and immunogenic, demonstrating that the desired immune response was achieved. Incidence of reactogenicity symptoms and adverse events post-vaccination were similar to placebo.</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CDX-2401: </w:t>
      </w:r>
      <w:r>
        <w:rPr>
          <w:rFonts w:ascii="Arial" w:cs="Arial" w:eastAsia="Arial" w:hAnsi="Arial"/>
          <w:sz w:val="17"/>
          <w:szCs w:val="17"/>
          <w:color w:val="auto"/>
        </w:rPr>
        <w:t>We are also using our APC Targeting Technology™ to develop vaccines against infectious disease. The lead program is CDX-2401, an</w:t>
      </w:r>
      <w:r>
        <w:rPr>
          <w:rFonts w:ascii="Arial" w:cs="Arial" w:eastAsia="Arial" w:hAnsi="Arial"/>
          <w:sz w:val="17"/>
          <w:szCs w:val="17"/>
          <w:i w:val="1"/>
          <w:iCs w:val="1"/>
          <w:color w:val="auto"/>
        </w:rPr>
        <w:t xml:space="preserve"> </w:t>
      </w:r>
      <w:r>
        <w:rPr>
          <w:rFonts w:ascii="Arial" w:cs="Arial" w:eastAsia="Arial" w:hAnsi="Arial"/>
          <w:sz w:val="17"/>
          <w:szCs w:val="17"/>
          <w:color w:val="auto"/>
        </w:rPr>
        <w:t>APC Targeting prophylactic vaccine, aimed at providing protection from infection with HIV, the virus known to cause AIDS. This program is in a Bill &amp; Melinda Gates Foundation funded partnership with collaborators at Rockefeller University in New York City. Preclinical studies and manufacturing development are in progress and our collaborators plan to file an IND for Phase 1 clinical studies in the first half of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Rotavirus Vaccine: </w:t>
      </w:r>
      <w:r>
        <w:rPr>
          <w:rFonts w:ascii="Arial" w:cs="Arial" w:eastAsia="Arial" w:hAnsi="Arial"/>
          <w:sz w:val="17"/>
          <w:szCs w:val="17"/>
          <w:color w:val="auto"/>
        </w:rPr>
        <w:t>Rotavirus is a major cause of diarrhea and vomiting in infants and children. In 1997, we licensed our oral rotavirus strain to</w:t>
      </w:r>
      <w:r>
        <w:rPr>
          <w:rFonts w:ascii="Arial" w:cs="Arial" w:eastAsia="Arial" w:hAnsi="Arial"/>
          <w:sz w:val="17"/>
          <w:szCs w:val="17"/>
          <w:i w:val="1"/>
          <w:iCs w:val="1"/>
          <w:color w:val="auto"/>
        </w:rPr>
        <w:t xml:space="preserve"> </w:t>
      </w:r>
      <w:r>
        <w:rPr>
          <w:rFonts w:ascii="Arial" w:cs="Arial" w:eastAsia="Arial" w:hAnsi="Arial"/>
          <w:sz w:val="17"/>
          <w:szCs w:val="17"/>
          <w:color w:val="auto"/>
        </w:rPr>
        <w:t>GlaxoSmithKline (“Glaxo”). Glaxo gained approval for its rotavirus vaccine, Rotarix®, in Mexico in July 2004, which represented the first in a series of worldwide approvals and commercial launches for the product leading up to the approval in Europe in 2006 and in the U.S. in 2008. We licensed-in the rotavirus strain in 1995 and owe a license fee of 30% to Cincinnati Children’s Hospital Medical Center (“CCH”) on net royalties received from Glaxo. In May 2005, we entered into an agreement whereby an affiliate of Paul Royalty Fund (“PRF”) purchased an interest in the milestone payments and net royalties that we receive on the development and worldwide sales of Rotarix®. We have received a total of $60 million in milestone payments under the PRF agreement. No additional milestone payments are due from PRF under the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September 2006, we received notice from Glaxo that Glaxo would begin paying royalties on sales of Rotarix® vaccine at the lower of two royalty rates under their 1997 license agreement. Glaxo’s decision to pay the lower royalty rate (which is 70% of the full rate) is based upon Glaxo’s assertion that Rotarix®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 increased. Irrespective of Glaxo’s position, we will still retain approximately 65% of the royalties on worldwide sales of Rotarix® once PRF receives 2.45 times the aggregate cash payments of $60 million it made to us, though the potential amount of such residual royalties will be lower if Glaxo’s position stands.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critical accounting policies are more fully described in Note 1 to our consolidated financial statements included in our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2008. We consider our most critical accounting policies include revenue recognition for agreements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various collaborators, accounting for business combinations, the amortization policy for acquired intangible assets, the estimates of costs incurred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made in recording accrued clinical research and contract manufacturing costs and assumptions made in calculating the fair value of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financial statements prior to the AVANT Merger reflect the financial position, results of operations and cash flows of Celldex Research.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Following the AVANT Merger, our financial statements reflect the financial position, results of operation and cash flows of the combined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2009 Compared with Three Months Ended September 30,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120" w:type="dxa"/>
            <w:vAlign w:val="bottom"/>
            <w:gridSpan w:val="7"/>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1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1,339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8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917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11,186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Investment and Other (Expense) Income, Net</w:t>
            </w:r>
          </w:p>
        </w:tc>
        <w:tc>
          <w:tcPr>
            <w:tcW w:w="8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(940)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(7,174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5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The $0.5 million decrease in our net loss for the three months ended September 30, 2009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2008 was primarily the result of increased revenues. The effect of this increase was offset by lower investment income.</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$0.7 million increase in our contract and grant revenue for the three months ended September 30, 2009 was primarily due to us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$0.8 million in revenue related to our CDX-2401 program during the three months ended September 30, 2009. The $0.9 million increase in our product royalty revenue for the three months ended</w:t>
      </w:r>
    </w:p>
    <w:p>
      <w:pPr>
        <w:sectPr>
          <w:pgSz w:w="11900" w:h="16838" w:orient="portrait"/>
          <w:cols w:equalWidth="0" w:num="1">
            <w:col w:w="11420"/>
          </w:cols>
          <w:pgMar w:left="240" w:top="125" w:right="239" w:bottom="0" w:gutter="0" w:footer="0" w:header="0"/>
        </w:sectPr>
      </w:pPr>
    </w:p>
    <w:bookmarkStart w:id="18" w:name="page19"/>
    <w:bookmarkEnd w:id="18"/>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September 30, 2009 was related to our retained interests in Rotarix® net royalties which were not sold to PRF and which is equal to the amount payable to CCH and recognized in research and development expense by us.</w:t>
      </w:r>
    </w:p>
    <w:p>
      <w:pPr>
        <w:spacing w:after="0" w:line="170"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expenses consist primarily of (i) personnel expenses, (ii) laboratory supply</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relating to the development of our technology, (iii) facility expenses related to our three facilities, (iv) product development expenses associated with our product candidates, and (v) license fees on in-licensed technologies and royalty fees on out-licensed programs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10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4"/>
                <w:szCs w:val="14"/>
                <w:color w:val="auto"/>
              </w:rPr>
            </w:pPr>
          </w:p>
        </w:tc>
        <w:tc>
          <w:tcPr>
            <w:tcW w:w="1360" w:type="dxa"/>
            <w:vAlign w:val="bottom"/>
          </w:tcPr>
          <w:p>
            <w:pPr>
              <w:jc w:val="center"/>
              <w:ind w:right="557"/>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center"/>
              <w:ind w:right="557"/>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557"/>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355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Laboratory Supplies</w:t>
            </w:r>
          </w:p>
        </w:tc>
        <w:tc>
          <w:tcPr>
            <w:tcW w:w="9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44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(136)</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(166)</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(599)</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License and Royalty</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2,193</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1,271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payroll taxes and recruiting costs. The $0.4 million increase in our personnel expenses for the three months ended September 30, 2009 was primarily due to higher headcount. We expect personnel expenses to increase over the next twelve months primarily due to the CuraGen Merger.</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$0.1 million decrease in our laboratory supply expenses for the three months ended September 30, 2009 was primarily due to decreased research, preclinical and manufacturing activities. We expect supply expenses to increase over the next twelve months as a result of increased research and development activities, although there may be fluctuations on a quarterly basis.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three facilities (Phillipsburg, NJ and Needham and Fall River, MA). The $0.2 million decrease in our facility expenses for the three months ended September 30, 2009 was primarily due to lower depreciation and amortization expenses. We expect facility expenses to increase over the next twelve months as a result of continued capital expansion, although there may be fluctuations on a quarterly basis.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$0.6 million decrease in our product development expenses for the three months ended September 30, 2009 was primarily due to the transfer of clinical management of our CDX-110 program to Pfizer. We expect product development expenses to increase over the next twelve months due to the increase in clinical trial expenses related to our CDX-1307, CDX-1401 and CuraGen programs, although there may be fluctuations on a quarterly basis.</w:t>
      </w:r>
    </w:p>
    <w:p>
      <w:pPr>
        <w:spacing w:after="0" w:line="18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License and royalty expenses relate to license fees on in-licensed technologies and royalty fees on out-licensed programs. The $1.3 million increase in our license and royalty expenses for the three months ended September 30, 2009 was primarily due to an increase in Rotarix® related royalty fee expense. We expect license and royalty expenses to increase over the next twelve months, although there may be fluctuations on a quarterly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The $0.4 million decrease in our general and administrative expenses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was primarily due to the $1.3 million in stock-based compensation expense incurred during the three months ended September 30,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our former President and Chief Executive Officer. The effect of this decrease was partially offset by an increase in consultant and legal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during the three months ended September 30, 2009 primarily related to the CuraGen Merger. We expect general and administrative expense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over the next twelve months primarily due to the CuraGen Merger, although there may be fluctuations on a quarterly basis.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Amortization Expense: </w:t>
      </w:r>
      <w:r>
        <w:rPr>
          <w:rFonts w:ascii="Arial" w:cs="Arial" w:eastAsia="Arial" w:hAnsi="Arial"/>
          <w:sz w:val="18"/>
          <w:szCs w:val="18"/>
          <w:color w:val="auto"/>
        </w:rPr>
        <w:t>We expect amortization expense of acquired intangible assets to increase over the next twelve months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CuraGen Merger.</w:t>
      </w:r>
    </w:p>
    <w:p>
      <w:pPr>
        <w:spacing w:after="0" w:line="170" w:lineRule="exact"/>
        <w:rPr>
          <w:sz w:val="20"/>
          <w:szCs w:val="20"/>
          <w:color w:val="auto"/>
        </w:rPr>
      </w:pPr>
    </w:p>
    <w:p>
      <w:pPr>
        <w:jc w:val="both"/>
        <w:ind w:right="320" w:firstLine="636"/>
        <w:spacing w:after="0" w:line="264" w:lineRule="auto"/>
        <w:rPr>
          <w:sz w:val="20"/>
          <w:szCs w:val="20"/>
          <w:color w:val="auto"/>
        </w:rPr>
      </w:pPr>
      <w:r>
        <w:rPr>
          <w:rFonts w:ascii="Arial" w:cs="Arial" w:eastAsia="Arial" w:hAnsi="Arial"/>
          <w:sz w:val="18"/>
          <w:szCs w:val="18"/>
          <w:i w:val="1"/>
          <w:iCs w:val="1"/>
          <w:color w:val="auto"/>
        </w:rPr>
        <w:t xml:space="preserve">Investment and Other Income, Net: </w:t>
      </w:r>
      <w:r>
        <w:rPr>
          <w:rFonts w:ascii="Arial" w:cs="Arial" w:eastAsia="Arial" w:hAnsi="Arial"/>
          <w:sz w:val="18"/>
          <w:szCs w:val="18"/>
          <w:color w:val="auto"/>
        </w:rPr>
        <w:t>The $0.9 million decrease in our investment and other income, net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2009 was primarily due to lower average cash balances and lower average interest rates in 2009. We anticipate investment income and interest expense to increase over the next twelve months due to the CuraGen Merger.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2009 Compared with Nine Months Ended September 30,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10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310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2,102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8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3,358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90"/>
              </w:rPr>
              <w:t>10,701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(1,124)</w:t>
            </w:r>
          </w:p>
        </w:tc>
        <w:tc>
          <w:tcPr>
            <w:tcW w:w="15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c>
          <w:tcPr>
            <w:tcW w:w="4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(604)</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Charge for In-Process Research and Development</w:t>
            </w:r>
          </w:p>
        </w:tc>
        <w:tc>
          <w:tcPr>
            <w:tcW w:w="460" w:type="dxa"/>
            <w:vAlign w:val="bottom"/>
          </w:tcPr>
          <w:p>
            <w:pPr>
              <w:spacing w:after="0"/>
              <w:rPr>
                <w:sz w:val="18"/>
                <w:szCs w:val="18"/>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14,756</w:t>
            </w:r>
          </w:p>
        </w:tc>
        <w:tc>
          <w:tcPr>
            <w:tcW w:w="4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(14,756)</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10"/>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34,112</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45,581</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6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4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(984)</w:t>
            </w: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660" w:type="dxa"/>
            <w:vAlign w:val="bottom"/>
            <w:tcBorders>
              <w:top w:val="single" w:sz="8" w:color="CCEEFF"/>
              <w:bottom w:val="single" w:sz="8" w:color="CCEEFF"/>
            </w:tcBorders>
            <w:shd w:val="clear" w:color="auto" w:fill="CCEEFF"/>
          </w:tcPr>
          <w:p>
            <w:pPr>
              <w:jc w:val="right"/>
              <w:ind w:right="520"/>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The $16.5 million decrease in our net loss for the nine months ended September 30, 2009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2008 was primarily the result of a decrease in charges for acquired in-process research and development combined with increased revenue, partially offset by increased research and development expenses.</w:t>
      </w:r>
    </w:p>
    <w:p>
      <w:pPr>
        <w:spacing w:after="0" w:line="181"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$2.1 million increase in our product development and licensing agreement revenue for the nine months ended September 30, 2009</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of $2.3 million in Pfizer related revenue. The $0.5 million increase in our contract and grant revenue for the nine months ended September 30, 2009 was primarily due to us recognizing $0.9 million in revenue related to our CDX-2401 program during the nine months ended September 30, 2009. The $3.4 million increase in our product royalty revenue for the nine months ended September 30, 2009 was primarily related to our retained interests in Rotarix® net royalties which were not sold to PRF and which is equal to the amount payable to CCH and recognized in research and development expense by 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Pr>
          <w:p>
            <w:pPr>
              <w:spacing w:after="0"/>
              <w:rPr>
                <w:sz w:val="14"/>
                <w:szCs w:val="14"/>
                <w:color w:val="auto"/>
              </w:rPr>
            </w:pPr>
          </w:p>
        </w:tc>
        <w:tc>
          <w:tcPr>
            <w:tcW w:w="1340" w:type="dxa"/>
            <w:vAlign w:val="bottom"/>
          </w:tcPr>
          <w:p>
            <w:pPr>
              <w:jc w:val="center"/>
              <w:ind w:right="537"/>
              <w:spacing w:after="0"/>
              <w:rPr>
                <w:sz w:val="20"/>
                <w:szCs w:val="20"/>
                <w:color w:val="auto"/>
              </w:rPr>
            </w:pPr>
            <w:r>
              <w:rPr>
                <w:rFonts w:ascii="Arial" w:cs="Arial" w:eastAsia="Arial" w:hAnsi="Arial"/>
                <w:sz w:val="14"/>
                <w:szCs w:val="14"/>
                <w:b w:val="1"/>
                <w:bCs w:val="1"/>
                <w:color w:val="auto"/>
                <w:w w:val="92"/>
              </w:rPr>
              <w:t>Increase/</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center"/>
              <w:ind w:right="537"/>
              <w:spacing w:after="0"/>
              <w:rPr>
                <w:sz w:val="20"/>
                <w:szCs w:val="20"/>
                <w:color w:val="auto"/>
              </w:rPr>
            </w:pPr>
            <w:r>
              <w:rPr>
                <w:rFonts w:ascii="Arial" w:cs="Arial" w:eastAsia="Arial" w:hAnsi="Arial"/>
                <w:sz w:val="14"/>
                <w:szCs w:val="14"/>
                <w:b w:val="1"/>
                <w:bCs w:val="1"/>
                <w:color w:val="auto"/>
                <w:w w:val="89"/>
              </w:rPr>
              <w:t>(Decrease)</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Research and Development Expense:</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jc w:val="center"/>
              <w:ind w:right="537"/>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7,385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998</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Laboratory Supplies</w:t>
            </w:r>
          </w:p>
        </w:tc>
        <w:tc>
          <w:tcPr>
            <w:tcW w:w="24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1,829</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1,528</w:t>
            </w:r>
          </w:p>
        </w:tc>
        <w:tc>
          <w:tcPr>
            <w:tcW w:w="440" w:type="dxa"/>
            <w:vAlign w:val="bottom"/>
          </w:tcPr>
          <w:p>
            <w:pPr>
              <w:spacing w:after="0"/>
              <w:rPr>
                <w:sz w:val="18"/>
                <w:szCs w:val="18"/>
                <w:color w:val="auto"/>
              </w:rPr>
            </w:pP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301</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3,489</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3,137</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352</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4,025</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3,839</w:t>
            </w:r>
          </w:p>
        </w:tc>
        <w:tc>
          <w:tcPr>
            <w:tcW w:w="440" w:type="dxa"/>
            <w:vAlign w:val="bottom"/>
          </w:tcPr>
          <w:p>
            <w:pPr>
              <w:spacing w:after="0"/>
              <w:rPr>
                <w:sz w:val="18"/>
                <w:szCs w:val="18"/>
                <w:color w:val="auto"/>
              </w:rPr>
            </w:pP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186</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Royalty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6,219</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2,682</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3,537</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34"/>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$1.0 million increase in our personnel expenses for the nine months ended September 30, 2009 was primarily due to higher headcount as a result of the AVANT Merger offset by a decrease of $0.8 million in stock-based compensation expense.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$0.3 million increase in our laboratory supply expenses for the nine months ended September 30, 2009 was primarily due to increased research, preclinical and manufacturing activities as a result of the continued development of our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$0.4 million increase in our facility expenses for the nine months ended September 30, 2009 was primarily due to the AVANT Merger.</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$0.2 million increase in our product development expenses for the nine months ended September 30, 2009 was primarily due to an increase in preclinical work related to CDX-1401 and CDX-2401.</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$3.5 million increase in our license and royalty expenses for the nine months ended September 30, 2009 was primarily due to an increase in Rotarix® related royalty fee expense.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The $1.1 million decrease in our general and administrative expenses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2009 was primarily due to the $1.4 million in severance expense and $1.3 million in stock-based compensation expense incurred during the nine months ended September 30, 2008 primarily related to our former President and Chief Executive Officer. The effect of this decrease was partially offset by an increase in consultant and legal expense of $0.5 million during the nine months ended September 30, 2009 primarily related to the CuraGen Merger and $0.8 million in severance expense, including related non-cash stock-based compensation expense, incurred during the nine months ended September 30, 2009 related to our former SVP, Business Development.</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Amortization Expense: </w:t>
      </w:r>
      <w:r>
        <w:rPr>
          <w:rFonts w:ascii="Arial" w:cs="Arial" w:eastAsia="Arial" w:hAnsi="Arial"/>
          <w:sz w:val="18"/>
          <w:szCs w:val="18"/>
          <w:color w:val="auto"/>
        </w:rPr>
        <w:t>The increase in our amortization expense of acquired intangible assets for the nine months ended September 30, 2009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intangible assets acquired in connection with the AVANT Merger.</w:t>
      </w:r>
    </w:p>
    <w:p>
      <w:pPr>
        <w:spacing w:after="0" w:line="170" w:lineRule="exact"/>
        <w:rPr>
          <w:sz w:val="20"/>
          <w:szCs w:val="20"/>
          <w:color w:val="auto"/>
        </w:rPr>
      </w:pPr>
    </w:p>
    <w:p>
      <w:pPr>
        <w:ind w:right="600" w:firstLine="636"/>
        <w:spacing w:after="0" w:line="277" w:lineRule="auto"/>
        <w:rPr>
          <w:sz w:val="20"/>
          <w:szCs w:val="20"/>
          <w:color w:val="auto"/>
        </w:rPr>
      </w:pPr>
      <w:r>
        <w:rPr>
          <w:rFonts w:ascii="Arial" w:cs="Arial" w:eastAsia="Arial" w:hAnsi="Arial"/>
          <w:sz w:val="18"/>
          <w:szCs w:val="18"/>
          <w:i w:val="1"/>
          <w:iCs w:val="1"/>
          <w:color w:val="auto"/>
        </w:rPr>
        <w:t xml:space="preserve">Investment and Other Income, Net: </w:t>
      </w:r>
      <w:r>
        <w:rPr>
          <w:rFonts w:ascii="Arial" w:cs="Arial" w:eastAsia="Arial" w:hAnsi="Arial"/>
          <w:sz w:val="18"/>
          <w:szCs w:val="18"/>
          <w:color w:val="auto"/>
        </w:rPr>
        <w:t>The decrease in our investment and other income, net for the nine months ended September 30, 2009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average cash balances and lower average interest rates in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At September 30, 2009, our principal sources of liquidity consisted of cash and cash equivalents of $26.0 million. Our working capital at September 30, 2009 was $13.9 million. We incurred a loss of $7.2 million and $23.6 million for the three and nine months ended September 30, 2009, respectively. Net cash used in operations for the nine months ended September 30, 2009 was $19.0 million. We believe that the cash and investments acquired in the CuraGen Merger, the cash inflows from existing grants and collaborations, interest income on invested funds and our current cash and cash equivalents at September 30, 2009 are sufficient to meet estimated working capital requirements and fund planned operations for at least the next twelve months. At September 30, 2009, CuraGen had cash and investments of $70.3 million and 4% convertible subordinated debt due in February 2011 of $12.5 million.</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w:t>
      </w:r>
    </w:p>
    <w:p>
      <w:pPr>
        <w:sectPr>
          <w:pgSz w:w="11900" w:h="16975" w:orient="portrait"/>
          <w:cols w:equalWidth="0" w:num="1">
            <w:col w:w="11460"/>
          </w:cols>
          <w:pgMar w:left="240" w:top="140" w:right="199" w:bottom="0" w:gutter="0" w:footer="0" w:header="0"/>
        </w:sectPr>
      </w:pPr>
    </w:p>
    <w:bookmarkStart w:id="20" w:name="page21"/>
    <w:bookmarkEnd w:id="20"/>
    <w:p>
      <w:pPr>
        <w:spacing w:after="0" w:line="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the next twelve to twenty-four months, we may take further steps to raise additional capital to meet our long-term liquidity needs including, but not limited to, the licensing of technology programs with existing or new collaborative partners, possible business combinations, or the issuance of common stock via private placements or public offerings. While we may continue to seek capital through a number of means, there can be no assurance that additional financing will be available on acceptable terms, if at all, particularly in light of the recent disruptions in the financial markets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programs, license out programs earlier than expected, raise funds at significant discount or on other unfavorable terms, or sell all or part of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Net cash used in operating activities was $19.0 million for the nine months ended September 30, 2009 compared to net cash provided by operating activities of $17.0 million for the nine months ended September 30, 2008. The increase in net cash used in operating activities was primarily due to Pfizer’s up-front payment of $40 million received during the nine months ended September 30, 2008. We expect that cash used in operations will continue to increase in 2009 as we continue to develop our therapeutic product pipeline, bring forward new product candidates into clinical development, develop the CuraGen product candidates and incur interest costs, partially offset by an increase in investment income.</w:t>
      </w:r>
    </w:p>
    <w:p>
      <w:pPr>
        <w:spacing w:after="0" w:line="17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 We also expect to incur future facility costs as a result of continued capital expansion, renovations and replacements. We expect our general and administrative costs to increase as we expand our administrative and business development activities. Furthermore, we expect investment income to decrease as we fund future operations and capital expenditures from our cash reserves.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investing activities was $0.4 million for the nine months ended September 30, 2009 compared to $10.0 million for the nine months ended September 30, 2008. The decrease in net cash provided by investing activities was primarily due to the AVANT Merger in 2008. We expect to incur future facility cost as a result of continued capital expansion, renovation and replacements. Our investment in capital equipment is discretionary and there may be significant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Net cash provided by financing activities was $0.4 million for the nine months ended September 30, 2009 compared to $10.9 million for the nine months ended September 30, 2008. The decrease in net cash provided by financing activities was primarily due to Pfizer’s one-time $10 million equity investment during the nine months ended September 30,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the Pfizer Agreement, Pfizer made an upfront payment $40 million, an equity investment of $10.0 million and will fund all development costs for the licensed programs. We are also eligible to receive potential milestone payments exceeding $390.0 million for the successful development and commercialization of CDX-110 and additional EGFRvIII vaccine products, as well as royalties on any product sales.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2008 which was filed with the SEC on March 2, 2009 have not materially changed since we filed that report.</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have committed to make potential future milestone payments to third parties of up to approximately $117 million as part of our various collaborations including licensing and development programs. Payments under these agreements generally become due and payable only upon achievement of certain developmental, regulatory and/or commercial milestones. Because the achievement of these milestones had not occurred as of September 30, 2009, such contingencies have not been recorded in our financial statements. We do not expect to incur any milestone payments during the remainder of 2009.</w:t>
      </w:r>
    </w:p>
    <w:p>
      <w:pPr>
        <w:spacing w:after="0" w:line="154"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CuraGen Merger, effective October 1, 2009, we (i) issued 15,722,713 shares of our common stock, or 0.2739 shares, in exchange for each share of outstanding CuraGen common stock, plus cash in lieu of fractional shares, (ii) assumed all of the CuraGen 2007 Options, and</w:t>
      </w:r>
    </w:p>
    <w:p>
      <w:pPr>
        <w:ind w:right="240" w:firstLine="8"/>
        <w:spacing w:after="0" w:line="261"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assumed the obligations of the CuraGen Debt. The CuraGen 2007 Options and CuraGen Debt convert into shares of our common stock after applying the CuraGen Exchange Ratio.</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ectPr>
          <w:pgSz w:w="11900" w:h="16870" w:orient="portrait"/>
          <w:cols w:equalWidth="0" w:num="1">
            <w:col w:w="11400"/>
          </w:cols>
          <w:pgMar w:left="240" w:top="125" w:right="259" w:bottom="0" w:gutter="0" w:footer="0" w:header="0"/>
        </w:sectPr>
      </w:pPr>
    </w:p>
    <w:bookmarkStart w:id="21" w:name="page22"/>
    <w:bookmarkEnd w:id="21"/>
    <w:p>
      <w:pPr>
        <w:ind w:right="40" w:firstLine="630"/>
        <w:spacing w:after="0" w:line="255"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in marketable securities. These marketable securities only include securities with active secondary or resale markets to help insure liquidity. We have implemented investment policies regarding the amount and credit ratings of investments. Because of the short-term nature of these investments, we do not believe we have material exposure due to market risk. The impact to our financial position and results of operations from likely changes in interest rates is not material.</w:t>
      </w:r>
    </w:p>
    <w:p>
      <w:pPr>
        <w:spacing w:after="0" w:line="189" w:lineRule="exact"/>
        <w:rPr>
          <w:sz w:val="20"/>
          <w:szCs w:val="20"/>
          <w:color w:val="auto"/>
        </w:rPr>
      </w:pPr>
    </w:p>
    <w:p>
      <w:pPr>
        <w:ind w:right="340" w:firstLine="630"/>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2009 due to the short-term maturities of these instruments.</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by us in our reports that we file and submit under the Securities Exchange Act of 1934, as amended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required by Rule 13a-15 under the Exchange Act, as of September 30, 2009, we carried out an evaluation under the supervision and with the participation of our management, including our Chief Executive Officer and Chief Financial Officer, of the effectiveness of the design and operation of our disclosure controls and procedures as of the three months ended September 30, 2009.</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have concluded that our disclosure controls and procedures were effective as of September 30, 2009.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79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September 30, 2009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Following the announcement of the proposed acquisition by Celldex of CuraGen, a putative class action complaint, </w:t>
      </w:r>
      <w:r>
        <w:rPr>
          <w:rFonts w:ascii="Arial" w:cs="Arial" w:eastAsia="Arial" w:hAnsi="Arial"/>
          <w:sz w:val="16"/>
          <w:szCs w:val="16"/>
          <w:i w:val="1"/>
          <w:iCs w:val="1"/>
          <w:color w:val="auto"/>
        </w:rPr>
        <w:t>Margaret Capps v. Timothy</w:t>
      </w:r>
      <w:r>
        <w:rPr>
          <w:rFonts w:ascii="Arial" w:cs="Arial" w:eastAsia="Arial" w:hAnsi="Arial"/>
          <w:sz w:val="16"/>
          <w:szCs w:val="16"/>
          <w:color w:val="auto"/>
        </w:rPr>
        <w:t xml:space="preserve"> </w:t>
      </w:r>
      <w:r>
        <w:rPr>
          <w:rFonts w:ascii="Arial" w:cs="Arial" w:eastAsia="Arial" w:hAnsi="Arial"/>
          <w:sz w:val="16"/>
          <w:szCs w:val="16"/>
          <w:i w:val="1"/>
          <w:iCs w:val="1"/>
          <w:color w:val="auto"/>
        </w:rPr>
        <w:t>Shannon, et al.</w:t>
      </w:r>
      <w:r>
        <w:rPr>
          <w:rFonts w:ascii="Arial" w:cs="Arial" w:eastAsia="Arial" w:hAnsi="Arial"/>
          <w:sz w:val="16"/>
          <w:szCs w:val="16"/>
          <w:color w:val="auto"/>
        </w:rPr>
        <w:t>, was filed in the Connecticut Superior Court, Judicial District of New Haven, on June 9, 2009. A second putative class action complaint,</w:t>
      </w:r>
      <w:r>
        <w:rPr>
          <w:rFonts w:ascii="Arial" w:cs="Arial" w:eastAsia="Arial" w:hAnsi="Arial"/>
          <w:sz w:val="16"/>
          <w:szCs w:val="16"/>
          <w:i w:val="1"/>
          <w:iCs w:val="1"/>
          <w:color w:val="auto"/>
        </w:rPr>
        <w:t xml:space="preserve"> Cheryl Smith v. CuraGen Corporation, et al.</w:t>
      </w:r>
      <w:r>
        <w:rPr>
          <w:rFonts w:ascii="Arial" w:cs="Arial" w:eastAsia="Arial" w:hAnsi="Arial"/>
          <w:sz w:val="16"/>
          <w:szCs w:val="16"/>
          <w:color w:val="auto"/>
        </w:rPr>
        <w:t>, was filed in the Court of Chancery of the State of Delaware on June 15, 2009. Both lawsuits purport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brought on behalf of all public stockholders of CuraGen, and name CuraGen, all of its former directors, Celldex, and Cottrell Merger Sub as defendants. The complaints alleged, among other things, that the merger consideration paid to CuraGen stockholders in the merger is unfair and undervalues CuraGen. In addition, the complaints alleged that CuraGen’s former directors violated their fiduciary duties by, among other things, failing to maximize stockholder value and failing to engage in a fair sale process. The Plaintiffs in the two actions also sought to add claims that CuraGen’s former directors breached their fiduciary duty of disclosure by making purportedly misleading and incomplete disclosures in the preliminary proxy statement concerning the merger. The complaints also alleged that CuraGen and Celldex aided and abetted the alleged breaches of fiduciary duties by CuraGen’s directors.</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July 21, 2009, the attorneys for the parties in the two actions executed a memorandum of understanding (the “MOU”) pursuant to which such actions will be dismissed with prejudice, subject to final court approval of the settlement in the MOU. CuraGen agreed to make certain revisions to the joint proxy statement/prospectus (which was prepared in connection with the approval by CuraGen’s stockholders of the merger and by Celldex’s stockholders of the stock issued to the former stockholders of CuraGen in the merger) as part of the agreement among the parties to settle the actions and agreed to pay attorneys’ fees and expenses as awarded by the court, expected to be $0.3 million. The settlement of the actions, subject to court approval, will result in a dismissal of all merger-related claims against CuraGen’s former board of directors, CuraGen and Celldex. The MOU resolves the allegations by the plaintiffs against the defendants in connection with the proposed acquisition, and includes no admission of wrongdoing. The settlement outlined in the MOU remains subject to, among other things, (i) drafting and execution of a formal stipulation of settlement and such other documentation as may be required to obtain final court approval of the settlement, (ii) final court approval of the settlement and entry of a final order and judgment by the court providing for such release language as is contained in the settlement documents, and (iii) the entry of orders dismissing the actions with prejudice on the merits. On August 27, 2009, a stipulation of settlement was submitted to the court for the action captioned </w:t>
      </w:r>
      <w:r>
        <w:rPr>
          <w:rFonts w:ascii="Arial" w:cs="Arial" w:eastAsia="Arial" w:hAnsi="Arial"/>
          <w:sz w:val="17"/>
          <w:szCs w:val="17"/>
          <w:u w:val="single" w:color="auto"/>
          <w:color w:val="auto"/>
        </w:rPr>
        <w:t>Cheryl Smith v. CuraGen Corporation, et al</w:t>
      </w:r>
      <w:r>
        <w:rPr>
          <w:rFonts w:ascii="Arial" w:cs="Arial" w:eastAsia="Arial" w:hAnsi="Arial"/>
          <w:sz w:val="17"/>
          <w:szCs w:val="17"/>
          <w:color w:val="auto"/>
        </w:rPr>
        <w:t>, pending in the Court of Chancery of the State of Delaware, and thereafter a fairness hearing was set for November 9, 2009 where the parties will seek approval of their settlement of the Delaware Action.</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CuraGen Corporation's former landlord filed a complaint in the Connecticut Superior Court, Judicial District of New Haven, on September 9, 2009, in case captioned </w:t>
      </w:r>
      <w:r>
        <w:rPr>
          <w:rFonts w:ascii="Arial" w:cs="Arial" w:eastAsia="Arial" w:hAnsi="Arial"/>
          <w:sz w:val="18"/>
          <w:szCs w:val="18"/>
          <w:i w:val="1"/>
          <w:iCs w:val="1"/>
          <w:color w:val="auto"/>
        </w:rPr>
        <w:t>T.K.J. Associates LLC v. CuraGen Corporation</w:t>
      </w:r>
      <w:r>
        <w:rPr>
          <w:rFonts w:ascii="Arial" w:cs="Arial" w:eastAsia="Arial" w:hAnsi="Arial"/>
          <w:sz w:val="18"/>
          <w:szCs w:val="18"/>
          <w:color w:val="auto"/>
        </w:rPr>
        <w:t>. The plaintiff alleges that CuraGen failed to pay rent and additional charges, and, upon vacating previously leased space, failed to restore the vacated space to the condition of initial occupancy, failed to pay utility charges, failed to remove personal property, and failed to comply with applicable environmental laws and regulations. CuraGen believes that the claims made by the landlord are without merit and intends to defend the lawsuit vigorously.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2008 and on Form S-3 filed with the SEC on October 21, 2009,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 on March 2, 2009, in our joint proxy statement/prospectus filed on August 28, 2009 and in our Form S-3 filed on October 21, 2009.</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September 30, 2009, the Company held a Special Meeting of Stockholders at which the stockholders approved two proposals: (i) to approve the issuance of the Company’s common stock pursuant to the Agreement and Plan of Merger dated as of May 28, 2009, with respect to the CuraGen Merger; and</w:t>
      </w:r>
    </w:p>
    <w:p>
      <w:pPr>
        <w:ind w:right="28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adjourn the meeting if necessary to solicit additional proxies in the event that there are insufficient votes to constitute a quorum or approve Proposal No. 1 at the time of the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Special Meeting of Stockholders, the following votes were tabulated for the proposal before the Company’s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approve the issuance of the Company’s common stock pursuant to the Agreement and Plan of Merger dated as of May 28, 2009</w:t>
      </w:r>
    </w:p>
    <w:p>
      <w:pPr>
        <w:spacing w:after="0" w:line="217" w:lineRule="exact"/>
        <w:rPr>
          <w:sz w:val="20"/>
          <w:szCs w:val="20"/>
          <w:color w:val="auto"/>
        </w:rPr>
      </w:pPr>
    </w:p>
    <w:p>
      <w:pPr>
        <w:ind w:left="2880"/>
        <w:spacing w:after="0"/>
        <w:tabs>
          <w:tab w:leader="none" w:pos="5020" w:val="left"/>
          <w:tab w:leader="none" w:pos="66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6350</wp:posOffset>
            </wp:positionV>
            <wp:extent cx="385889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58895" cy="146050"/>
                    </a:xfrm>
                    <a:prstGeom prst="rect">
                      <a:avLst/>
                    </a:prstGeom>
                    <a:noFill/>
                  </pic:spPr>
                </pic:pic>
              </a:graphicData>
            </a:graphic>
          </wp:anchor>
        </w:drawing>
      </w:r>
    </w:p>
    <w:p>
      <w:pPr>
        <w:spacing w:after="0" w:line="5" w:lineRule="exact"/>
        <w:rPr>
          <w:sz w:val="20"/>
          <w:szCs w:val="20"/>
          <w:color w:val="auto"/>
        </w:rPr>
      </w:pPr>
    </w:p>
    <w:p>
      <w:pPr>
        <w:ind w:left="3640"/>
        <w:spacing w:after="0"/>
        <w:tabs>
          <w:tab w:leader="none" w:pos="5360" w:val="left"/>
          <w:tab w:leader="none" w:pos="7020" w:val="left"/>
        </w:tabs>
        <w:rPr>
          <w:sz w:val="20"/>
          <w:szCs w:val="20"/>
          <w:color w:val="auto"/>
        </w:rPr>
      </w:pPr>
      <w:r>
        <w:rPr>
          <w:rFonts w:ascii="Arial" w:cs="Arial" w:eastAsia="Arial" w:hAnsi="Arial"/>
          <w:sz w:val="18"/>
          <w:szCs w:val="18"/>
          <w:color w:val="auto"/>
        </w:rPr>
        <w:t>9,521,404</w:t>
      </w:r>
      <w:r>
        <w:rPr>
          <w:sz w:val="20"/>
          <w:szCs w:val="20"/>
          <w:color w:val="auto"/>
        </w:rPr>
        <w:tab/>
      </w:r>
      <w:r>
        <w:rPr>
          <w:rFonts w:ascii="Arial" w:cs="Arial" w:eastAsia="Arial" w:hAnsi="Arial"/>
          <w:sz w:val="18"/>
          <w:szCs w:val="18"/>
          <w:color w:val="auto"/>
        </w:rPr>
        <w:t>396,989</w:t>
      </w:r>
      <w:r>
        <w:rPr>
          <w:sz w:val="20"/>
          <w:szCs w:val="20"/>
          <w:color w:val="auto"/>
        </w:rPr>
        <w:tab/>
      </w:r>
      <w:r>
        <w:rPr>
          <w:rFonts w:ascii="Arial" w:cs="Arial" w:eastAsia="Arial" w:hAnsi="Arial"/>
          <w:sz w:val="16"/>
          <w:szCs w:val="16"/>
          <w:color w:val="auto"/>
        </w:rPr>
        <w:t>15,399</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II</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To adjourn the meeting if necessary to solicit additional proxies in the event that there are insufficient votes to constitute a quorum or approve Proposal No. 1 at the time of the meeting.</w:t>
      </w:r>
    </w:p>
    <w:p>
      <w:pPr>
        <w:spacing w:after="0" w:line="162" w:lineRule="exact"/>
        <w:rPr>
          <w:sz w:val="20"/>
          <w:szCs w:val="20"/>
          <w:color w:val="auto"/>
        </w:rPr>
      </w:pPr>
    </w:p>
    <w:p>
      <w:pPr>
        <w:ind w:left="2880"/>
        <w:spacing w:after="0"/>
        <w:tabs>
          <w:tab w:leader="none" w:pos="5020" w:val="left"/>
          <w:tab w:leader="none" w:pos="66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6350</wp:posOffset>
            </wp:positionV>
            <wp:extent cx="385889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58895" cy="146050"/>
                    </a:xfrm>
                    <a:prstGeom prst="rect">
                      <a:avLst/>
                    </a:prstGeom>
                    <a:noFill/>
                  </pic:spPr>
                </pic:pic>
              </a:graphicData>
            </a:graphic>
          </wp:anchor>
        </w:drawing>
      </w:r>
    </w:p>
    <w:p>
      <w:pPr>
        <w:spacing w:after="0" w:line="5" w:lineRule="exact"/>
        <w:rPr>
          <w:sz w:val="20"/>
          <w:szCs w:val="20"/>
          <w:color w:val="auto"/>
        </w:rPr>
      </w:pPr>
    </w:p>
    <w:p>
      <w:pPr>
        <w:ind w:left="3640"/>
        <w:spacing w:after="0"/>
        <w:tabs>
          <w:tab w:leader="none" w:pos="5360" w:val="left"/>
          <w:tab w:leader="none" w:pos="7020" w:val="left"/>
        </w:tabs>
        <w:rPr>
          <w:sz w:val="20"/>
          <w:szCs w:val="20"/>
          <w:color w:val="auto"/>
        </w:rPr>
      </w:pPr>
      <w:r>
        <w:rPr>
          <w:rFonts w:ascii="Arial" w:cs="Arial" w:eastAsia="Arial" w:hAnsi="Arial"/>
          <w:sz w:val="18"/>
          <w:szCs w:val="18"/>
          <w:color w:val="auto"/>
        </w:rPr>
        <w:t>9,257,777</w:t>
      </w:r>
      <w:r>
        <w:rPr>
          <w:sz w:val="20"/>
          <w:szCs w:val="20"/>
          <w:color w:val="auto"/>
        </w:rPr>
        <w:tab/>
      </w:r>
      <w:r>
        <w:rPr>
          <w:rFonts w:ascii="Arial" w:cs="Arial" w:eastAsia="Arial" w:hAnsi="Arial"/>
          <w:sz w:val="18"/>
          <w:szCs w:val="18"/>
          <w:color w:val="auto"/>
        </w:rPr>
        <w:t>649,017</w:t>
      </w:r>
      <w:r>
        <w:rPr>
          <w:sz w:val="20"/>
          <w:szCs w:val="20"/>
          <w:color w:val="auto"/>
        </w:rPr>
        <w:tab/>
      </w:r>
      <w:r>
        <w:rPr>
          <w:rFonts w:ascii="Arial" w:cs="Arial" w:eastAsia="Arial" w:hAnsi="Arial"/>
          <w:sz w:val="16"/>
          <w:szCs w:val="16"/>
          <w:color w:val="auto"/>
        </w:rPr>
        <w:t>26,998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2.1</w:t>
            </w:r>
          </w:p>
        </w:tc>
        <w:tc>
          <w:tcPr>
            <w:tcW w:w="10600" w:type="dxa"/>
            <w:vAlign w:val="bottom"/>
          </w:tcPr>
          <w:p>
            <w:pPr>
              <w:ind w:left="360"/>
              <w:spacing w:after="0"/>
              <w:rPr>
                <w:sz w:val="20"/>
                <w:szCs w:val="20"/>
                <w:color w:val="auto"/>
              </w:rPr>
            </w:pPr>
            <w:r>
              <w:rPr>
                <w:rFonts w:ascii="Arial" w:cs="Arial" w:eastAsia="Arial" w:hAnsi="Arial"/>
                <w:sz w:val="18"/>
                <w:szCs w:val="18"/>
                <w:color w:val="auto"/>
                <w:w w:val="95"/>
              </w:rPr>
              <w:t>Agreement and Plan of Merger, dated as of May 28, 2009, by and among Celldex Therapeutics, Inc., CuraGen Corporation and Cottrell</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w w:val="97"/>
              </w:rPr>
              <w:t>Merger Sub, Inc. incorporated by reference to Exhibit 2.1 of the Company’s Current Report on Form 8-K filed May 29, 2009 with the</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3.1</w:t>
            </w:r>
          </w:p>
        </w:tc>
        <w:tc>
          <w:tcPr>
            <w:tcW w:w="10600" w:type="dxa"/>
            <w:vAlign w:val="bottom"/>
          </w:tcPr>
          <w:p>
            <w:pPr>
              <w:ind w:left="360"/>
              <w:spacing w:after="0"/>
              <w:rPr>
                <w:sz w:val="20"/>
                <w:szCs w:val="20"/>
                <w:color w:val="auto"/>
              </w:rPr>
            </w:pPr>
            <w:r>
              <w:rPr>
                <w:rFonts w:ascii="Arial" w:cs="Arial" w:eastAsia="Arial" w:hAnsi="Arial"/>
                <w:sz w:val="18"/>
                <w:szCs w:val="18"/>
                <w:color w:val="auto"/>
                <w:w w:val="98"/>
              </w:rPr>
              <w:t>Third Restated Certificate of Incorporation of the Company, incorporated by reference to Exhibit 3.1 of the Company’s Registration</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3.2</w:t>
            </w:r>
          </w:p>
        </w:tc>
        <w:tc>
          <w:tcPr>
            <w:tcW w:w="10600" w:type="dxa"/>
            <w:vAlign w:val="bottom"/>
          </w:tcPr>
          <w:p>
            <w:pPr>
              <w:ind w:left="360"/>
              <w:spacing w:after="0"/>
              <w:rPr>
                <w:sz w:val="20"/>
                <w:szCs w:val="20"/>
                <w:color w:val="auto"/>
              </w:rPr>
            </w:pPr>
            <w:r>
              <w:rPr>
                <w:rFonts w:ascii="Arial" w:cs="Arial" w:eastAsia="Arial" w:hAnsi="Arial"/>
                <w:sz w:val="18"/>
                <w:szCs w:val="18"/>
                <w:color w:val="auto"/>
                <w:w w:val="95"/>
              </w:rPr>
              <w:t>Certificate of Amendment of Third Restated Certificate of Incorporation of the Company, incorporated by reference to Exhibit 3.1 of the</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w w:val="93"/>
              </w:rPr>
              <w:t>Company’s Registration Statement on Form S-4 (Reg. No. 333-59215), filed July 16, 1998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3.3</w:t>
            </w:r>
          </w:p>
        </w:tc>
        <w:tc>
          <w:tcPr>
            <w:tcW w:w="10600" w:type="dxa"/>
            <w:vAlign w:val="bottom"/>
          </w:tcPr>
          <w:p>
            <w:pPr>
              <w:ind w:left="36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 of</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w w:val="90"/>
              </w:rPr>
              <w:t>the Company’s Registration Statement on Form S-4 (Reg. No. 333-59215), filed July 16, 1998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3.4</w:t>
            </w:r>
          </w:p>
        </w:tc>
        <w:tc>
          <w:tcPr>
            <w:tcW w:w="10600" w:type="dxa"/>
            <w:vAlign w:val="bottom"/>
          </w:tcPr>
          <w:p>
            <w:pPr>
              <w:ind w:left="36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3.5</w:t>
            </w:r>
          </w:p>
        </w:tc>
        <w:tc>
          <w:tcPr>
            <w:tcW w:w="10600" w:type="dxa"/>
            <w:vAlign w:val="bottom"/>
          </w:tcPr>
          <w:p>
            <w:pPr>
              <w:ind w:left="36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3.6</w:t>
            </w:r>
          </w:p>
        </w:tc>
        <w:tc>
          <w:tcPr>
            <w:tcW w:w="10600" w:type="dxa"/>
            <w:vAlign w:val="bottom"/>
          </w:tcPr>
          <w:p>
            <w:pPr>
              <w:ind w:left="36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 the</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3.7</w:t>
            </w:r>
          </w:p>
        </w:tc>
        <w:tc>
          <w:tcPr>
            <w:tcW w:w="10600" w:type="dxa"/>
            <w:vAlign w:val="bottom"/>
          </w:tcPr>
          <w:p>
            <w:pPr>
              <w:ind w:left="360"/>
              <w:spacing w:after="0"/>
              <w:rPr>
                <w:sz w:val="20"/>
                <w:szCs w:val="20"/>
                <w:color w:val="auto"/>
              </w:rPr>
            </w:pPr>
            <w:r>
              <w:rPr>
                <w:rFonts w:ascii="Arial" w:cs="Arial" w:eastAsia="Arial" w:hAnsi="Arial"/>
                <w:sz w:val="18"/>
                <w:szCs w:val="18"/>
                <w:color w:val="auto"/>
                <w:w w:val="94"/>
              </w:rPr>
              <w:t>Sixth Certificate of Amendment of Third Restated Certificate of Incorporation of the Company, incorporated by reference to Exhibit 3.7 of</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800" w:type="dxa"/>
            <w:vAlign w:val="bottom"/>
          </w:tcPr>
          <w:p>
            <w:pPr>
              <w:jc w:val="center"/>
              <w:ind w:left="10"/>
              <w:spacing w:after="0"/>
              <w:rPr>
                <w:sz w:val="20"/>
                <w:szCs w:val="20"/>
                <w:color w:val="auto"/>
              </w:rPr>
            </w:pPr>
            <w:r>
              <w:rPr>
                <w:rFonts w:ascii="Arial" w:cs="Arial" w:eastAsia="Arial" w:hAnsi="Arial"/>
                <w:sz w:val="18"/>
                <w:szCs w:val="18"/>
                <w:color w:val="auto"/>
                <w:w w:val="87"/>
              </w:rPr>
              <w:t>4.3</w:t>
            </w:r>
          </w:p>
        </w:tc>
        <w:tc>
          <w:tcPr>
            <w:tcW w:w="10600" w:type="dxa"/>
            <w:vAlign w:val="bottom"/>
          </w:tcPr>
          <w:p>
            <w:pPr>
              <w:ind w:left="360"/>
              <w:spacing w:after="0"/>
              <w:rPr>
                <w:sz w:val="20"/>
                <w:szCs w:val="20"/>
                <w:color w:val="auto"/>
              </w:rPr>
            </w:pPr>
            <w:r>
              <w:rPr>
                <w:rFonts w:ascii="Arial" w:cs="Arial" w:eastAsia="Arial" w:hAnsi="Arial"/>
                <w:sz w:val="18"/>
                <w:szCs w:val="18"/>
                <w:color w:val="auto"/>
                <w:w w:val="92"/>
              </w:rPr>
              <w:t>Amendment No. 2 to Shareholder Rights Agreement dated November 5, 2004, between the Company and Computershare Trust Company,</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w w:val="93"/>
              </w:rPr>
              <w:t>N.A. (formerly EquiServe Trust Company, N.A.), as Rights Agent, incorporated by reference to Exhibit 10.1 of the Company’s Registration</w:t>
            </w:r>
          </w:p>
        </w:tc>
      </w:tr>
      <w:tr>
        <w:trPr>
          <w:trHeight w:val="216"/>
        </w:trPr>
        <w:tc>
          <w:tcPr>
            <w:tcW w:w="800" w:type="dxa"/>
            <w:vAlign w:val="bottom"/>
          </w:tcPr>
          <w:p>
            <w:pPr>
              <w:spacing w:after="0"/>
              <w:rPr>
                <w:sz w:val="18"/>
                <w:szCs w:val="18"/>
                <w:color w:val="auto"/>
              </w:rPr>
            </w:pPr>
          </w:p>
        </w:tc>
        <w:tc>
          <w:tcPr>
            <w:tcW w:w="10600" w:type="dxa"/>
            <w:vAlign w:val="bottom"/>
          </w:tcPr>
          <w:p>
            <w:pPr>
              <w:ind w:left="36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800" w:type="dxa"/>
            <w:vAlign w:val="bottom"/>
          </w:tcPr>
          <w:p>
            <w:pPr>
              <w:jc w:val="center"/>
              <w:ind w:left="30"/>
              <w:spacing w:after="0"/>
              <w:rPr>
                <w:sz w:val="20"/>
                <w:szCs w:val="20"/>
                <w:color w:val="auto"/>
              </w:rPr>
            </w:pPr>
            <w:r>
              <w:rPr>
                <w:rFonts w:ascii="Arial" w:cs="Arial" w:eastAsia="Arial" w:hAnsi="Arial"/>
                <w:sz w:val="18"/>
                <w:szCs w:val="18"/>
                <w:color w:val="auto"/>
                <w:w w:val="95"/>
              </w:rPr>
              <w:t>*31.1</w:t>
            </w:r>
          </w:p>
        </w:tc>
        <w:tc>
          <w:tcPr>
            <w:tcW w:w="10600" w:type="dxa"/>
            <w:vAlign w:val="bottom"/>
          </w:tcPr>
          <w:p>
            <w:pPr>
              <w:ind w:left="36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00" w:type="dxa"/>
            <w:vAlign w:val="bottom"/>
          </w:tcPr>
          <w:p>
            <w:pPr>
              <w:jc w:val="center"/>
              <w:ind w:left="30"/>
              <w:spacing w:after="0"/>
              <w:rPr>
                <w:sz w:val="20"/>
                <w:szCs w:val="20"/>
                <w:color w:val="auto"/>
              </w:rPr>
            </w:pPr>
            <w:r>
              <w:rPr>
                <w:rFonts w:ascii="Arial" w:cs="Arial" w:eastAsia="Arial" w:hAnsi="Arial"/>
                <w:sz w:val="18"/>
                <w:szCs w:val="18"/>
                <w:color w:val="auto"/>
                <w:w w:val="95"/>
              </w:rPr>
              <w:t>*31.2</w:t>
            </w:r>
          </w:p>
        </w:tc>
        <w:tc>
          <w:tcPr>
            <w:tcW w:w="10600" w:type="dxa"/>
            <w:vAlign w:val="bottom"/>
          </w:tcPr>
          <w:p>
            <w:pPr>
              <w:ind w:left="36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800" w:type="dxa"/>
            <w:vAlign w:val="bottom"/>
          </w:tcPr>
          <w:p>
            <w:pPr>
              <w:jc w:val="center"/>
              <w:ind w:left="10"/>
              <w:spacing w:after="0"/>
              <w:rPr>
                <w:sz w:val="20"/>
                <w:szCs w:val="20"/>
                <w:color w:val="auto"/>
              </w:rPr>
            </w:pPr>
            <w:r>
              <w:rPr>
                <w:rFonts w:ascii="Arial" w:cs="Arial" w:eastAsia="Arial" w:hAnsi="Arial"/>
                <w:sz w:val="18"/>
                <w:szCs w:val="18"/>
                <w:color w:val="auto"/>
              </w:rPr>
              <w:t>**32.1</w:t>
            </w:r>
          </w:p>
        </w:tc>
        <w:tc>
          <w:tcPr>
            <w:tcW w:w="10600" w:type="dxa"/>
            <w:vAlign w:val="bottom"/>
          </w:tcPr>
          <w:p>
            <w:pPr>
              <w:ind w:left="360"/>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60" w:hanging="77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hanging="79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CELLDEX THERAPEUTICS,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Dated: November 6, 2009</w:t>
            </w:r>
          </w:p>
        </w:tc>
        <w:tc>
          <w:tcPr>
            <w:tcW w:w="23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gridSpan w:val="2"/>
            <w:vMerge w:val="continue"/>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Dated: November 6, 2009</w:t>
            </w:r>
          </w:p>
        </w:tc>
        <w:tc>
          <w:tcPr>
            <w:tcW w:w="23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gridSpan w:val="2"/>
            <w:vMerge w:val="continue"/>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7980" w:type="dxa"/>
            <w:vAlign w:val="bottom"/>
            <w:gridSpan w:val="2"/>
          </w:tcPr>
          <w:p>
            <w:pPr>
              <w:jc w:val="center"/>
              <w:ind w:right="3332"/>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380" w:type="dxa"/>
            <w:vAlign w:val="bottom"/>
          </w:tcPr>
          <w:p>
            <w:pPr>
              <w:spacing w:after="0"/>
              <w:rPr>
                <w:sz w:val="24"/>
                <w:szCs w:val="24"/>
                <w:color w:val="auto"/>
              </w:rPr>
            </w:pPr>
          </w:p>
        </w:tc>
        <w:tc>
          <w:tcPr>
            <w:tcW w:w="5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38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40" w:right="560" w:hanging="780"/>
        <w:spacing w:after="0" w:line="249" w:lineRule="auto"/>
        <w:tabs>
          <w:tab w:leader="none" w:pos="11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spacing w:after="0" w:line="3" w:lineRule="exact"/>
        <w:rPr>
          <w:sz w:val="20"/>
          <w:szCs w:val="20"/>
          <w:color w:val="auto"/>
        </w:rPr>
      </w:pPr>
    </w:p>
    <w:p>
      <w:pPr>
        <w:ind w:left="1140" w:right="60" w:hanging="780"/>
        <w:spacing w:after="0" w:line="250" w:lineRule="auto"/>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40" w:right="340" w:hanging="780"/>
        <w:spacing w:after="0" w:line="281" w:lineRule="auto"/>
        <w:tabs>
          <w:tab w:leader="none" w:pos="1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40" w:right="60" w:hanging="780"/>
        <w:spacing w:after="0" w:line="281" w:lineRule="auto"/>
        <w:tabs>
          <w:tab w:leader="none" w:pos="11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jc w:val="both"/>
        <w:ind w:left="1140" w:right="300" w:hanging="780"/>
        <w:spacing w:after="0" w:line="265" w:lineRule="auto"/>
        <w:tabs>
          <w:tab w:leader="none" w:pos="11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ind w:left="1140" w:right="220" w:hanging="780"/>
        <w:spacing w:after="0" w:line="265" w:lineRule="auto"/>
        <w:tabs>
          <w:tab w:leader="none" w:pos="11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1140" w:right="80" w:hanging="780"/>
        <w:spacing w:after="0" w:line="265" w:lineRule="auto"/>
        <w:tabs>
          <w:tab w:leader="none" w:pos="11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1140" w:right="60" w:hanging="780"/>
        <w:spacing w:after="0" w:line="265" w:lineRule="auto"/>
        <w:tabs>
          <w:tab w:leader="none" w:pos="11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jc w:val="both"/>
        <w:ind w:left="1140" w:right="280" w:hanging="780"/>
        <w:spacing w:after="0" w:line="265" w:lineRule="auto"/>
        <w:tabs>
          <w:tab w:leader="none" w:pos="11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22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160" w:hanging="74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hanging="76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20" w:hanging="652"/>
        <w:spacing w:after="0" w:line="308" w:lineRule="auto"/>
        <w:tabs>
          <w:tab w:leader="none" w:pos="6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60" w:hanging="644"/>
        <w:spacing w:after="0" w:line="342" w:lineRule="auto"/>
        <w:tabs>
          <w:tab w:leader="none" w:pos="131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6, 2009</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86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860" w:type="dxa"/>
            <w:vAlign w:val="bottom"/>
          </w:tcPr>
          <w:p>
            <w:pPr>
              <w:spacing w:after="0"/>
              <w:rPr>
                <w:sz w:val="20"/>
                <w:szCs w:val="20"/>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860" w:type="dxa"/>
            <w:vAlign w:val="bottom"/>
            <w:tcBorders>
              <w:bottom w:val="single" w:sz="8" w:color="010101"/>
            </w:tcBorders>
          </w:tcPr>
          <w:p>
            <w:pPr>
              <w:spacing w:after="0"/>
              <w:rPr>
                <w:sz w:val="24"/>
                <w:szCs w:val="24"/>
                <w:color w:val="auto"/>
              </w:rPr>
            </w:pPr>
          </w:p>
        </w:tc>
        <w:tc>
          <w:tcPr>
            <w:tcW w:w="276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660" w:right="340" w:hanging="652"/>
        <w:spacing w:after="0" w:line="264"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20" w:hanging="652"/>
        <w:spacing w:after="0" w:line="308" w:lineRule="auto"/>
        <w:tabs>
          <w:tab w:leader="none" w:pos="6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652"/>
        <w:spacing w:after="0" w:line="264"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60" w:hanging="644"/>
        <w:spacing w:after="0" w:line="342" w:lineRule="auto"/>
        <w:tabs>
          <w:tab w:leader="none" w:pos="13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6, 2009</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6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6, 2009</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60" w:type="dxa"/>
            <w:vAlign w:val="bottom"/>
          </w:tcPr>
          <w:p>
            <w:pPr>
              <w:spacing w:after="0"/>
              <w:rPr>
                <w:sz w:val="16"/>
                <w:szCs w:val="16"/>
                <w:color w:val="auto"/>
              </w:rPr>
            </w:pPr>
          </w:p>
        </w:tc>
        <w:tc>
          <w:tcPr>
            <w:tcW w:w="26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6, 2009</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60" w:type="dxa"/>
            <w:vAlign w:val="bottom"/>
          </w:tcPr>
          <w:p>
            <w:pPr>
              <w:spacing w:after="0"/>
              <w:rPr>
                <w:sz w:val="16"/>
                <w:szCs w:val="16"/>
                <w:color w:val="auto"/>
              </w:rPr>
            </w:pPr>
          </w:p>
        </w:tc>
        <w:tc>
          <w:tcPr>
            <w:tcW w:w="26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7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lvl w:ilvl="1">
      <w:lvlJc w:val="left"/>
      <w:lvlText w:val="·"/>
      <w:numFmt w:val="bullet"/>
      <w:start w:val="1"/>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decimal"/>
      <w:start w:val="1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1)"/>
      <w:numFmt w:val="lowerRoman"/>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Roman"/>
      <w:start w:val="3"/>
    </w:lvl>
  </w:abstractNum>
  <w:abstractNum w:abstractNumId="22">
    <w:nsid w:val="B03E0C6"/>
    <w:multiLevelType w:val="hybridMultilevel"/>
    <w:lvl w:ilvl="0">
      <w:lvlJc w:val="left"/>
      <w:lvlText w:val="(%1)"/>
      <w:numFmt w:val="lowerRoman"/>
      <w:start w:val="2"/>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2019-12-10T05:23:56Z</dcterms:created>
  <dcterms:modified xsi:type="dcterms:W3CDTF">2019-12-10T05:23:56Z</dcterms:modified>
</cp:coreProperties>
</file>