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80"/>
          </w:cols>
          <w:pgMar w:left="240" w:top="233"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3"/>
              </w:rPr>
              <w:t>Accelerated filer x</w:t>
            </w:r>
          </w:p>
        </w:tc>
      </w:tr>
      <w:tr>
        <w:trPr>
          <w:trHeight w:val="418"/>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3, 2018, 143,392,841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ectPr>
          <w:pgSz w:w="11900" w:h="16838" w:orient="portrait"/>
          <w:cols w:equalWidth="0" w:num="1">
            <w:col w:w="11400"/>
          </w:cols>
          <w:pgMar w:left="240" w:top="233" w:right="25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10"/>
            <w:vMerge w:val="restart"/>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 — Financial Information</w:t>
              </w:r>
            </w:hyperlink>
          </w:p>
        </w:tc>
        <w:tc>
          <w:tcPr>
            <w:tcW w:w="5740" w:type="dxa"/>
            <w:vAlign w:val="bottom"/>
            <w:gridSpan w:val="8"/>
            <w:vMerge w:val="restart"/>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0"/>
            <w:vMerge w:val="continue"/>
          </w:tcPr>
          <w:p>
            <w:pPr>
              <w:spacing w:after="0"/>
              <w:rPr>
                <w:sz w:val="13"/>
                <w:szCs w:val="13"/>
                <w:color w:val="auto"/>
              </w:rPr>
            </w:pPr>
          </w:p>
        </w:tc>
        <w:tc>
          <w:tcPr>
            <w:tcW w:w="574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00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March 31, 2018 and December 31, 2017</w:t>
              </w:r>
            </w:hyperlink>
          </w:p>
        </w:tc>
        <w:tc>
          <w:tcPr>
            <w:tcW w:w="174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Months Ended March 31, 2018 and 2017</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20" w:type="dxa"/>
            <w:vAlign w:val="bottom"/>
            <w:gridSpan w:val="16"/>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Cash Flows for the Three Months Ended March 31, 2018 and 2017</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900" w:type="dxa"/>
            <w:vAlign w:val="bottom"/>
            <w:tcBorders>
              <w:top w:val="single" w:sz="8" w:color="0000EE"/>
            </w:tcBorders>
            <w:gridSpan w:val="3"/>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00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2. Management’s Discussion and Analysis of Financial Condition and Results of Operations</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020" w:type="dxa"/>
            <w:vAlign w:val="bottom"/>
            <w:tcBorders>
              <w:top w:val="single" w:sz="8" w:color="0000EE"/>
            </w:tcBorders>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 Quantitative and Qualitative Disclosures About Market Risk</w:t>
              </w:r>
            </w:hyperlink>
          </w:p>
        </w:tc>
        <w:tc>
          <w:tcPr>
            <w:tcW w:w="9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2"/>
          </w:tcPr>
          <w:p>
            <w:pPr>
              <w:spacing w:after="0"/>
              <w:rPr>
                <w:sz w:val="24"/>
                <w:szCs w:val="24"/>
                <w:color w:val="auto"/>
              </w:rPr>
            </w:pPr>
          </w:p>
        </w:tc>
        <w:tc>
          <w:tcPr>
            <w:tcW w:w="308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8180" w:type="dxa"/>
            <w:vAlign w:val="bottom"/>
            <w:gridSpan w:val="18"/>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 Other Information</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1A. Risk Factors</w:t>
              </w:r>
            </w:hyperlink>
          </w:p>
        </w:tc>
        <w:tc>
          <w:tcPr>
            <w:tcW w:w="460" w:type="dxa"/>
            <w:vAlign w:val="bottom"/>
            <w:tcBorders>
              <w:top w:val="single" w:sz="8" w:color="0000EE"/>
            </w:tcBorders>
            <w:gridSpan w:val="2"/>
          </w:tcPr>
          <w:p>
            <w:pPr>
              <w:spacing w:after="0"/>
              <w:rPr>
                <w:sz w:val="24"/>
                <w:szCs w:val="24"/>
                <w:color w:val="auto"/>
              </w:rPr>
            </w:pPr>
          </w:p>
        </w:tc>
        <w:tc>
          <w:tcPr>
            <w:tcW w:w="594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80" w:type="dxa"/>
            <w:vAlign w:val="bottom"/>
            <w:tcBorders>
              <w:bottom w:val="single" w:sz="8" w:color="0000EE"/>
            </w:tcBorders>
            <w:gridSpan w:val="7"/>
          </w:tcPr>
          <w:p>
            <w:pPr>
              <w:spacing w:after="0"/>
              <w:rPr>
                <w:rFonts w:ascii="Arial" w:cs="Arial" w:eastAsia="Arial" w:hAnsi="Arial"/>
                <w:sz w:val="18"/>
                <w:szCs w:val="18"/>
                <w:i w:val="1"/>
                <w:iCs w:val="1"/>
                <w:color w:val="0000EE"/>
                <w:w w:val="92"/>
              </w:rPr>
            </w:pPr>
            <w:hyperlink w:anchor="page33">
              <w:r>
                <w:rPr>
                  <w:rFonts w:ascii="Arial" w:cs="Arial" w:eastAsia="Arial" w:hAnsi="Arial"/>
                  <w:sz w:val="18"/>
                  <w:szCs w:val="18"/>
                  <w:i w:val="1"/>
                  <w:iCs w:val="1"/>
                  <w:color w:val="0000EE"/>
                  <w:w w:val="92"/>
                </w:rPr>
                <w:t>Item 5. Other Information</w:t>
              </w:r>
            </w:hyperlink>
          </w:p>
        </w:tc>
        <w:tc>
          <w:tcPr>
            <w:tcW w:w="612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800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900" w:type="dxa"/>
            <w:vAlign w:val="bottom"/>
            <w:tcBorders>
              <w:left w:val="single" w:sz="8" w:color="0000EE"/>
            </w:tcBorders>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8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8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 Index</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53"/>
        </w:trPr>
        <w:tc>
          <w:tcPr>
            <w:tcW w:w="1060" w:type="dxa"/>
            <w:vAlign w:val="bottom"/>
            <w:tcBorders>
              <w:top w:val="single" w:sz="8" w:color="0000EE"/>
            </w:tcBorders>
            <w:gridSpan w:val="5"/>
          </w:tcPr>
          <w:p>
            <w:pPr>
              <w:spacing w:after="0"/>
              <w:rPr>
                <w:sz w:val="24"/>
                <w:szCs w:val="24"/>
                <w:color w:val="auto"/>
              </w:rPr>
            </w:pPr>
          </w:p>
        </w:tc>
        <w:tc>
          <w:tcPr>
            <w:tcW w:w="5380" w:type="dxa"/>
            <w:vAlign w:val="bottom"/>
            <w:gridSpan w:val="10"/>
          </w:tcPr>
          <w:p>
            <w:pPr>
              <w:jc w:val="center"/>
              <w:ind w:left="3830"/>
              <w:spacing w:after="0"/>
              <w:rPr>
                <w:sz w:val="20"/>
                <w:szCs w:val="20"/>
                <w:color w:val="auto"/>
              </w:rPr>
            </w:pPr>
            <w:r>
              <w:rPr>
                <w:rFonts w:ascii="Arial" w:cs="Arial" w:eastAsia="Arial" w:hAnsi="Arial"/>
                <w:sz w:val="18"/>
                <w:szCs w:val="18"/>
                <w:color w:val="auto"/>
                <w:w w:val="99"/>
              </w:rPr>
              <w:t>2</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8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180" w:type="dxa"/>
            <w:vAlign w:val="bottom"/>
            <w:gridSpan w:val="18"/>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80" w:type="dxa"/>
            <w:vAlign w:val="bottom"/>
            <w:gridSpan w:val="18"/>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rPr>
              <w:t>CELLDEX THERAPEUTICS,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4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gridSpan w:val="4"/>
          </w:tcPr>
          <w:p>
            <w:pPr>
              <w:jc w:val="center"/>
              <w:ind w:right="192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24"/>
                <w:szCs w:val="24"/>
                <w:color w:val="auto"/>
              </w:rPr>
            </w:pPr>
          </w:p>
        </w:tc>
        <w:tc>
          <w:tcPr>
            <w:tcW w:w="14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tcBorders>
            <w:gridSpan w:val="18"/>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000" w:type="dxa"/>
            <w:vAlign w:val="bottom"/>
            <w:gridSpan w:val="17"/>
          </w:tcPr>
          <w:p>
            <w:pPr>
              <w:ind w:left="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83,424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99,139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000" w:type="dxa"/>
            <w:vAlign w:val="bottom"/>
            <w:gridSpan w:val="17"/>
          </w:tcPr>
          <w:p>
            <w:pPr>
              <w:ind w:left="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3,704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3,449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130,972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144,756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gridSpan w:val="18"/>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18"/>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7800" w:type="dxa"/>
            <w:vAlign w:val="bottom"/>
            <w:tcBorders>
              <w:bottom w:val="single" w:sz="8" w:color="CCEEFF"/>
            </w:tcBorders>
            <w:gridSpan w:val="15"/>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191,376</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180" w:type="dxa"/>
            <w:vAlign w:val="bottom"/>
            <w:gridSpan w:val="18"/>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gridSpan w:val="18"/>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000" w:type="dxa"/>
            <w:vAlign w:val="bottom"/>
            <w:gridSpan w:val="17"/>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14,897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19,455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Current Portion of Long-Term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0" w:type="dxa"/>
            <w:vAlign w:val="bottom"/>
            <w:tcBorders>
              <w:bottom w:val="single" w:sz="8" w:color="CCEEFF"/>
            </w:tcBorders>
            <w:gridSpan w:val="15"/>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27,736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0" w:type="dxa"/>
            <w:vAlign w:val="bottom"/>
            <w:tcBorders>
              <w:bottom w:val="single" w:sz="8" w:color="CCEEFF"/>
            </w:tcBorders>
            <w:gridSpan w:val="15"/>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79,255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180" w:type="dxa"/>
            <w:vAlign w:val="bottom"/>
            <w:gridSpan w:val="18"/>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Contingent Liabilities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18"/>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8000" w:type="dxa"/>
            <w:vAlign w:val="bottom"/>
            <w:gridSpan w:val="17"/>
            <w:shd w:val="clear" w:color="auto" w:fill="CCEEFF"/>
          </w:tcPr>
          <w:p>
            <w:pPr>
              <w:ind w:left="20"/>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Outstanding at March 31, 2018 and December 31, 2017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8000" w:type="dxa"/>
            <w:vAlign w:val="bottom"/>
            <w:gridSpan w:val="17"/>
          </w:tcPr>
          <w:p>
            <w:pPr>
              <w:ind w:left="20"/>
              <w:spacing w:after="0" w:line="201" w:lineRule="exact"/>
              <w:rPr>
                <w:sz w:val="20"/>
                <w:szCs w:val="20"/>
                <w:color w:val="auto"/>
              </w:rPr>
            </w:pPr>
            <w:r>
              <w:rPr>
                <w:rFonts w:ascii="Arial" w:cs="Arial" w:eastAsia="Arial" w:hAnsi="Arial"/>
                <w:sz w:val="18"/>
                <w:szCs w:val="18"/>
                <w:color w:val="auto"/>
                <w:w w:val="95"/>
              </w:rPr>
              <w:t>Common Stock, $.001 Par Value; 297,000,000 Shares Authorized; 143,368,784 and 138,520,404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0" w:type="dxa"/>
            <w:vAlign w:val="bottom"/>
            <w:gridSpan w:val="15"/>
          </w:tcPr>
          <w:p>
            <w:pPr>
              <w:spacing w:after="0"/>
              <w:rPr>
                <w:sz w:val="20"/>
                <w:szCs w:val="20"/>
                <w:color w:val="auto"/>
              </w:rPr>
            </w:pPr>
            <w:r>
              <w:rPr>
                <w:rFonts w:ascii="Arial" w:cs="Arial" w:eastAsia="Arial" w:hAnsi="Arial"/>
                <w:sz w:val="18"/>
                <w:szCs w:val="18"/>
                <w:color w:val="auto"/>
              </w:rPr>
              <w:t>Issued and Outstanding at March 31, 2018 and December 31, 2017,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8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1,060,768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1,046,183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8000" w:type="dxa"/>
            <w:vAlign w:val="bottom"/>
            <w:gridSpan w:val="17"/>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2,559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tcBorders>
              <w:lef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-5826125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-5826125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(929,388)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(812,517)</w:t>
            </w:r>
          </w:p>
        </w:tc>
      </w:tr>
      <w:tr>
        <w:trPr>
          <w:trHeight w:val="210"/>
        </w:trPr>
        <w:tc>
          <w:tcPr>
            <w:tcW w:w="58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Stockholders’ Equity</w:t>
            </w:r>
          </w:p>
        </w:tc>
        <w:tc>
          <w:tcPr>
            <w:tcW w:w="24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134,082</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236,369</w:t>
            </w:r>
          </w:p>
        </w:tc>
        <w:tc>
          <w:tcPr>
            <w:tcW w:w="100" w:type="dxa"/>
            <w:vAlign w:val="bottom"/>
            <w:tcBorders>
              <w:bottom w:val="single" w:sz="8" w:color="CCEEFF"/>
            </w:tcBorders>
          </w:tcPr>
          <w:p>
            <w:pPr>
              <w:spacing w:after="0"/>
              <w:rPr>
                <w:sz w:val="18"/>
                <w:szCs w:val="18"/>
                <w:color w:val="auto"/>
              </w:rPr>
            </w:pPr>
          </w:p>
        </w:tc>
      </w:tr>
      <w:tr>
        <w:trPr>
          <w:trHeight w:val="21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4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191,376</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18,677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(Gain)/Loss on Fair Value Remeasurement of Contingent Consideration</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1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Benefit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(118,132)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6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2017</w:t>
            </w:r>
          </w:p>
        </w:tc>
      </w:tr>
      <w:tr>
        <w:trPr>
          <w:trHeight w:val="196"/>
        </w:trPr>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(118,132)</w:t>
            </w: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(34,261)</w:t>
            </w:r>
          </w:p>
        </w:tc>
      </w:tr>
      <w:tr>
        <w:trPr>
          <w:trHeight w:val="216"/>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r>
      <w:tr>
        <w:trPr>
          <w:trHeight w:val="216"/>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6940" w:type="dxa"/>
            <w:vAlign w:val="bottom"/>
          </w:tcPr>
          <w:p>
            <w:pPr>
              <w:ind w:left="380"/>
              <w:spacing w:after="0"/>
              <w:rPr>
                <w:sz w:val="20"/>
                <w:szCs w:val="20"/>
                <w:color w:val="auto"/>
              </w:rPr>
            </w:pPr>
            <w:r>
              <w:rPr>
                <w:rFonts w:ascii="Arial" w:cs="Arial" w:eastAsia="Arial" w:hAnsi="Arial"/>
                <w:sz w:val="18"/>
                <w:szCs w:val="18"/>
                <w:color w:val="auto"/>
              </w:rPr>
              <w:t>Amortization and Premium of Marketable Securities, Net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90,976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Intangible Asset Impairment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tcPr>
          <w:p>
            <w:pPr>
              <w:ind w:left="380"/>
              <w:spacing w:after="0"/>
              <w:rPr>
                <w:sz w:val="20"/>
                <w:szCs w:val="20"/>
                <w:color w:val="auto"/>
              </w:rPr>
            </w:pPr>
            <w:r>
              <w:rPr>
                <w:rFonts w:ascii="Arial" w:cs="Arial" w:eastAsia="Arial" w:hAnsi="Arial"/>
                <w:sz w:val="18"/>
                <w:szCs w:val="18"/>
                <w:color w:val="auto"/>
              </w:rPr>
              <w:t>(Gain)/Loss on Fair Value Remeasurement of Contingent Consideration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(13,600)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r>
      <w:tr>
        <w:trPr>
          <w:trHeight w:val="216"/>
        </w:trPr>
        <w:tc>
          <w:tcPr>
            <w:tcW w:w="6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Income Tax Benefit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3,539</w:t>
            </w:r>
          </w:p>
        </w:tc>
      </w:tr>
      <w:tr>
        <w:trPr>
          <w:trHeight w:val="216"/>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Expense</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and Other Receivables</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66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(989)</w:t>
            </w:r>
          </w:p>
        </w:tc>
      </w:tr>
      <w:tr>
        <w:trPr>
          <w:trHeight w:val="216"/>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66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(8,315)</w:t>
            </w:r>
          </w:p>
        </w:tc>
      </w:tr>
      <w:tr>
        <w:trPr>
          <w:trHeight w:val="216"/>
        </w:trPr>
        <w:tc>
          <w:tcPr>
            <w:tcW w:w="6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(35,262)</w:t>
            </w:r>
          </w:p>
        </w:tc>
        <w:tc>
          <w:tcPr>
            <w:tcW w:w="100" w:type="dxa"/>
            <w:vAlign w:val="bottom"/>
            <w:tcBorders>
              <w:bottom w:val="single" w:sz="8" w:color="CCEEFF"/>
            </w:tcBorders>
          </w:tcPr>
          <w:p>
            <w:pPr>
              <w:spacing w:after="0"/>
              <w:rPr>
                <w:sz w:val="18"/>
                <w:szCs w:val="18"/>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46,871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73,736</w:t>
            </w: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(50,961)</w:t>
            </w: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Stock Issuances</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12,821</w:t>
            </w: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Proceeds from Issuance of Stock from Employee Benefit Plans</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40,288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42,461</w:t>
            </w: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4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42,497</w:t>
            </w:r>
          </w:p>
        </w:tc>
        <w:tc>
          <w:tcPr>
            <w:tcW w:w="100" w:type="dxa"/>
            <w:vAlign w:val="bottom"/>
            <w:tcBorders>
              <w:bottom w:val="single" w:sz="8" w:color="CCEEFF"/>
            </w:tcBorders>
          </w:tcPr>
          <w:p>
            <w:pPr>
              <w:spacing w:after="0"/>
              <w:rPr>
                <w:sz w:val="21"/>
                <w:szCs w:val="2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Non-cash Investing Activities</w:t>
            </w:r>
          </w:p>
        </w:tc>
        <w:tc>
          <w:tcPr>
            <w:tcW w:w="1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Accrued construction in progress</w:t>
            </w:r>
          </w:p>
        </w:tc>
        <w:tc>
          <w:tcPr>
            <w:tcW w:w="19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Supplemental Disclosure</w:t>
            </w: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640" w:type="dxa"/>
            <w:vAlign w:val="bottom"/>
          </w:tcPr>
          <w:p>
            <w:pPr>
              <w:ind w:left="200"/>
              <w:spacing w:after="0"/>
              <w:rPr>
                <w:sz w:val="20"/>
                <w:szCs w:val="20"/>
                <w:color w:val="auto"/>
              </w:rPr>
            </w:pPr>
            <w:r>
              <w:rPr>
                <w:rFonts w:ascii="Arial" w:cs="Arial" w:eastAsia="Arial" w:hAnsi="Arial"/>
                <w:sz w:val="18"/>
                <w:szCs w:val="18"/>
                <w:color w:val="auto"/>
              </w:rPr>
              <w:t>Shares issued to former Kolltan executive for settlement of severance</w:t>
            </w:r>
          </w:p>
        </w:tc>
        <w:tc>
          <w:tcPr>
            <w:tcW w:w="19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62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balances and transactions have been eliminated in consolidation.</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2017, which are included in the Company’s Annual Report on Form 10-K filed with the Securities and Exchange Commission on March 7, 2018.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2018, the Company had cash, cash equivalents and marketable securities of $123.2 million. The Company has had recurring losses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incurred a loss of $118.1 million for the three months ended March 31, 2018. Net cash used in operations for the three months ended March 31, 2018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$28.0 million. The Company believes that the cash, cash equivalents and marketable securities at May 10, 2018 will be sufficient to meet estimated working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requirements and fund planned operations for at least the next twelve months from the date of issuance of these financial statements.</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Subsequent Events</w:t>
      </w:r>
    </w:p>
    <w:p>
      <w:pPr>
        <w:sectPr>
          <w:pgSz w:w="11900" w:h="16838" w:orient="portrait"/>
          <w:cols w:equalWidth="0" w:num="1">
            <w:col w:w="11420"/>
          </w:cols>
          <w:pgMar w:left="240" w:top="125" w:right="239" w:bottom="23" w:gutter="0" w:footer="0" w:header="0"/>
        </w:sectPr>
      </w:pPr>
    </w:p>
    <w:bookmarkStart w:id="4" w:name="page5"/>
    <w:bookmarkEnd w:id="4"/>
    <w:p>
      <w:pPr>
        <w:spacing w:after="0" w:line="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On April 16, 2018, the Company announced the failure of its clinical trial (“METRIC”) in metastatic triple-negative breast cancer to meet its primary endpoint and decision to discontinue the glembatumumab vedotin (“Glemba”) program. The Company considered the METRIC failure and discontinuation of the Glemba program to be a recognized subsequent event that provided additional evidence related to estimates used in preparing the financial statements as of March 31, 2018. Accordingly, for the quarter ended March 31, 2018, the Company recognized (i) an aggregate of $18.7 million in non-cash impairment charges related to fully impairing Glemba-related intangible assets, (ii) a $0.8 million non-cash income tax benefit related to the impaired IPR&amp;D assets,</w:t>
      </w:r>
    </w:p>
    <w:p>
      <w:pPr>
        <w:spacing w:after="0" w:line="2" w:lineRule="exact"/>
        <w:rPr>
          <w:sz w:val="20"/>
          <w:szCs w:val="20"/>
          <w:color w:val="auto"/>
        </w:rPr>
      </w:pPr>
    </w:p>
    <w:p>
      <w:pPr>
        <w:jc w:val="both"/>
        <w:ind w:right="360" w:firstLine="8"/>
        <w:spacing w:after="0" w:line="255"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$13.6 million gain on the contingent consideration liability related to the METRIC study failure and updated discount rates, and (iv) a $91.0 million goodwill impairment charge as the carrying value of the Company’s net assets exceeded the Company’s fair value by an amount in excess of the goodwill asset.</w:t>
      </w:r>
    </w:p>
    <w:p>
      <w:pPr>
        <w:spacing w:after="0" w:line="1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April 24, 2018, the Company approved a reduction in its workforce to reduce operating costs and better align its workforce with the needs of its business. The Company will incur aggregate restructuring charges in the second quarter of 2018 of</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approximately $1.3 million related to cash severance payments and other employee-related costs, which will primarily be paid during the second and third quarters of 2018. In the second quarter of 2018, the Company undertook a pipeline prioritization initiative and any adjustments to the fair value of the Kolltan acquisition contingent consideration liabilities resulting from this initiative will be recognized in the second quarter of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Policies</w:t>
      </w:r>
    </w:p>
    <w:p>
      <w:pPr>
        <w:spacing w:after="0" w:line="229" w:lineRule="exact"/>
        <w:rPr>
          <w:sz w:val="20"/>
          <w:szCs w:val="20"/>
          <w:color w:val="auto"/>
        </w:rPr>
      </w:pPr>
    </w:p>
    <w:p>
      <w:pPr>
        <w:ind w:right="220" w:firstLine="630"/>
        <w:spacing w:after="0" w:line="312"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on Form 10-Q for the quarterly period ended March 31, 2018 are consistent with those discussed in Note 2 to the financial statements in our Annual Report on Form 10-K for the year ended December 31, 2017, except as it relates to the adoption of new accounting standards during the first three months of 2018 as discussed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January 1, 2018, the Company adopted the new U.S. GAAP standard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a modified retrospective application method, recognizing an immaterial cumulative-effect adjustment to accumulated deficit. The Company applied the new guidance to (i) contracts not completed as of the date of adoption and (ii) all new revenue contracts entered into after January 1, 2018. Refer to Note 11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for additional details on this adoption and the Company’s updated revenue accounting policy and disclosures.</w:t>
      </w:r>
    </w:p>
    <w:p>
      <w:pPr>
        <w:spacing w:after="0" w:line="187"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 xml:space="preserve">On January 1, 2018, the Company adopted a U.S. GAAP standard update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which clarifies the classification of certain cash receipts and payments in the statement of cash flows. The adoption of this new standard did not impact the Company’s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This new standard will be effective for the Company on January 1, 2019. The Company is currently evaluating the potential impact that this standard may have on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gridSpan w:val="5"/>
          </w:tcPr>
          <w:p>
            <w:pPr>
              <w:jc w:val="center"/>
              <w:ind w:right="116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Level 1</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3"/>
                <w:szCs w:val="13"/>
                <w:color w:val="auto"/>
              </w:rPr>
            </w:pPr>
          </w:p>
        </w:tc>
        <w:tc>
          <w:tcPr>
            <w:tcW w:w="12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8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4"/>
              </w:rPr>
              <w:t>March 31, 2018</w:t>
            </w:r>
          </w:p>
        </w:tc>
        <w:tc>
          <w:tcPr>
            <w:tcW w:w="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27,177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27,177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83,424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110,601</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110,601</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46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29,800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36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73"/>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9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6"/>
          </w:tcPr>
          <w:p>
            <w:pPr>
              <w:jc w:val="right"/>
              <w:ind w:right="66"/>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24,061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24,061</w:t>
            </w:r>
          </w:p>
        </w:tc>
        <w:tc>
          <w:tcPr>
            <w:tcW w:w="20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99,139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99,139</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123,200</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123,200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46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-1519555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-1519555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25" w:right="199" w:bottom="0" w:gutter="0" w:footer="0" w:header="0"/>
        </w:sectPr>
      </w:pPr>
    </w:p>
    <w:bookmarkStart w:id="5" w:name="page6"/>
    <w:bookmarkEnd w:id="5"/>
    <w:p>
      <w:pPr>
        <w:spacing w:after="0" w:line="6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43,400</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43,400</w:t>
            </w:r>
          </w:p>
        </w:tc>
      </w:tr>
      <w:tr>
        <w:trPr>
          <w:trHeight w:val="210"/>
        </w:trPr>
        <w:tc>
          <w:tcPr>
            <w:tcW w:w="5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Company’s financial assets consist mainly of money market funds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three months ended March 31, 2018 (in thousands):</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Other Liabilities:</w:t>
            </w:r>
          </w:p>
        </w:tc>
      </w:tr>
      <w:tr>
        <w:trPr>
          <w:trHeight w:val="149"/>
        </w:trPr>
        <w:tc>
          <w:tcPr>
            <w:tcW w:w="9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Contingent</w:t>
            </w:r>
          </w:p>
        </w:tc>
      </w:tr>
      <w:tr>
        <w:trPr>
          <w:trHeight w:val="171"/>
        </w:trPr>
        <w:tc>
          <w:tcPr>
            <w:tcW w:w="9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Consideration</w:t>
            </w:r>
          </w:p>
        </w:tc>
      </w:tr>
      <w:tr>
        <w:trPr>
          <w:trHeight w:val="210"/>
        </w:trPr>
        <w:tc>
          <w:tcPr>
            <w:tcW w:w="9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43,400</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(13,600)</w:t>
            </w:r>
          </w:p>
        </w:tc>
      </w:tr>
      <w:tr>
        <w:trPr>
          <w:trHeight w:val="210"/>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valuation technique used to measure fair value of the Company’s Level 3 liabilities, which consist of contingent consideration related to the acquisition of Kolltan in 2016, was primarily an income approach. The Company may be required to pay future consideration of up to $172.5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 During the three months ended March 31, 2018, the Company recorded a $13.6 million gain on fair value remeasurement of contingent consideration, primarily due to updated assumptions for Glemba-related milestones and discount rates due to the METRIC failure and discontinuation of the Glemba program. During the three months ended March 31, 2017, the Company recorded a $3.4 million loss on fair value remeasurement of contingent consideration, primarily due to changes in discount rates and the passage of time.</w:t>
      </w:r>
    </w:p>
    <w:p>
      <w:pPr>
        <w:spacing w:after="0" w:line="17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three months ended March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securities, classified as available-for-sale: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Gains</w:t>
            </w:r>
          </w:p>
        </w:tc>
        <w:tc>
          <w:tcPr>
            <w:tcW w:w="9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jc w:val="center"/>
              <w:ind w:right="19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3"/>
          </w:tcPr>
          <w:p>
            <w:pPr>
              <w:jc w:val="right"/>
              <w:ind w:right="554"/>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60"/>
              <w:spacing w:after="0" w:line="201" w:lineRule="exact"/>
              <w:rPr>
                <w:sz w:val="20"/>
                <w:szCs w:val="20"/>
                <w:color w:val="auto"/>
              </w:rPr>
            </w:pPr>
            <w:r>
              <w:rPr>
                <w:rFonts w:ascii="Arial" w:cs="Arial" w:eastAsia="Arial" w:hAnsi="Arial"/>
                <w:sz w:val="18"/>
                <w:szCs w:val="18"/>
                <w:color w:val="auto"/>
                <w:w w:val="94"/>
              </w:rPr>
              <w:t>U.S. government and municipal obligations (maturing in one year or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less)</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24,150</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 (maturing in one year or less)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59,311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U.S. government and municipal obligations (maturing in one year or</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26,164</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Corporate debt securities (maturing in one year or less)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73,007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12 months as of March 31, 2018 and December 31, 2017. The unrealized losses are attributable to changes in interest rates and the Company does not believe any unrealized losses represent other-than-temporary impairments.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Marketable securities include $0.2 million and $0.3 million in accrued interest at March 31, 2018 and December 31,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information for the Company’s finite-lived intangible assets that are subject to amortization and indefinite-lived intangible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8"/>
              </w:rPr>
              <w:t>Impairment</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Rights (16 year life)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14,500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720" w:type="dxa"/>
            <w:vAlign w:val="bottom"/>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60,490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48,690</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Intangible Assets, Net</w:t>
            </w:r>
          </w:p>
        </w:tc>
        <w:tc>
          <w:tcPr>
            <w:tcW w:w="1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3"/>
              </w:rPr>
              <w:t>74,990</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(18,677)</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December 31, 2017</w:t>
            </w: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License Rights (16 year life)</w:t>
            </w:r>
          </w:p>
        </w:tc>
        <w:tc>
          <w:tcPr>
            <w:tcW w:w="17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14,500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(7,399)</w:t>
            </w: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7,101</w:t>
            </w: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1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IPR&amp;D</w:t>
            </w: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60,490</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60,490</w:t>
            </w:r>
          </w:p>
        </w:tc>
      </w:tr>
      <w:tr>
        <w:trPr>
          <w:trHeight w:val="223"/>
        </w:trPr>
        <w:tc>
          <w:tcPr>
            <w:tcW w:w="3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74,990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Finite-lived intangible assets consist solely of license rights amended under a 2009 agreement with Amgen Fremont related to developing and commercializing Glemba. The Company evaluated the intangible asset for potential impairment related to the discontinuation of the Glemba program. The carrying value of the intangible asset was determined to be fully impaired and a non-cash impairment charge of $6.9 million was recorded for the three months ended March 31, 2018. Amortization expense related to this finite-lived intangible asset was $0.2 million for each of the three-month periods ended March 31, 2018 and 2017.</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Indefinite-lived intangible assets consist of acquired in-process research and development (“IPR&amp;D”) related to the development of Glemba, CDX-3379, the anti-KIT program and the TAM program. The Company performs an impairment test on IPR&amp;D assets at least annually, or more frequently if events or changes in circumstances indicate that IPR&amp;D assets may be impaired.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evaluated the Glemba IPR&amp;D asset for potential impairment related to the discontinuation of the Glemba program. The Company concluded that the Glemba IPR&amp;D asset was fully impaired, and a non-cash impairment charge of $11.8 million was recorded for the three months ended March 31, 2018. CDX-3379 is in Phase 2 development. The anti-KIT and TAM programs are in preclinical development.</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As of March 31, 2018, none of the remaining IPR&amp;D assets had reached technological feasibility nor did any have alternative future uses.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2018 were as follows:</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89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(90,976)</w:t>
            </w:r>
          </w:p>
        </w:tc>
      </w:tr>
      <w:tr>
        <w:trPr>
          <w:trHeight w:val="210"/>
        </w:trPr>
        <w:tc>
          <w:tcPr>
            <w:tcW w:w="8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 evaluated goodwill for potential impairment due to the METRIC failure. The carrying amount of the Company was compared to the Company’s fair value. The Company’s fair value assessment reflected a number of significant management assumptions and estimates including the Company’s probability forecasts for pipeline assets, income taxes, capital expenditures and changes in working capital requirements. Changes in these assumptions and/or discount rates could materially impact the Company’s conclusions. Through this assessment, it was determined that the carrying amount of the Company exceeded its fair value by over $91.0 million. As such, the full goodwill asset was considered impaired and a charge of $91.0 million was recorded during the three months ended March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360" w:type="dxa"/>
            <w:vAlign w:val="bottom"/>
          </w:tcPr>
          <w:p>
            <w:pPr>
              <w:spacing w:after="0"/>
              <w:rPr>
                <w:sz w:val="14"/>
                <w:szCs w:val="14"/>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12)</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1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6,402</w:t>
            </w: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1,267</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Contingent Milestones (Note 4)</w:t>
            </w:r>
          </w:p>
        </w:tc>
        <w:tc>
          <w:tcPr>
            <w:tcW w:w="11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29,800</w:t>
            </w:r>
          </w:p>
        </w:tc>
        <w:tc>
          <w:tcPr>
            <w:tcW w:w="3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43,400</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(Note 11)</w:t>
            </w: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1,413</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41,889</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(8,607)</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(6,566)</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Long-Term Portion</w:t>
            </w: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33,282</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51,519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November 2015, December 2014, January 2014 and January 2013, the Company received approval from the New Jersey Economic Development Authority and agreed to sell New Jersey tax benefits of $9.8 million, $1.9 million, $1.1 million and $0.8 million to an independent third party for $9.2 million, $1.8 million, $1.0 million and $0.8 million, respectively. Under the agreement, the Company must maintain a base of operations in New Jersey for five years or the tax benefits must be paid back on a pro-rata basis based on the number of years completed. During the three months ended March 31, 2018 and 2017, the Company recorded $0.4 million and $0.5 million to other income related to the sale of these tax benefits,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In November 2017, the Company filed a prospectus supplement registering the offer and sale of shares of common stock of up to an additional $75.0 million under the agreement with Cantor.</w:t>
      </w:r>
    </w:p>
    <w:p>
      <w:pPr>
        <w:sectPr>
          <w:pgSz w:w="11900" w:h="16838" w:orient="portrait"/>
          <w:cols w:equalWidth="0" w:num="1">
            <w:col w:w="11420"/>
          </w:cols>
          <w:pgMar w:left="240" w:top="120" w:right="239" w:bottom="0" w:gutter="0" w:footer="0" w:header="0"/>
        </w:sectPr>
      </w:pPr>
    </w:p>
    <w:bookmarkStart w:id="7" w:name="page8"/>
    <w:bookmarkEnd w:id="7"/>
    <w:p>
      <w:pPr>
        <w:ind w:right="40"/>
        <w:spacing w:after="0" w:line="277" w:lineRule="auto"/>
        <w:rPr>
          <w:sz w:val="20"/>
          <w:szCs w:val="20"/>
          <w:color w:val="auto"/>
        </w:rPr>
      </w:pPr>
      <w:r>
        <w:rPr>
          <w:rFonts w:ascii="Arial" w:cs="Arial" w:eastAsia="Arial" w:hAnsi="Arial"/>
          <w:sz w:val="18"/>
          <w:szCs w:val="18"/>
          <w:color w:val="auto"/>
        </w:rPr>
        <w:t>During the three months ended March 31, 2018, the Company issued 4,692,024 shares of common stock under this controlled equity offering sales agreement with Cantor resulting in net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proceeds of $11.7 million after deducting commission and offering expenses. At March 31, 2018, the Company had $55.5 million remaining in aggregate gross offering price available under the Cantor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45"/>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left="45"/>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78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left="45"/>
              <w:spacing w:after="0"/>
              <w:rPr>
                <w:sz w:val="20"/>
                <w:szCs w:val="20"/>
                <w:color w:val="auto"/>
              </w:rPr>
            </w:pPr>
            <w:r>
              <w:rPr>
                <w:rFonts w:ascii="Arial" w:cs="Arial" w:eastAsia="Arial" w:hAnsi="Arial"/>
                <w:sz w:val="14"/>
                <w:szCs w:val="14"/>
                <w:b w:val="1"/>
                <w:bCs w:val="1"/>
                <w:color w:val="auto"/>
                <w:w w:val="94"/>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10,856,212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9.40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18,000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2.82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(104,500)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2.80</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(1,313,031)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8.83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2018</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9,456,681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9.55</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2018</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line="20" w:lineRule="exact"/>
              <w:rPr>
                <w:sz w:val="1"/>
                <w:szCs w:val="1"/>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1"/>
              </w:rPr>
              <w:t>9.62</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9,313,514</w:t>
            </w:r>
          </w:p>
        </w:tc>
        <w:tc>
          <w:tcPr>
            <w:tcW w:w="3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5,827,235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11.85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80" w:type="dxa"/>
            <w:vAlign w:val="bottom"/>
          </w:tcPr>
          <w:p>
            <w:pPr>
              <w:jc w:val="right"/>
              <w:spacing w:after="0"/>
              <w:rPr>
                <w:sz w:val="20"/>
                <w:szCs w:val="20"/>
                <w:color w:val="auto"/>
              </w:rPr>
            </w:pPr>
            <w:r>
              <w:rPr>
                <w:rFonts w:ascii="Arial" w:cs="Arial" w:eastAsia="Arial" w:hAnsi="Arial"/>
                <w:sz w:val="18"/>
                <w:szCs w:val="18"/>
                <w:color w:val="auto"/>
              </w:rPr>
              <w:t>8,879,518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three-month period ended March 31, 2018 was $1.86. Stock-based compensation expense for the three months ended March 31, 2018 and 2017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14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0" w:type="dxa"/>
            <w:vAlign w:val="bottom"/>
            <w:gridSpan w:val="4"/>
          </w:tcPr>
          <w:p>
            <w:pPr>
              <w:jc w:val="right"/>
              <w:ind w:right="785"/>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80" w:type="dxa"/>
            <w:vAlign w:val="bottom"/>
            <w:gridSpan w:val="2"/>
            <w:shd w:val="clear" w:color="auto" w:fill="CCEEFF"/>
          </w:tcPr>
          <w:p>
            <w:pPr>
              <w:jc w:val="right"/>
              <w:ind w:right="98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w:t>
            </w:r>
          </w:p>
        </w:tc>
        <w:tc>
          <w:tcPr>
            <w:tcW w:w="1300" w:type="dxa"/>
            <w:vAlign w:val="bottom"/>
            <w:gridSpan w:val="2"/>
            <w:shd w:val="clear" w:color="auto" w:fill="CCEEFF"/>
          </w:tcPr>
          <w:p>
            <w:pPr>
              <w:jc w:val="right"/>
              <w:ind w:right="98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1,646</w:t>
            </w: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3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8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values of employee and director stock options granted during the three months ended March 31, 2018 and 2017 were valued using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3800" w:type="dxa"/>
            <w:vAlign w:val="bottom"/>
            <w:gridSpan w:val="4"/>
          </w:tcPr>
          <w:p>
            <w:pPr>
              <w:ind w:left="8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620" w:type="dxa"/>
            <w:vAlign w:val="bottom"/>
            <w:tcBorders>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73%</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76 - 77%</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Expected option term</w:t>
            </w: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6.0 Years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6.0 Years</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2.8%</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shd w:val="clear" w:color="auto" w:fill="CCEEFF"/>
          </w:tcPr>
          <w:p>
            <w:pPr>
              <w:spacing w:after="0"/>
              <w:rPr>
                <w:sz w:val="18"/>
                <w:szCs w:val="18"/>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None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None</w:t>
            </w: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Accumulated Other Comprehensive Income</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changes in accumulated other comprehensive income, which is reported as a component of stockholders’ equity,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are summarized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0" w:type="dxa"/>
            <w:vAlign w:val="bottom"/>
          </w:tcPr>
          <w:p>
            <w:pPr>
              <w:jc w:val="center"/>
              <w:ind w:left="247"/>
              <w:spacing w:after="0"/>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8"/>
              </w:rPr>
              <w:t>Marketable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40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Currency Items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00" w:type="dxa"/>
            <w:vAlign w:val="bottom"/>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2,596</w:t>
            </w:r>
          </w:p>
        </w:tc>
        <w:tc>
          <w:tcPr>
            <w:tcW w:w="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400" w:type="dxa"/>
            <w:vAlign w:val="bottom"/>
            <w:tcBorders>
              <w:top w:val="single" w:sz="8" w:color="auto"/>
              <w:bottom w:val="single" w:sz="8" w:color="auto"/>
            </w:tcBorders>
            <w:shd w:val="clear" w:color="auto" w:fill="CCEEFF"/>
          </w:tcPr>
          <w:p>
            <w:pPr>
              <w:jc w:val="right"/>
              <w:ind w:right="124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amounts were reclassified out of accumulated other comprehensive income during the three months ended March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w:t>
      </w:r>
    </w:p>
    <w:p>
      <w:pPr>
        <w:spacing w:after="0" w:line="22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On January 1, 2018, the Company adopted a new revenue accounting standard,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Upon adoption using the modified retrospective application, the Company recognized a $1.3 million decrease to accumulated deficit, a $0.8 million decrease in deferred revenue and $0.5 million increase in accounts receivable due to the cumulative impact of adopting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This impact was driven by the acceleration of revenue using a percentage-of-completion method of accounting under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for an open contract that had previously been accounted for using the Contingency Adjusted Performance Model (“CAPM”) under previous guidance.</w:t>
      </w:r>
    </w:p>
    <w:p>
      <w:pPr>
        <w:sectPr>
          <w:pgSz w:w="11900" w:h="16838" w:orient="portrait"/>
          <w:cols w:equalWidth="0" w:num="1">
            <w:col w:w="11420"/>
          </w:cols>
          <w:pgMar w:left="240" w:top="125" w:right="239" w:bottom="87" w:gutter="0" w:footer="0" w:header="0"/>
        </w:sectPr>
      </w:pPr>
    </w:p>
    <w:bookmarkStart w:id="8" w:name="page9"/>
    <w:bookmarkEnd w:id="8"/>
    <w:p>
      <w:pPr>
        <w:ind w:right="180" w:firstLine="648"/>
        <w:spacing w:after="0" w:line="302" w:lineRule="auto"/>
        <w:rPr>
          <w:sz w:val="20"/>
          <w:szCs w:val="20"/>
          <w:color w:val="auto"/>
        </w:rPr>
      </w:pPr>
      <w:r>
        <w:rPr>
          <w:rFonts w:ascii="Arial" w:cs="Arial" w:eastAsia="Arial" w:hAnsi="Arial"/>
          <w:sz w:val="16"/>
          <w:szCs w:val="16"/>
          <w:color w:val="auto"/>
        </w:rPr>
        <w:t xml:space="preserve">Results for reporting periods beginning after January 1, 2018 are presented under </w:t>
      </w:r>
      <w:r>
        <w:rPr>
          <w:rFonts w:ascii="Arial" w:cs="Arial" w:eastAsia="Arial" w:hAnsi="Arial"/>
          <w:sz w:val="16"/>
          <w:szCs w:val="16"/>
          <w:i w:val="1"/>
          <w:iCs w:val="1"/>
          <w:color w:val="auto"/>
        </w:rPr>
        <w:t>ASC 606</w:t>
      </w:r>
      <w:r>
        <w:rPr>
          <w:rFonts w:ascii="Arial" w:cs="Arial" w:eastAsia="Arial" w:hAnsi="Arial"/>
          <w:sz w:val="16"/>
          <w:szCs w:val="16"/>
          <w:color w:val="auto"/>
        </w:rPr>
        <w:t xml:space="preserve"> while prior period amounts were not adjusted and continue to be reported in accordance with historic accounting under previous guidance. There was not a material impact to revenues as a result of applying </w:t>
      </w:r>
      <w:r>
        <w:rPr>
          <w:rFonts w:ascii="Arial" w:cs="Arial" w:eastAsia="Arial" w:hAnsi="Arial"/>
          <w:sz w:val="16"/>
          <w:szCs w:val="16"/>
          <w:i w:val="1"/>
          <w:iCs w:val="1"/>
          <w:color w:val="auto"/>
        </w:rPr>
        <w:t xml:space="preserve">ASC 606 </w:t>
      </w:r>
      <w:r>
        <w:rPr>
          <w:rFonts w:ascii="Arial" w:cs="Arial" w:eastAsia="Arial" w:hAnsi="Arial"/>
          <w:sz w:val="16"/>
          <w:szCs w:val="16"/>
          <w:color w:val="auto"/>
        </w:rPr>
        <w:t>for the three months ended March 31, 2018, and there have not been significant changes to the Company’s business processes, systems or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as a result of adopting the new standard. The Company expects revenue recognition to remain largely unchanged under the new standard.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Revenues are recognized when performance obligations under agreements or contracts are satisfied, in an amount that reflects the consideration the Company expects to be entitled to in exchange for those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ind w:left="1600" w:hanging="295"/>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1600" w:hanging="295"/>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600" w:hanging="295"/>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Revenue for the Company has historically been derived from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trail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7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Revenue for the Company is also derived from manufacturing and research and development arrangements. The Company owns and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 At January 1, 2018 and March 31, 2018, the Company’s right to consideration under all contracts was considered unconditional, and as such, there were no recorded contract assets.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The Company’s contract liabilities result from arrangements where the Company has received payment in advance of performance under the contract. These amounts are included as deferred revenue within other long-term liabilities and current portion of long term liabilities on the condensed consolidated balance sheets. Revenue recognized from contract liabilities as of January 1, 2018 during the three months ended March 31, 2018 was $0.6 million. Revenue expected to be recognized in the future from contract liabilities as performance obligations are satisfied are not expected to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Company’s primary product development and licensing revenue is associated with a clinical collaboration agreement with BMS. This agreement was entered into in 2014 and its purpose is to evaluate the safety, tolerability and preliminary efficacy of varlilumab and Opdivo</w:t>
      </w:r>
      <w:r>
        <w:rPr>
          <w:rFonts w:ascii="Arial" w:cs="Arial" w:eastAsia="Arial" w:hAnsi="Arial"/>
          <w:sz w:val="23"/>
          <w:szCs w:val="23"/>
          <w:color w:val="auto"/>
          <w:vertAlign w:val="superscript"/>
        </w:rPr>
        <w:t>®</w:t>
      </w:r>
      <w:r>
        <w:rPr>
          <w:rFonts w:ascii="Arial" w:cs="Arial" w:eastAsia="Arial" w:hAnsi="Arial"/>
          <w:sz w:val="18"/>
          <w:szCs w:val="18"/>
          <w:color w:val="auto"/>
        </w:rPr>
        <w:t>, BMS’s PD-1 immune checkpoint inhibitor, in a Phase 1/2 study. Under this agreement, BMS made an upfront payment to Celldex of $5.0 million and provides funding for 50% of the external costs incurred by the Company in connection with the clinical trial. The Company recorded $0.9 million in revenue related to this agreement during the three months ended March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2017, the Company entered into fixed-fee manufacturing and research and development arrangements with both the International AIDS Vaccine Initiative (IAVI) and Frontier Biotechnologies, Inc (Frontier). The Company recognized $2.3 million and $0.0 million in revenue under these agreements during the three months ended March 31, 2018 and 2017, respectively.</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2013, the Company entered into an agreement, as amended, with Rockefeller University pursuant to which the Company performs manufacturing and research and development services for Rockefeller University. The Company recognized $0.7 million and $0.8 million in revenue for labor hours and direct costs incurred related to the Rockefeller University agreement during the three months ended March 31, 2018 and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ectPr>
          <w:pgSz w:w="11900" w:h="16838" w:orient="portrait"/>
          <w:cols w:equalWidth="0" w:num="1">
            <w:col w:w="11400"/>
          </w:cols>
          <w:pgMar w:left="240" w:top="125" w:right="259" w:bottom="104" w:gutter="0" w:footer="0" w:header="0"/>
        </w:sectPr>
      </w:pPr>
    </w:p>
    <w:bookmarkStart w:id="9" w:name="page10"/>
    <w:bookmarkEnd w:id="9"/>
    <w:p>
      <w:pPr>
        <w:ind w:right="160" w:firstLine="648"/>
        <w:spacing w:after="0" w:line="264" w:lineRule="auto"/>
        <w:rPr>
          <w:sz w:val="20"/>
          <w:szCs w:val="20"/>
          <w:color w:val="auto"/>
        </w:rPr>
      </w:pPr>
      <w:r>
        <w:rPr>
          <w:rFonts w:ascii="Arial" w:cs="Arial" w:eastAsia="Arial" w:hAnsi="Arial"/>
          <w:sz w:val="18"/>
          <w:szCs w:val="18"/>
          <w:color w:val="auto"/>
        </w:rPr>
        <w:t>On December 22, 2017, the Tax Cuts and Jobs Act (“TCJA”) was enacted and led to significant changes to U.S. tax law. Also on December 22, 2017, the SEC staff issued SAB 118, allowing companies to record the effects of the TCJA on a provisional basis during a measurement period not to extend beyond one year of the enactment date. SAB 118 was codified into ASC 740 by ASU 2018-05.</w:t>
      </w:r>
    </w:p>
    <w:p>
      <w:pPr>
        <w:spacing w:after="0" w:line="18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recognized an income tax benefit of $19.1 million related to implementing applicable provisions of the TCJA during the year ended December 31, 2017. In accordance with SAB 118, the Company considered this adjustment to be a provisional amount based on the Company’s best estimates at December 31, 2017. During the three months ended March 31, 2018, there was no further information or change in estimates related to the provisional amount recognized during the year ended December 31, 2017. However, updated guidance, interpretations or assumptions could lead the Company to make further adjustments to income tax benefit (provision) in the future. The Company expects its accounting for the tax effects of the TCJA to be completed in 2018.</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March 31, 2018 and December 31, 2017.</w:t>
      </w:r>
    </w:p>
    <w:p>
      <w:pPr>
        <w:spacing w:after="0" w:line="16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 net deferred tax liability of $3.0 million and $3.8 million existed at March 31, 2018 and December 31, 2017, respectively, related to the temporary differences associated with the IPR&amp;D intangible assets acquired in previous business combinations and not deductible for tax purposes. During the quarter ended March 31, 2018, a $0.8 million non-cash income tax benefit was recorded related to impaired Glemba IPR&amp;D assets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Massachusetts, New Jersey, Connecticut and Australia are the jurisdictions in which the Company primarily operates or has operated and has income tax nexus. The Company is not currently under examination by these or any other jurisdictions for any tax year.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619"/>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0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9,456,681</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10,159,130</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Restricted stock</w:t>
            </w:r>
          </w:p>
        </w:tc>
        <w:tc>
          <w:tcPr>
            <w:tcW w:w="5960" w:type="dxa"/>
            <w:vAlign w:val="bottom"/>
            <w:gridSpan w:val="3"/>
          </w:tcPr>
          <w:p>
            <w:pPr>
              <w:jc w:val="right"/>
              <w:ind w:right="260"/>
              <w:spacing w:after="0"/>
              <w:rPr>
                <w:sz w:val="20"/>
                <w:szCs w:val="20"/>
                <w:color w:val="auto"/>
              </w:rPr>
            </w:pPr>
            <w:r>
              <w:rPr>
                <w:rFonts w:ascii="Arial" w:cs="Arial" w:eastAsia="Arial" w:hAnsi="Arial"/>
                <w:sz w:val="18"/>
                <w:szCs w:val="18"/>
                <w:color w:val="auto"/>
              </w:rPr>
              <w:t>96,668</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9,553,349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10,209,130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0" w:type="dxa"/>
            <w:vAlign w:val="bottom"/>
            <w:vMerge w:val="restart"/>
          </w:tcPr>
          <w:p>
            <w:pPr>
              <w:jc w:val="right"/>
              <w:ind w:right="1630"/>
              <w:spacing w:after="0"/>
              <w:rPr>
                <w:sz w:val="20"/>
                <w:szCs w:val="20"/>
                <w:color w:val="auto"/>
              </w:rPr>
            </w:pPr>
            <w:r>
              <w:rPr>
                <w:rFonts w:ascii="Arial" w:cs="Arial" w:eastAsia="Arial" w:hAnsi="Arial"/>
                <w:sz w:val="18"/>
                <w:szCs w:val="18"/>
                <w:color w:val="auto"/>
              </w:rPr>
              <w:t>14</w:t>
            </w: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620" w:hanging="324"/>
        <w:spacing w:after="0" w:line="308" w:lineRule="auto"/>
        <w:tabs>
          <w:tab w:leader="none" w:pos="944"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46" w:lineRule="exact"/>
        <w:rPr>
          <w:rFonts w:ascii="Arial" w:cs="Arial" w:eastAsia="Arial" w:hAnsi="Arial"/>
          <w:sz w:val="17"/>
          <w:szCs w:val="17"/>
          <w:color w:val="auto"/>
        </w:rPr>
      </w:pPr>
    </w:p>
    <w:p>
      <w:pPr>
        <w:ind w:left="980" w:right="160" w:hanging="324"/>
        <w:spacing w:after="0" w:line="259"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 assets;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ectPr>
          <w:pgSz w:w="11900" w:h="16838" w:orient="portrait"/>
          <w:cols w:equalWidth="0" w:num="1">
            <w:col w:w="11460"/>
          </w:cols>
          <w:pgMar w:left="240" w:top="125" w:right="199" w:bottom="0" w:gutter="0" w:footer="0" w:header="0"/>
        </w:sectPr>
      </w:pPr>
    </w:p>
    <w:bookmarkStart w:id="10" w:name="page11"/>
    <w:bookmarkEnd w:id="10"/>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260" w:hanging="324"/>
        <w:spacing w:after="0" w:line="342"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NASDAQ listing standards for continued listing of our common stock on the NASDAQ Global Market;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anticipated benefits and cost-savings from the restructuring we announced in April 2018;</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 and to operate the combined business efficiently;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2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rFonts w:ascii="Arial" w:cs="Arial" w:eastAsia="Arial" w:hAnsi="Arial"/>
          <w:sz w:val="18"/>
          <w:szCs w:val="18"/>
          <w:color w:val="auto"/>
        </w:rPr>
      </w:pPr>
    </w:p>
    <w:p>
      <w:pPr>
        <w:ind w:left="980" w:right="20" w:hanging="324"/>
        <w:spacing w:after="0" w:line="286" w:lineRule="auto"/>
        <w:tabs>
          <w:tab w:leader="none" w:pos="94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2017 and other reports that we file with the Securities and Exchange Commission</w:t>
      </w:r>
      <w:r>
        <w:rPr>
          <w:rFonts w:ascii="Arial" w:cs="Arial" w:eastAsia="Arial" w:hAnsi="Arial"/>
          <w:sz w:val="17"/>
          <w:szCs w:val="17"/>
          <w:i w:val="1"/>
          <w:iCs w:val="1"/>
          <w:color w:val="auto"/>
        </w:rPr>
        <w:t>.</w:t>
      </w:r>
    </w:p>
    <w:p>
      <w:pPr>
        <w:spacing w:after="0" w:line="16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complementary technologies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color w:val="auto"/>
        </w:rPr>
        <w:t>In April 2018, we announced that that our randomized, Phase 2b METRIC Study of glembatumumab vedotin compared to Xeloda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(capecitabine) in patients with metastatic triple-negative breast cancers that overexpress gpNMB failed to meet its primary endpoint of improving progression-free survival (PFS). We stated that based on this result, we would prioritize our pipeline and evaluate our operational and workforce needs to extend our financial resources and direct them to continued pipeline advancement. Progress on the pipeline prioritization initiative is reflected below.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1300" w:right="400" w:hanging="320"/>
        <w:spacing w:after="0" w:line="258" w:lineRule="auto"/>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CDX-1140, an agonist human monoclonal antibody targeted to CD40, a key activator of immune response, currently in a Phase 1 dose-escalation study in multiple types of solid tumors;</w:t>
      </w:r>
    </w:p>
    <w:p>
      <w:pPr>
        <w:spacing w:after="0" w:line="1" w:lineRule="exact"/>
        <w:rPr>
          <w:rFonts w:ascii="Arial" w:cs="Arial" w:eastAsia="Arial" w:hAnsi="Arial"/>
          <w:sz w:val="18"/>
          <w:szCs w:val="18"/>
          <w:color w:val="auto"/>
        </w:rPr>
      </w:pPr>
    </w:p>
    <w:p>
      <w:pPr>
        <w:ind w:left="1300" w:right="140" w:hanging="320"/>
        <w:spacing w:after="0" w:line="220" w:lineRule="auto"/>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CDX-3379, a human monoclonal antibody designed to block the activity of ErbB3 (HER3) currently in an early Phase 2 study in advanced head and neck squamous cell cancer in combination with Erbitux</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300" w:right="80" w:hanging="320"/>
        <w:spacing w:after="0" w:line="249" w:lineRule="auto"/>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CDX-301, a dendritic cell growth factor currently being evaluated in an investigator-initiated pilot study and planned for combination study with CDX-1140; and</w:t>
      </w:r>
    </w:p>
    <w:p>
      <w:pPr>
        <w:ind w:left="1300" w:hanging="320"/>
        <w:spacing w:after="0" w:line="275" w:lineRule="auto"/>
        <w:tabs>
          <w:tab w:leader="none" w:pos="1264" w:val="left"/>
        </w:tabs>
        <w:numPr>
          <w:ilvl w:val="0"/>
          <w:numId w:val="8"/>
        </w:numPr>
        <w:rPr>
          <w:rFonts w:ascii="Arial" w:cs="Arial" w:eastAsia="Arial" w:hAnsi="Arial"/>
          <w:sz w:val="16"/>
          <w:szCs w:val="16"/>
          <w:color w:val="auto"/>
        </w:rPr>
      </w:pPr>
      <w:r>
        <w:rPr>
          <w:rFonts w:ascii="Arial" w:cs="Arial" w:eastAsia="Arial" w:hAnsi="Arial"/>
          <w:sz w:val="16"/>
          <w:szCs w:val="16"/>
          <w:color w:val="auto"/>
        </w:rPr>
        <w:t>Varlilumab, an immune modulating antibody targeting CD27 designed to enhance a patient’s immune response against cancer that is being studied in multiple investigator initiated research studies and is currently completing a Phase 1/2 study across multiple solid tumors in combination with Opdivo</w:t>
      </w:r>
      <w:r>
        <w:rPr>
          <w:rFonts w:ascii="Arial" w:cs="Arial" w:eastAsia="Arial" w:hAnsi="Arial"/>
          <w:sz w:val="20"/>
          <w:szCs w:val="20"/>
          <w:color w:val="auto"/>
          <w:vertAlign w:val="superscript"/>
        </w:rPr>
        <w:t>®</w:t>
      </w:r>
      <w:r>
        <w:rPr>
          <w:rFonts w:ascii="Arial" w:cs="Arial" w:eastAsia="Arial" w:hAnsi="Arial"/>
          <w:sz w:val="16"/>
          <w:szCs w:val="16"/>
          <w:color w:val="auto"/>
        </w:rPr>
        <w:t>. We are conducting the study in collaboration with Bristol-Myers Squibb Company (BMS) and plan to present data at various medical meetings in 2018, including in an oral presentation at the 2018 ASCO Annual Meeting in June. We intend to explore varlilumab externally through several investigator-initiated studies and internally through inclusion in combination studies.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conserve resources, we are discontinuing development of:</w:t>
      </w:r>
    </w:p>
    <w:p>
      <w:pPr>
        <w:spacing w:after="0" w:line="225" w:lineRule="exact"/>
        <w:rPr>
          <w:sz w:val="20"/>
          <w:szCs w:val="20"/>
          <w:color w:val="auto"/>
        </w:rPr>
      </w:pP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Glembatumumab vedotin, a targeted antibody-drug conjugate (ADC), across all indications, as previously disclosed;</w:t>
      </w:r>
    </w:p>
    <w:p>
      <w:pPr>
        <w:spacing w:after="0" w:line="23" w:lineRule="exact"/>
        <w:rPr>
          <w:rFonts w:ascii="Arial" w:cs="Arial" w:eastAsia="Arial" w:hAnsi="Arial"/>
          <w:sz w:val="18"/>
          <w:szCs w:val="18"/>
          <w:color w:val="auto"/>
        </w:rPr>
      </w:pPr>
    </w:p>
    <w:p>
      <w:pPr>
        <w:ind w:left="1300" w:right="40" w:hanging="320"/>
        <w:spacing w:after="0" w:line="250" w:lineRule="auto"/>
        <w:tabs>
          <w:tab w:leader="none" w:pos="1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CDX-014, an ADC (which are typically more costly to develop than other therapeutics), in early Phase 1 development in renal cell and clear cell ovarian carcinomas; and</w:t>
      </w:r>
    </w:p>
    <w:p>
      <w:pPr>
        <w:ind w:left="1260" w:hanging="280"/>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CDX-1401, an NY-ESO-1-antibody fusion protein, that was being explored in investigator-sponsored and collaborative studies.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32" w:gutter="0" w:footer="0" w:header="0"/>
        </w:sectPr>
      </w:pPr>
    </w:p>
    <w:bookmarkStart w:id="11" w:name="page12"/>
    <w:bookmarkEnd w:id="11"/>
    <w:p>
      <w:pPr>
        <w:spacing w:after="0" w:line="45" w:lineRule="exact"/>
        <w:rPr>
          <w:sz w:val="20"/>
          <w:szCs w:val="20"/>
          <w:color w:val="auto"/>
        </w:rPr>
      </w:pPr>
    </w:p>
    <w:p>
      <w:pPr>
        <w:ind w:right="320" w:firstLine="743"/>
        <w:spacing w:after="0" w:line="264" w:lineRule="auto"/>
        <w:rPr>
          <w:sz w:val="20"/>
          <w:szCs w:val="20"/>
          <w:color w:val="auto"/>
        </w:rPr>
      </w:pPr>
      <w:r>
        <w:rPr>
          <w:rFonts w:ascii="Arial" w:cs="Arial" w:eastAsia="Arial" w:hAnsi="Arial"/>
          <w:sz w:val="18"/>
          <w:szCs w:val="18"/>
          <w:color w:val="auto"/>
        </w:rPr>
        <w:t>We also routinely work with external parties to collaboratively advance our drug candidates. In addition to Celldex-led studies, we also have an Investigator Initiated Research (IIR) program with four studies ongoing with our prioritized drug candidates and additional studies currently under consideration.</w:t>
      </w:r>
    </w:p>
    <w:p>
      <w:pPr>
        <w:spacing w:after="0" w:line="181"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drug candidate.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not unusual for the clinical development of these types of drug candidates to each take five years or more, and for total development costs to exceed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drug candidate. We estimate that clinical trials of the type we generally conduct are typically completed over the following timelines:</w:t>
      </w: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8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892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During the past five years through December 31, 2017, we incurred an aggregate of $470.9 million in research and development expenses. The following table indicates the amount incurred for each of our significant research programs and for other identified research and development activities during the three months ended March 31, 2018 and 2017. The amounts disclosed in the following table reflect direct research and development costs, license fees associated with the underlying technology and an allocation of indirect research and development costs to each program.</w:t>
      </w:r>
    </w:p>
    <w:p>
      <w:pPr>
        <w:spacing w:after="0" w:line="134"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259"/>
              <w:spacing w:after="0"/>
              <w:rPr>
                <w:sz w:val="20"/>
                <w:szCs w:val="20"/>
                <w:color w:val="auto"/>
              </w:rPr>
            </w:pPr>
            <w:r>
              <w:rPr>
                <w:rFonts w:ascii="Arial" w:cs="Arial" w:eastAsia="Arial" w:hAnsi="Arial"/>
                <w:sz w:val="14"/>
                <w:szCs w:val="14"/>
                <w:b w:val="1"/>
                <w:bCs w:val="1"/>
                <w:color w:val="auto"/>
                <w:w w:val="96"/>
              </w:rPr>
              <w:t>Three Months Ended</w:t>
            </w:r>
          </w:p>
        </w:tc>
        <w:tc>
          <w:tcPr>
            <w:tcW w:w="28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Three Months Ended</w:t>
            </w:r>
          </w:p>
        </w:tc>
      </w:tr>
      <w:tr>
        <w:trPr>
          <w:trHeight w:val="17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439"/>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Pr>
          <w:p>
            <w:pPr>
              <w:spacing w:after="0"/>
              <w:rPr>
                <w:sz w:val="14"/>
                <w:szCs w:val="1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2017</w:t>
            </w:r>
          </w:p>
        </w:tc>
      </w:tr>
      <w:tr>
        <w:trPr>
          <w:trHeight w:val="142"/>
        </w:trPr>
        <w:tc>
          <w:tcPr>
            <w:tcW w:w="6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gridSpan w:val="3"/>
          </w:tcPr>
          <w:p>
            <w:pPr>
              <w:jc w:val="right"/>
              <w:ind w:right="1297"/>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CDX-3379</w:t>
            </w:r>
          </w:p>
        </w:tc>
        <w:tc>
          <w:tcPr>
            <w:tcW w:w="160" w:type="dxa"/>
            <w:vAlign w:val="bottom"/>
          </w:tcPr>
          <w:p>
            <w:pPr>
              <w:spacing w:after="0"/>
              <w:rPr>
                <w:sz w:val="18"/>
                <w:szCs w:val="18"/>
                <w:color w:val="auto"/>
              </w:rPr>
            </w:pPr>
          </w:p>
        </w:tc>
        <w:tc>
          <w:tcPr>
            <w:tcW w:w="1700" w:type="dxa"/>
            <w:vAlign w:val="bottom"/>
          </w:tcPr>
          <w:p>
            <w:pPr>
              <w:jc w:val="right"/>
              <w:ind w:right="59"/>
              <w:spacing w:after="0"/>
              <w:rPr>
                <w:sz w:val="20"/>
                <w:szCs w:val="20"/>
                <w:color w:val="auto"/>
              </w:rPr>
            </w:pPr>
            <w:r>
              <w:rPr>
                <w:rFonts w:ascii="Arial" w:cs="Arial" w:eastAsia="Arial" w:hAnsi="Arial"/>
                <w:sz w:val="18"/>
                <w:szCs w:val="18"/>
                <w:color w:val="auto"/>
              </w:rPr>
              <w:t>678</w:t>
            </w:r>
          </w:p>
        </w:tc>
        <w:tc>
          <w:tcPr>
            <w:tcW w:w="2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r>
    </w:tbl>
    <w:p>
      <w:pPr>
        <w:sectPr>
          <w:pgSz w:w="11900" w:h="16884" w:orient="portrait"/>
          <w:cols w:equalWidth="0" w:num="1">
            <w:col w:w="11400"/>
          </w:cols>
          <w:pgMar w:left="240" w:top="125" w:right="259" w:bottom="0" w:gutter="0" w:footer="0" w:header="0"/>
        </w:sectPr>
      </w:pPr>
    </w:p>
    <w:bookmarkStart w:id="12" w:name="page13"/>
    <w:bookmarkEnd w:id="12"/>
    <w:p>
      <w:pPr>
        <w:spacing w:after="0" w:line="75"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Varlilumab</w:t>
            </w:r>
          </w:p>
        </w:tc>
        <w:tc>
          <w:tcPr>
            <w:tcW w:w="66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2,510</w:t>
            </w:r>
          </w:p>
        </w:tc>
        <w:tc>
          <w:tcPr>
            <w:tcW w:w="6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Anti-KIT Program</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TAM Program</w:t>
            </w:r>
          </w:p>
        </w:tc>
        <w:tc>
          <w:tcPr>
            <w:tcW w:w="6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1,692</w:t>
            </w:r>
          </w:p>
        </w:tc>
        <w:tc>
          <w:tcPr>
            <w:tcW w:w="6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Glembatumumab vedotin</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8,921</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8,838</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CDX-014</w:t>
            </w:r>
          </w:p>
        </w:tc>
        <w:tc>
          <w:tcPr>
            <w:tcW w:w="6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744</w:t>
            </w:r>
          </w:p>
        </w:tc>
        <w:tc>
          <w:tcPr>
            <w:tcW w:w="6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6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3,907</w:t>
            </w:r>
          </w:p>
        </w:tc>
        <w:tc>
          <w:tcPr>
            <w:tcW w:w="6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4,092</w:t>
            </w:r>
          </w:p>
        </w:tc>
      </w:tr>
      <w:tr>
        <w:trPr>
          <w:trHeight w:val="210"/>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rapidly identify the dose for characterizing single-agent and combination activity.</w:t>
      </w:r>
    </w:p>
    <w:p>
      <w:pPr>
        <w:spacing w:after="0" w:line="17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initiated a Phase 1 study of CDX-1140 in November 2017. This study, which is expected to enroll up to approximately 105 patients with recurrent, locally advanced or metastatic solid tumors,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 We are currently exploring plans for potential combination arms with CDX-301 and varlilumab.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ligand-independent and ligand-dependent ErbB3 signaling by binding to a unique epitope. It has a favorable pharmacologic profile, including a longer half-life and slower clearance relative to other drug candidates in this class. We believe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 CDX-3379 has been evaluated in three Phase 1 studies for the treatment of multiple solid tumors that express ErbB3 and is currently being evaluated is a Phase 2 study in combination with Erbitux in Erbitux-resistant, advanced head and neck squamous cell carcinoma.</w:t>
      </w:r>
    </w:p>
    <w:p>
      <w:pPr>
        <w:spacing w:after="0" w:line="178"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A Phase 1a/1b study of CDX-3379 was conducted in solid tumors. The study included a single-agent, dose-escalation portion and combination expansion cohorts. The single-agent, dose-escalation portion of the study did not identify an MTD, and there were no dose limiting toxicities. Four combination arms across multiple tumor types were added to evaluate CDX-3379 with several drugs that target EGFR, HER2 or BRAF. They include combinations with Erbitux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(n=16), Tarceva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(n=8), Zelboraf</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(n=9) and Herceptin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durable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was considered refractory, as well as a single timepoint partial response in a patient with thyroid cancer. Initial data were presented at the 2016 ASCO Annual Meeting.</w:t>
      </w:r>
    </w:p>
    <w:p>
      <w:pPr>
        <w:spacing w:after="0" w:line="19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April 2018, results from a window-of-opportunity study evaluating the effect of CDX-3379 on potential biomarkers in patients with head and neck squamous cell carcinoma (HNSCC) were presented at the American Association for Cancer Research (AACR) Annual Meeting. The study enrolled 12 patients with newly diagnosed HNSCC who received two doses of CDX-3379, at a two-week interval prior to tumor resection. CDX-3379 reduced phosphorylated ErbB3 (pErbB3) levels in 83% (10/12) of patient samples, with greater than or equal to 50% decreases in 58% of patients (7/12), which met the primary study objective. Stable disease was observed in 92% (11/12) of patients prior to surgery, and a patient with HPV-negative disease experienced significant tumor shrinkage (92% in primary tumor; 26% in metastatic lesion). CDX-3379 was well-tolerated, and no treatment-related adverse events were observed.</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Preclinical data from the combination of CDX-3379 and Erbitux in xenograft models of head and neck squamous cell carcinoma were also presented at the AACR Annual Meeting in April 2018. Combining CDX-3379 and Erbitux inhibited tumor growth more potently than Erbitux alone. Mechanistic studies demonstrated a reduction of PD-L1 expression from the combination.</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initiated an open-label Phase 2 study in combination with Erbitux in approximately 30 patients with human papillomavirus (HPV) negative, Erbitux -resistant, advanced head and neck squamous cell carcinoma who have previously been treated with an anti-PD1 checkpoint inhibitor, a population with limited options and a particularly poor prognosis. We opened the study to enrollment in November 2017. The primary objective of the study is objective response rate. Secondary objectives include assessments of clinical benefit response (CBR), duration of response (DOR), progression-free survival (PFS) and overall survival (OS), and safety and pharmacokinetics associated with the combination.</w:t>
      </w:r>
    </w:p>
    <w:p>
      <w:pPr>
        <w:sectPr>
          <w:pgSz w:w="11900" w:h="16913" w:orient="portrait"/>
          <w:cols w:equalWidth="0" w:num="1">
            <w:col w:w="11400"/>
          </w:cols>
          <w:pgMar w:left="240" w:top="125" w:right="259" w:bottom="0" w:gutter="0" w:footer="0" w:header="0"/>
        </w:sectPr>
      </w:pPr>
    </w:p>
    <w:bookmarkStart w:id="13" w:name="page14"/>
    <w:bookmarkEnd w:id="13"/>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Varlilumab is a fully human agonist monoclonal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We have entered into license agreements with the University of Southampton, UK for intellectual property to use anti-CD27 antibodies and with 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 Currently, we are focusing our efforts on a Phase 1/2 clinical trial being conducted in collaboration with BMS and their PD-1 immune checkpoint inhibitor, Opdivo. Varlilumab is also being studied in ongoing and planned investigator-sponsored and collaborative studies, and we are evaluating the inclusion of varlilumab in additional Celldex-sponsored combination studies.</w:t>
      </w:r>
    </w:p>
    <w:p>
      <w:pPr>
        <w:spacing w:after="0" w:line="179"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Single-Agent Phase 1 Study: </w:t>
      </w:r>
      <w:r>
        <w:rPr>
          <w:rFonts w:ascii="Arial" w:cs="Arial" w:eastAsia="Arial" w:hAnsi="Arial"/>
          <w:sz w:val="18"/>
          <w:szCs w:val="18"/>
          <w:color w:val="auto"/>
        </w:rPr>
        <w:t>In an open-label Phase 1 study of varlilumab in patients with selected malignant solid tumors or hematologic cancers,</w:t>
      </w:r>
      <w:r>
        <w:rPr>
          <w:rFonts w:ascii="Arial" w:cs="Arial" w:eastAsia="Arial" w:hAnsi="Arial"/>
          <w:sz w:val="18"/>
          <w:szCs w:val="18"/>
          <w:b w:val="1"/>
          <w:bCs w:val="1"/>
          <w:color w:val="auto"/>
        </w:rPr>
        <w:t xml:space="preserve"> </w:t>
      </w:r>
      <w:r>
        <w:rPr>
          <w:rFonts w:ascii="Arial" w:cs="Arial" w:eastAsia="Arial" w:hAnsi="Arial"/>
          <w:sz w:val="18"/>
          <w:szCs w:val="18"/>
          <w:color w:val="auto"/>
        </w:rPr>
        <w:t>varlilumab demonstrated an acceptable safety profile and induced immunologic activity in patients that is consistent with both its proposed mechanism of action and data in preclinical models. A total of 90 patients received varlilumab in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study at multiple clinical sites in the U.S. In both the solid tumor and hematologic dose escalations, the pre-specified maximum dose level (10 mg/kg) was reached without identification of an MTD. The majority of adverse events, or AEs, related to treatment have been mild to moderate (Grade 1/2) in severity, and no significant immune-mediated adverse events typically associated with checkpoint blockade have been observed. Durable, multi-year clinical benefit was demonstrated in select patients without additional anti-cancer therapy. Final results from the study in patients with solid tumors were published in the </w:t>
      </w:r>
      <w:r>
        <w:rPr>
          <w:rFonts w:ascii="Arial" w:cs="Arial" w:eastAsia="Arial" w:hAnsi="Arial"/>
          <w:sz w:val="18"/>
          <w:szCs w:val="18"/>
          <w:i w:val="1"/>
          <w:iCs w:val="1"/>
          <w:color w:val="auto"/>
        </w:rPr>
        <w:t xml:space="preserve">Journal of Clinical Oncology </w:t>
      </w:r>
      <w:r>
        <w:rPr>
          <w:rFonts w:ascii="Arial" w:cs="Arial" w:eastAsia="Arial" w:hAnsi="Arial"/>
          <w:sz w:val="18"/>
          <w:szCs w:val="18"/>
          <w:color w:val="auto"/>
        </w:rPr>
        <w:t>in April 2017.</w:t>
      </w:r>
    </w:p>
    <w:p>
      <w:pPr>
        <w:spacing w:after="0" w:line="184"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Phase 1/2 Varlilumab/Opdivo Combination Study: </w:t>
      </w:r>
      <w:r>
        <w:rPr>
          <w:rFonts w:ascii="Arial" w:cs="Arial" w:eastAsia="Arial" w:hAnsi="Arial"/>
          <w:sz w:val="16"/>
          <w:szCs w:val="16"/>
          <w:color w:val="auto"/>
        </w:rPr>
        <w:t>In 2014, we entered into a clinical trial collaboration with BMS to evaluate the safety,</w:t>
      </w:r>
      <w:r>
        <w:rPr>
          <w:rFonts w:ascii="Arial" w:cs="Arial" w:eastAsia="Arial" w:hAnsi="Arial"/>
          <w:sz w:val="16"/>
          <w:szCs w:val="16"/>
          <w:b w:val="1"/>
          <w:bCs w:val="1"/>
          <w:color w:val="auto"/>
        </w:rPr>
        <w:t xml:space="preserve"> </w:t>
      </w:r>
      <w:r>
        <w:rPr>
          <w:rFonts w:ascii="Arial" w:cs="Arial" w:eastAsia="Arial" w:hAnsi="Arial"/>
          <w:sz w:val="16"/>
          <w:szCs w:val="16"/>
          <w:color w:val="auto"/>
        </w:rPr>
        <w:t>tolerability and preliminary efficacy of varlilumab and Opdivo, BMS’ PD-1 immune checkpoint inhibitor, in a Phase 1/2 study. Under the terms of this clinical trial collaboration, BMS made a one-time payment to us of $5.0 million, and the companies amended the terms of our existing license agreement with Medarex (acquired by BMS) related to our CD27 program, whereby certain future milestone payments were waived and future royalty rates were reduced that may have been due from us to Medarex. In return, BMS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6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Data (n=36) from the Phase 1 dose-escalation portion of the study were presented in an oral presentation at the 2017 ASCO Annual Meeting. The combination was well tolerated at all varlilumab dose levels tested without any evidence of increased autoimmunity or inappropriate immune activation. Marked changes in the tumor microenvironment, which have been shown to correlate with a greater magnitude of treatment effect from checkpoint inhibitors in other clinical studies, and additional evidence of immune activity were observed.</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Phase 2 portion of the study opened to enrollment in April 2016 and completed enrollment in January 2018 with cohorts in colorectal cancer (n=21), ovarian cancer (n=58), head and neck squamous cell carcinoma (n=24), renal cell carcinoma (n=14) and glioblastoma (n=22). The primary objective of the Phase 2 cohorts is objective response rate, or ORR, except glioblastoma, where the primary objective is the rate of 12-month OS. Data from the colorectal and ovarian cancer cohorts will be presented in an oral presentation at the 2018 ASCO Annual Meeting, and data from remaining cohorts will be presented at future medical meetings in 2018.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explore varlilumab externally through several investigator-initiated studies and internally through inclusion in combination studies.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CDX-301, a recombinant FMS-like tyrosine kinase 3 ligand, or Flt3L, is a hematopoietic cytokine that uniquely expands dendritic cells and hematopoietic stem cells, and in combination with other agents may potentiate anti-tumor responses. Depending on the setting, cells expanded by CDX-301 promote either enhanced or permissive immunity. CDX-301 is in clinical development for multiple cancers, in combination with treatments that release tumor antigens, such as radiation therapy. We licensed CDX-301 from Amgen Inc. and believe CDX-301 may hold significant opportunity for synergistic development in combination with other proprietary molecules in our portfolio, as well as with approved or investigational therapies for the treatment of cancer.</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dendritic cell and hematopoietic stem cell populations in healthy volunteers. The study was published in the journal Bone Marrow Transplantation in 2015.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CDX-301 is being studied in ongoing and planned investigator-sponsored and collaborative studies and is planned for combination study with CDX-1140 in the ongoing Phase 1 trial of CDX-1140. Development of CDX-301 in combination with glembatumumab vedotin in metastatic melanoma has been</w:t>
      </w:r>
    </w:p>
    <w:p>
      <w:pPr>
        <w:sectPr>
          <w:pgSz w:w="11900" w:h="16975" w:orient="portrait"/>
          <w:cols w:equalWidth="0" w:num="1">
            <w:col w:w="11420"/>
          </w:cols>
          <w:pgMar w:left="240" w:top="341"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discontinued as part of the pipeline prioritization conducted in April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April 16, 2018, we announced that our randomized, Phase 2b METRIC Study of glembatumumab vedotin compared to Xeloda (capecitabine) in patients with metastatic triple-negative breast cancers that overexpress gpNMB failed to meet its primary endpoint, progression-free survival (PFS) as assessed by an independent, central reading of patient scans (Hazard ratio = 0.95; median PFS: glembatumumab vedotin 2.9 months vs. Xeloda 2.8 months; p=0.76). Based on these results, we also made the decision to discontinue the glembatumumab vedotin program across all indications. Study closure activities are in process and following completion of these activities, we do not expect to incur significant expenses related to spend for glembatumumab vedotin.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CDX-014 is a human monoclonal ADC that targets T cell immunoglobulin and mucin domain 1, or TIM-1, and uses Seattle Genetics’ MMAE toxin and linker technology. CDX-014 was being studied in a Phase 1/2 trial in patients with both clear cell and papillary renal cell carcinoma and ovarian clear cell carcinoma. To conserve resources, as part of our pipeline prioritization conducted in April 2018, we are discontinuing development of CDX-014.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CDX-1401 is an NY-ESO-1-antibody fusion protein for immunotherapy in multiple solid tumors. Its potential activity was being explored in investigator-sponsored and collaborative studies. To conserve resources, as part of our pipeline prioritization conducted in April 2018, we are discontinuing development of CDX-1401, including in collaborative studies.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See Note 3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2017 for a discussion of our critical accounting policies. There have been no material changes to such critical accounting policies except for the adoption of the updated revenue recognition standard on January 1, 2018. We believe our most critical accounting policies include accounting for business combinations, revenue recognition, intangible and long-lived assets, research and development expenses and stock-based compensation expense.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with Three Months Ended March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Increase/</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(Decrease)</w:t>
            </w: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gridSpan w:val="6"/>
          </w:tcPr>
          <w:p>
            <w:pPr>
              <w:jc w:val="right"/>
              <w:ind w:right="1140"/>
              <w:spacing w:after="0" w:line="142"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436</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r>
      <w:tr>
        <w:trPr>
          <w:trHeight w:val="250"/>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3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165%</w:t>
            </w:r>
          </w:p>
        </w:tc>
      </w:tr>
      <w:tr>
        <w:trPr>
          <w:trHeight w:val="170"/>
        </w:trPr>
        <w:tc>
          <w:tcPr>
            <w:tcW w:w="55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(3,918)</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(1,636)</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90,976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90,976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Impairment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18,677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w w:val="93"/>
              </w:rPr>
              <w:t>(Gain)/Loss on Fair Value Remeasurement of Contingent Consideration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17,000</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87,099</w:t>
            </w:r>
          </w:p>
        </w:tc>
        <w:tc>
          <w:tcPr>
            <w:tcW w:w="3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238%</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84,565</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84,636</w:t>
            </w: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765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(118,132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$83.9 million increase in net loss for the three months ended March 31, 2018, as compared to the three months ended March 31, 2017, was primarily the result of the non-cash charges related to fully impairing our goodwill asset and Glemba related intangible assets. This increase was partially offset by (i) gain on contingent consideration related to Glemba related milestones and discount rates and (ii) decreases in both research and development and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$0.4 million increase in product development and licensing agreements revenue for the three months ended March 31, 2018, as compared to the three months ended March 31, 2017, was primarily due to an increase in reimbursable clinical trial expenses related to our BMS agreement. The $2.1 million increase in contracts and grants revenue for the three months ended March 31, 2018, as compared to the three months ended March 31, 2017, was primarily related to our contract manufacturing and research and development agreements with International AIDS Vaccine Initiative and Frontier Biotechnologies, Inc. signed in the second quarter of 2017.</w:t>
      </w:r>
    </w:p>
    <w:p>
      <w:pPr>
        <w:sectPr>
          <w:pgSz w:w="11900" w:h="16838" w:orient="portrait"/>
          <w:cols w:equalWidth="0" w:num="1">
            <w:col w:w="11420"/>
          </w:cols>
          <w:pgMar w:left="240" w:top="125" w:right="239" w:bottom="0" w:gutter="0" w:footer="0" w:header="0"/>
        </w:sectPr>
      </w:pPr>
    </w:p>
    <w:bookmarkStart w:id="15" w:name="page16"/>
    <w:bookmarkEnd w:id="15"/>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2"/>
              </w:rPr>
              <w:t>Increase/</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34"/>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89"/>
              </w:rPr>
              <w:t>(Decrease)</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10,023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2,063</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License Fees</w:t>
            </w: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7,349</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$1.0 million decrease in personnel expenses for the three months ended March 31, 2018, as compared to the three months ended March 31, 2017, was primarily due to decreases in salaries expense and lower stock-based compensation expense. We expect personnel expenses to decrease over the next twelve months due to the restructuring the Company announced in April 2018.</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$0.3 million increase in laboratory supply expenses for the three months ended March 31, 2018, as compared to the three months ended March 31, 2017, was primarily due to higher laboratory materials and supplies purchases. We expect laboratory supplies expenses to decrease over the next twelve months, although there may be fluctuations on a quarterly basis.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$0.4 million decrease in facility expenses for the three months ended March 31, 2018, as compared to the three months ended March 31, 2017, was primarily due to lower depreciation expense of $0.3 million. We expect facility expenses to remain relatively consistent over the next twelve months, although there may be fluctuations on a quarterly basis.</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License fee expenses include annual license maintenance fees and milestone payments due upon the achievement of certain development, regulatory and/or commercial milestones. The $0.1 million decrease in license fee expenses for the three months ended March 31, 2018, as compared to the three months ended March 31, 2017, was due to the timing of certain development and/or regulatory milestones achieved by our drug candidates. We expect license fee expense to remain relatively consistent over the next twelve months, although there may be fluctuations on a quarterly basis.</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$2.6 million decrease in product development expenses for the three months ended March 31, 2018, as compared to the three months ended March 31, 2017, was primarily due to (i) lower clinical trial costs of $1.3 million related to varlilumab, Glemba and CDX-3379 programs and (ii) lower contract research costs of $0.8 million related to the CDX-1140, CDX-3379 and anti-KIT programs. The amount of product development expenses incurred over the next twelve months is expected to decrease due to the discontinuation of the Glemba and CDX-014 programs.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The $1.6 million decrease in general and administrative expenses for the three months ended March 31, 2018, as compared to the three months ended March 31, 2017, was primarily due to lower personnel expenses of $0.7 million, lower commercial planning costs of $0.4 million and lower legal, consulting and professional services expense of $0.3 million. The amount of general and administrative expenses incurred over the next twelve months is expected to decrease due to the restructuring the Company announced in April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$13.6 million gain on fair value remeasurement of contingent consideration for the three months ended March 31, 2018 was due to a reduction in fair value primarily due to updated assumptions for Glemba-related milestones and discount rates. See Note 4 to the financial statements included herein for a discussion of the contingent consideration that may be payable related to the Kolltan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Amortization expense for the three months ended March 31, 2018 was consistent with the three months ended March 31, 2017. The remaining balance of our intangible assets subject to amortization was fully impaired for the three months ended March 31, 2018 due to the discontinuation of the Glemba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$0.1 million decrease in investment and other income, net for the three months ended March 31, 2018, as compared to the three months ended March 31, 2017, was primarily due to lower levels of cash and investment balances, partially offset by higher interest rates on fixed income investments. We anticipate investment income to decrease over the next twelve months due to lower levels of cash and investment balances.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47" w:orient="portrait"/>
          <w:cols w:equalWidth="0" w:num="1">
            <w:col w:w="11460"/>
          </w:cols>
          <w:pgMar w:left="240" w:top="341" w:right="199" w:bottom="0" w:gutter="0" w:footer="0" w:header="0"/>
        </w:sectPr>
      </w:pPr>
    </w:p>
    <w:bookmarkStart w:id="16" w:name="page17"/>
    <w:bookmarkEnd w:id="16"/>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6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At March 31, 2018, our principal sources of liquidity consisted of cash, cash equivalents and marketable securities of $123.2 million. We have had recurring losses and incurred a loss of $118.1 million for the three months ended March 31, 2018. Net cash used in operations for the three months ended March 31, 2018 was $28.0 million. We believe that the cash, cash equivalents and marketable securities at March 31, 2018, combined with the anticipated proceeds from future sales of our common stock under the Cantor agreement, are sufficient to meet estimated working capital requirements and fund planned operations through 2020. This could be impacted if we elected to pay Kolltan contingent milestones, if any, in cash.</w:t>
      </w:r>
    </w:p>
    <w:p>
      <w:pPr>
        <w:spacing w:after="0" w:line="17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Net cash used in operating activities was $28.0 million for the three months ended March 31, 2018 as compared to $35.3 million for the three months ended March 31, 2017. The decrease in net cash used in operating activities was primarily due to an increase in revenue and decreases in both general and administrative and research and development expenses. We expect that cash used in operating activities will decrease over the next twelve months primarily due to the restructuring we announced in April 2018, although there may be fluctuations on a quarterly basis.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Net cash provided by investing activities was $15.5 million for the three months ended March 31, 2018 as compared to $22.4 million for the three months ended March 31, 2017. The decrease in net cash provided by investing activities was primarily due to net sales and maturities of marketable securities for the three months ended March 31, 2018 of $15.8 million as compared to $22.8 million for the three months ended March 31, 2017.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Net cash provided by financing activities was $12.1 million for the three months ended March 31, 2018 as compared to $12.9 million for the three months ended March 31, 2017. Net proceeds from stock issuances pursuant to employee benefit plans were $0.4 million during the three months ended March 31, 2018 as compared to $0.1 million for the three months ended March 31, 2017.</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May 2016, we entered into an agreement with Cantor Fitzgerald &amp; Co. (“Cantor”) to allow us to issue and sell shares of our common stock having an aggregate offering price of up to $60.0 million from time to time through Cantor, acting as agent. In November 2017, we filed a prospectus supplement registering the offer and sale of shares of common stock of up to an additional $75.0 million under the agreement with Cantor. During the three months ended March 31, 2018, we issued 4,692,024 shares of common stock under this controlled equity offering sales agreement with Cantor resulting in net proceeds of $11.7 million after deducting commission and offering expenses. At March 31, 2018, we had $55.5 million remaining in aggregate gross offering price available under the Cantor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2017 which was filed with the SEC on March 7, 2018 have not materially changed since we filed that report.</w:t>
      </w:r>
    </w:p>
    <w:p>
      <w:pPr>
        <w:sectPr>
          <w:pgSz w:w="11900" w:h="16861" w:orient="portrait"/>
          <w:cols w:equalWidth="0" w:num="1">
            <w:col w:w="11420"/>
          </w:cols>
          <w:pgMar w:left="240" w:top="337"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March 31, 2018 due to the short-term maturities of these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March 31, 2018,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2018.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the risks described below and our condensed financial statements and accompanying notes, and the additional information in the other reports we file with the Securities and Exchange Commission along with the risks described in our Annual Report on Form 10-K for the fiscal year ended December 31, 2017.</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risks described below and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risk factors set forth below contain material changes from, or additions to, the risk factors previously disclosed and included in our Annual Report on Form 10-K for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product revenue and will need to raise capital to operate our business.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 date, we have generated no product revenue and cannot predict when and if we will generate product revenue. We had an accumulated deficit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$812.5 million as of December 31, 2017. Until, and unless, we complete clinical trials and further development, and receive approval from the FDA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authorities, for our drug candidates, we cannot sell our drugs and will not have product revenue. We expect to spend substantial funds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research, development and testing of our products that are in the preclinical and clinical testing stages of development and to prepare to commercialize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in anticipation of FDA approval. Therefore, for the foreseeable future, we will have to fund all of our operations and development expenditures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on hand, equity or debt financings, licensing fees and grants. Following our recent announcement that our decision to discontinue the glembatumumab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vedotin program across all indications after our Phase 2b METRIC Study of glembatumumab vedotin failed to meet its primary endpoint, our stock price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declined significantly, which may negatively affect our ability to raise additional capital. Additional financing will be required to meet our liquidity needs.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do not succeed in raising additional funds on acceptable terms, we might not be able to complete planned preclinical and clinical trials or obtain approval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drug candidates from the FDA and other regulatory authorities. In addition, we could be forced to discontinue product development, reduce or forego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efforts, forego attractive business opportunities or curtail operations. Any additional sources of financing could involve the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equity securities, which would have a dilutive effect on our stockholders. No assurance can be given that additional financing will be available to us when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needed on acceptable terms, or at all.</w:t>
      </w:r>
    </w:p>
    <w:p>
      <w:pPr>
        <w:sectPr>
          <w:pgSz w:w="11900" w:h="16838" w:orient="portrait"/>
          <w:cols w:equalWidth="0" w:num="1">
            <w:col w:w="11420"/>
          </w:cols>
          <w:pgMar w:left="240" w:top="337" w:right="239" w:bottom="85" w:gutter="0" w:footer="0" w:header="0"/>
        </w:sectPr>
      </w:pPr>
    </w:p>
    <w:bookmarkStart w:id="18" w:name="page19"/>
    <w:bookmarkEnd w:id="18"/>
    <w:p>
      <w:pPr>
        <w:spacing w:after="0" w:line="28"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b w:val="1"/>
          <w:bCs w:val="1"/>
          <w:i w:val="1"/>
          <w:iCs w:val="1"/>
          <w:color w:val="auto"/>
        </w:rPr>
        <w:t>As a result of our recent stock price decline, we may not be able to maintain compliance with the minimum bid price requirement of $1.00 per share for continued listing on the NASDAQ Global Market. If we fail to continue to meet all applicable Nasdaq Global Market requirements and Nasdaq determines to delist our common stock, the delisting could adversely affect the market liquidity of our common stock and the market price of our common stock could decrease.</w:t>
      </w:r>
    </w:p>
    <w:p>
      <w:pPr>
        <w:spacing w:after="0" w:line="18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common stock is listed on The NASDAQ Global Market. In order to maintain our listing, we must meet minimum financial and other requirements, including the minimum bid price requirement of $1.00 per share for continued listing, as set forth in Nasdaq Listing Rule 5550(a)(2). Since April 16, 2018, the closing price for our stock has been below $1.00 per share. If the closing bid price of our common stock were to continue to be below $1.00 per share for 30 consecutive trading days or we do not meet other NASDAQ listing requirements, we would fail to be in compliance with NASDAQ listing standards. There can be no assurance that we will continue to meet the minimum bid price requirement, or any other requirement in the future. If we fail to meet the minimum bid price requirement, The Nasdaq Stock Market LLC may initiate the delisting process with a notification letter. If we were to receive such a notification, we would be afforded a grace period of 180 calendar days to regain compliance with the minimum bid price requirement. In order to regain compliance, shares of our common stock would need to maintain a minimum closing bid price of at least $1.00 per share for a minimum of 10 consecutive trading days. In addition, we may be unable to meet other applicable Nasdaq listing requirements, including maintaining minimum levels of stockholders’ equity or market values of our common stock in which case, our common stock could be delisted. The failure to maintain our listing on NASDAQ could have an adverse effect on the market price and liquidity of our shares of common stock. Without a Nasdaq listing, shareholders may have a difficult time getting a quote for the sale or purchase of our shares, the sale or purchase of our shares would likely be made more difficult, and the trading volume and liquidity of our shares could decline. Delisting from Nasdaq could also result in negative publicity and could make it more difficult for us to raise additional capital.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incurred operating losses of $121.5 million, $132.9 million and $129.5 million during 2017, 2016 and 2015, respectively, and expect to incur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in 2018 and beyond. We believe that operating losses will continue in 2018 and beyond because we are planning to incur significant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clinical development of our drug candidates. During the years ended December 31, 2017, 2016 and 2015, we incurred $21.1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$24.9 million and $36.3 million in clinical trial expense and $11.4 million, $18.3 million and $14.8 million in contract manufacturing expense. Our net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had and will continue to have an adverse effect on, among other things, our stockholders’ equity, total assets and working capital. We expect that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fluctuate from quarter to quarter and year to year, and that such fluctuations may be substantial. We cannot predict when we will become profitable, if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81" w:lineRule="exact"/>
        <w:rPr>
          <w:sz w:val="20"/>
          <w:szCs w:val="20"/>
          <w:color w:val="auto"/>
        </w:rPr>
      </w:pPr>
    </w:p>
    <w:p>
      <w:pPr>
        <w:ind w:right="140" w:firstLine="365"/>
        <w:spacing w:after="0" w:line="264" w:lineRule="auto"/>
        <w:rPr>
          <w:sz w:val="20"/>
          <w:szCs w:val="20"/>
          <w:color w:val="auto"/>
        </w:rPr>
      </w:pPr>
      <w:r>
        <w:rPr>
          <w:rFonts w:ascii="Arial" w:cs="Arial" w:eastAsia="Arial" w:hAnsi="Arial"/>
          <w:sz w:val="18"/>
          <w:szCs w:val="18"/>
          <w:color w:val="auto"/>
        </w:rPr>
        <w:t>We expect to incur significant costs as we develop our drug candidates. As of March 31, 2018, we had cash, cash equivalents and marketable securities of $123.2 million. During the next twelve months and beyond, we will take further steps to raise additional capital to fund our liquidity needs. Our capital raising activities may include, but may not be limited to, one or more of the following:</w:t>
      </w:r>
    </w:p>
    <w:p>
      <w:pPr>
        <w:spacing w:after="0" w:line="181" w:lineRule="exact"/>
        <w:rPr>
          <w:sz w:val="20"/>
          <w:szCs w:val="20"/>
          <w:color w:val="auto"/>
        </w:rPr>
      </w:pPr>
    </w:p>
    <w:p>
      <w:pPr>
        <w:ind w:left="740" w:hanging="84"/>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licensing of drug candidates with existing or new collaborative partners;</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211" w:lineRule="exact"/>
        <w:rPr>
          <w:sz w:val="20"/>
          <w:szCs w:val="20"/>
          <w:color w:val="auto"/>
        </w:rPr>
      </w:pPr>
    </w:p>
    <w:p>
      <w:pPr>
        <w:ind w:right="120" w:firstLine="365"/>
        <w:spacing w:after="0" w:line="290" w:lineRule="auto"/>
        <w:rPr>
          <w:sz w:val="20"/>
          <w:szCs w:val="20"/>
          <w:color w:val="auto"/>
        </w:rPr>
      </w:pPr>
      <w:r>
        <w:rPr>
          <w:rFonts w:ascii="Arial" w:cs="Arial" w:eastAsia="Arial" w:hAnsi="Arial"/>
          <w:sz w:val="16"/>
          <w:szCs w:val="16"/>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long-term liquidity needs, we may have to delay or discontinue the development of one or more programs, discontinue or delay the build-out of our commercial infrastructure and our commercial planning and preparation activities, discontinue or delay ongoing or anticipated clinical trials, license out programs earlier than expected, raise funds at significant discount or on other unfavorable terms, if at all, or sell all or part of our business.</w:t>
      </w:r>
    </w:p>
    <w:p>
      <w:pPr>
        <w:spacing w:after="0" w:line="1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24" w:lineRule="exact"/>
        <w:rPr>
          <w:sz w:val="20"/>
          <w:szCs w:val="20"/>
          <w:color w:val="auto"/>
        </w:rPr>
      </w:pPr>
    </w:p>
    <w:p>
      <w:pPr>
        <w:ind w:right="60" w:firstLine="365"/>
        <w:spacing w:after="0" w:line="272" w:lineRule="auto"/>
        <w:rPr>
          <w:sz w:val="20"/>
          <w:szCs w:val="20"/>
          <w:color w:val="auto"/>
        </w:rPr>
      </w:pPr>
      <w:r>
        <w:rPr>
          <w:rFonts w:ascii="Arial" w:cs="Arial" w:eastAsia="Arial" w:hAnsi="Arial"/>
          <w:sz w:val="17"/>
          <w:szCs w:val="17"/>
          <w:color w:val="auto"/>
        </w:rPr>
        <w:t>The merger agreement between us and Kolltan provides that in the event that certain specified preclinical and clinical development milestones related to Kolltan’s development programs and/or Celldex’s development programs and certain commercial milestones related to Kolltan’s drug candidates are achieved, we will be required to pay Kolltan’s former stockholders milestone payments of up to $172.5 million, which milestone payments may be made, at our sole election, in cash, in shares of our common stock or a combination of both, although we are required to maintain a certain percentage of the overall consideration paid in Celldex common stock to satisfy certain tax requirements under the merger agreement. We may require additional capital to fund any milestone payments in cash, depending on the facts and circumstances at the time such payments become due. If we elect to pay the milestones in shares of our common stock, our stockholders would experience substantial dilution.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On December 22, 2017, the Tax Cuts and Jobs Act (“TCJA”) was enacted, leading to significant changes to U.S. tax law. Among other provisions, the TCJA lowered the U.S. federal corporate income tax rate from 35% to 21%, limited the deduction for net operating losses to 80% of taxable income while providing that net operating loss carryovers for years after 2017 will not expire, imposed a mandatory one-time transition tax on previously deferred foreign earnings and eliminated or reduced certain income tax deductions. The estimated impact of the TCJA is based on our management’s current knowledge and assumptions, and recognized impacts could be materially different from current estimates based on our actual results and our further analysis of the new law. We have revalued our net deferred tax assets and liabilities at the newly enacted U.S. federal rate, and we recognized a tax benefit of</w:t>
      </w:r>
    </w:p>
    <w:p>
      <w:pPr>
        <w:sectPr>
          <w:pgSz w:w="11900" w:h="16867" w:orient="portrait"/>
          <w:cols w:equalWidth="0" w:num="1">
            <w:col w:w="11400"/>
          </w:cols>
          <w:pgMar w:left="240" w:top="125" w:right="259" w:bottom="0" w:gutter="0" w:footer="0" w:header="0"/>
        </w:sectPr>
      </w:pPr>
    </w:p>
    <w:bookmarkStart w:id="19" w:name="page20"/>
    <w:bookmarkEnd w:id="19"/>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$19.1 million during the year ended December 31, 2017 related to the TCJA. We continue to examine the impact this tax reform legislation may have on our business.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IPR&amp;D and impairment of goodwill and IPR&amp;D may have a significant adverse impact on our future financial condition and results of operations.</w:t>
      </w:r>
    </w:p>
    <w:p>
      <w:pPr>
        <w:spacing w:after="0" w:line="1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of March 31, 2018, we had goodwill and IPR&amp;D assets of approximately $48.7 million. These intangible assets are subject to an impairment analysis whenever an event or change in circumstances indicates the carrying amount of such an asset may not be recoverable. We test our goodwill and IPR&amp;D for impairment annually, or more frequently if an event or change in circumstances indicates that the asset may be impaired. If an impairment is identified, we would be required to record an impairment charge with respect to the impaired asset to our consolidated statements of operations and comprehensive loss. A significant impairment charge could have a material negative impact on our financial condition and results of operations.</w:t>
      </w:r>
    </w:p>
    <w:p>
      <w:pPr>
        <w:spacing w:after="0" w:line="158"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We will continue to evaluate our intangible assets for potential impairment in accordance with our accounting policies. If additional impairments are identified, we would be required to record an impairment charge with respect to the impaired asset to our consolidated statements of operations and comprehensive loss. A significant impairment charge could have a material negative impact on our financial condition and results of operations.</w:t>
      </w:r>
    </w:p>
    <w:p>
      <w:pPr>
        <w:spacing w:after="0" w:line="14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Events giving rise to impairment are difficult to predict and are an inherent risk in the pharmaceutical industry. Some of the potential risks that could result in impairment of our goodwill and IPR&amp;D include negative clinical study results, adverse regulatory developments, delay or failure to obtain regulatory approval, additional development costs, changes in the manner of our use or development of our product candidates, competition, earlier than expected loss of exclusivity, pricing pressures, higher operating costs, changes in tax laws, prices that third parties are willing to pay for our IPR&amp;D or similar assets in an arm’s-length transaction being less than the carrying value of our IPR&amp;D, and other market and economic environment changes or trends. For example, we recorded an impairment charge of $18.7 million during the three months ended March 31, 2018 related to the discontinuation of our glembatumumab vedotin development program. Events or changes in circumstances may lead to significant impairment charges on our goodwill and/or IPR&amp;D in the future, which could materially adversely affect our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Regulatory Approval of Drug Candidates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long term success depends heavily on our ability to fund and complete the research and development activities and obtain regulatory approval for our program assets.</w:t>
      </w:r>
    </w:p>
    <w:p>
      <w:pPr>
        <w:spacing w:after="0" w:line="170" w:lineRule="exact"/>
        <w:rPr>
          <w:sz w:val="20"/>
          <w:szCs w:val="20"/>
          <w:color w:val="auto"/>
        </w:rPr>
      </w:pPr>
    </w:p>
    <w:p>
      <w:pPr>
        <w:ind w:right="80" w:firstLine="365"/>
        <w:spacing w:after="0" w:line="287" w:lineRule="auto"/>
        <w:rPr>
          <w:sz w:val="20"/>
          <w:szCs w:val="20"/>
          <w:color w:val="auto"/>
        </w:rPr>
      </w:pPr>
      <w:r>
        <w:rPr>
          <w:rFonts w:ascii="Arial" w:cs="Arial" w:eastAsia="Arial" w:hAnsi="Arial"/>
          <w:sz w:val="16"/>
          <w:szCs w:val="16"/>
          <w:color w:val="auto"/>
        </w:rPr>
        <w:t>We are particularly dependent on the future success of our drug candidates. Only a small minority of all research and development programs ultimately result in commercially successful drugs. Clinical failure can occur at any stage of clinical development. For example, in April 2018, we decided to discontinue the glembatumumab vedotin program across all indications after our Phase 2b METRIC Study of glembatumumab vedotin in patients with metastatic triple-negative breast cancers that overexpress gpNMB failed to meet its primary endpoint and in March 2016, we decided to discontinue ACT IV, a randomized Phase 3 clinical study of Rintega in patients with newly diagnosed EGFRvIII-positive glioblastoma, based on the determination by the independent Data Safety and Monitoring Board that continuation of the ACT IV study would not reach statistical significance for overall survival in patients with minimal residual disease, the primary endpoint of the study, because both the Rintega arm and the control arm were performing on par with each other.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spacing w:after="0" w:line="173" w:lineRule="exact"/>
        <w:rPr>
          <w:sz w:val="20"/>
          <w:szCs w:val="20"/>
          <w:color w:val="auto"/>
        </w:rPr>
      </w:pPr>
    </w:p>
    <w:p>
      <w:pPr>
        <w:ind w:right="20" w:firstLine="365"/>
        <w:spacing w:after="0" w:line="257" w:lineRule="auto"/>
        <w:rPr>
          <w:sz w:val="20"/>
          <w:szCs w:val="20"/>
          <w:color w:val="auto"/>
        </w:rPr>
      </w:pPr>
      <w:r>
        <w:rPr>
          <w:rFonts w:ascii="Arial" w:cs="Arial" w:eastAsia="Arial" w:hAnsi="Arial"/>
          <w:sz w:val="18"/>
          <w:szCs w:val="18"/>
          <w:color w:val="auto"/>
        </w:rPr>
        <w:t>We will need substantial additional financing to complete the development of our drug candidates. Further, even if we complete the development of any of our drug candidates and gain marketing approvals from the FDA and comparable foreign regulatory authorities in a timely manner, we cannot be sure that such drug candidate will be commercially successful in the pharmaceutical market. If the results of clinical trials, the anticipated or actual timing of marketing approvals, or the market acceptance of any drug candidate, if approved, do not meet the expectations of investors or public market analysts, the market price of our common stock would likely decline.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81" w:lineRule="exact"/>
        <w:rPr>
          <w:sz w:val="20"/>
          <w:szCs w:val="20"/>
          <w:color w:val="auto"/>
        </w:rPr>
      </w:pPr>
    </w:p>
    <w:p>
      <w:pPr>
        <w:ind w:right="120" w:firstLine="365"/>
        <w:spacing w:after="0" w:line="271" w:lineRule="auto"/>
        <w:rPr>
          <w:sz w:val="20"/>
          <w:szCs w:val="20"/>
          <w:color w:val="auto"/>
        </w:rPr>
      </w:pPr>
      <w:r>
        <w:rPr>
          <w:rFonts w:ascii="Arial" w:cs="Arial" w:eastAsia="Arial" w:hAnsi="Arial"/>
          <w:sz w:val="17"/>
          <w:szCs w:val="17"/>
          <w:color w:val="auto"/>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9" w:lineRule="exact"/>
        <w:rPr>
          <w:sz w:val="20"/>
          <w:szCs w:val="20"/>
          <w:color w:val="auto"/>
        </w:rPr>
      </w:pPr>
    </w:p>
    <w:p>
      <w:pPr>
        <w:ind w:right="60" w:firstLine="365"/>
        <w:spacing w:after="0" w:line="302" w:lineRule="auto"/>
        <w:rPr>
          <w:sz w:val="20"/>
          <w:szCs w:val="20"/>
          <w:color w:val="auto"/>
        </w:rPr>
      </w:pPr>
      <w:r>
        <w:rPr>
          <w:rFonts w:ascii="Arial" w:cs="Arial" w:eastAsia="Arial" w:hAnsi="Arial"/>
          <w:sz w:val="16"/>
          <w:szCs w:val="16"/>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ectPr>
          <w:pgSz w:w="11900" w:h="16945" w:orient="portrait"/>
          <w:cols w:equalWidth="0" w:num="1">
            <w:col w:w="11420"/>
          </w:cols>
          <w:pgMar w:left="240" w:top="341"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225" w:lineRule="exact"/>
        <w:rPr>
          <w:sz w:val="20"/>
          <w:szCs w:val="20"/>
          <w:color w:val="auto"/>
        </w:rPr>
      </w:pPr>
    </w:p>
    <w:p>
      <w:pPr>
        <w:ind w:right="80" w:firstLine="365"/>
        <w:spacing w:after="0" w:line="289" w:lineRule="auto"/>
        <w:rPr>
          <w:sz w:val="20"/>
          <w:szCs w:val="20"/>
          <w:color w:val="auto"/>
        </w:rPr>
      </w:pPr>
      <w:r>
        <w:rPr>
          <w:rFonts w:ascii="Arial" w:cs="Arial" w:eastAsia="Arial" w:hAnsi="Arial"/>
          <w:sz w:val="16"/>
          <w:szCs w:val="16"/>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70"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66" w:lineRule="exact"/>
        <w:rPr>
          <w:sz w:val="20"/>
          <w:szCs w:val="20"/>
          <w:color w:val="auto"/>
        </w:rPr>
      </w:pPr>
    </w:p>
    <w:p>
      <w:pPr>
        <w:ind w:right="80" w:firstLine="365"/>
        <w:spacing w:after="0" w:line="273" w:lineRule="auto"/>
        <w:rPr>
          <w:sz w:val="20"/>
          <w:szCs w:val="20"/>
          <w:color w:val="auto"/>
        </w:rPr>
      </w:pPr>
      <w:r>
        <w:rPr>
          <w:rFonts w:ascii="Arial" w:cs="Arial" w:eastAsia="Arial" w:hAnsi="Arial"/>
          <w:sz w:val="17"/>
          <w:szCs w:val="17"/>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Success in early clinical trials does not ensure that later clinical trials will be successful, as illustrated by the recent failure of our Phase 2b METRIC Study to reach its primary endpoint.</w:t>
      </w:r>
    </w:p>
    <w:p>
      <w:pPr>
        <w:spacing w:after="0" w:line="170" w:lineRule="exact"/>
        <w:rPr>
          <w:sz w:val="20"/>
          <w:szCs w:val="20"/>
          <w:color w:val="auto"/>
        </w:rPr>
      </w:pPr>
    </w:p>
    <w:p>
      <w:pPr>
        <w:ind w:right="120" w:firstLine="365"/>
        <w:spacing w:after="0" w:line="277" w:lineRule="auto"/>
        <w:rPr>
          <w:sz w:val="20"/>
          <w:szCs w:val="20"/>
          <w:color w:val="auto"/>
        </w:rPr>
      </w:pPr>
      <w:r>
        <w:rPr>
          <w:rFonts w:ascii="Arial" w:cs="Arial" w:eastAsia="Arial" w:hAnsi="Arial"/>
          <w:sz w:val="18"/>
          <w:szCs w:val="18"/>
          <w:color w:val="auto"/>
        </w:rPr>
        <w:t>The results of preclinical studies and early clinical trials may not be predictive of the results of later-stage clinical trials, and interim results of a clinical trial do not necessarily predict final results. In particular, we recently announced that our Phase 2b</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METRIC Study failed to reach its primary endpoint. Data, our interpretation of data and results for our earlier clinical studies of our drug candidates do not ensure that we will achieve similar results in later stage trials.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drug candidates would substantially harm our business, prospectus,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late-stage clinical trials for a variety of drug candidates simultaneously.</w:t>
      </w:r>
    </w:p>
    <w:p>
      <w:pPr>
        <w:spacing w:after="0" w:line="225"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testing is critical to the success of our drug candidates but subject to delay or cancellation if we have difficulty enrolling patients.</w:t>
      </w:r>
    </w:p>
    <w:p>
      <w:pPr>
        <w:spacing w:after="0" w:line="237" w:lineRule="exact"/>
        <w:rPr>
          <w:sz w:val="20"/>
          <w:szCs w:val="20"/>
          <w:color w:val="auto"/>
        </w:rPr>
      </w:pPr>
    </w:p>
    <w:p>
      <w:pPr>
        <w:ind w:right="100" w:firstLine="365"/>
        <w:spacing w:after="0" w:line="259" w:lineRule="auto"/>
        <w:rPr>
          <w:sz w:val="20"/>
          <w:szCs w:val="20"/>
          <w:color w:val="auto"/>
        </w:rPr>
      </w:pPr>
      <w:r>
        <w:rPr>
          <w:rFonts w:ascii="Arial" w:cs="Arial" w:eastAsia="Arial" w:hAnsi="Arial"/>
          <w:sz w:val="18"/>
          <w:szCs w:val="18"/>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187" w:lineRule="exact"/>
        <w:rPr>
          <w:sz w:val="20"/>
          <w:szCs w:val="20"/>
          <w:color w:val="auto"/>
        </w:rPr>
      </w:pPr>
    </w:p>
    <w:p>
      <w:pPr>
        <w:ind w:left="740" w:hanging="84"/>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ectPr>
          <w:pgSz w:w="11900" w:h="16838" w:orient="portrait"/>
          <w:cols w:equalWidth="0" w:num="1">
            <w:col w:w="11400"/>
          </w:cols>
          <w:pgMar w:left="240" w:top="341" w:right="259" w:bottom="0" w:gutter="0" w:footer="0" w:header="0"/>
        </w:sectPr>
      </w:pPr>
    </w:p>
    <w:bookmarkStart w:id="21" w:name="page22"/>
    <w:bookmarkEnd w:id="21"/>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we cannot enroll patients as needed, our costs may increase, or we may be forced to delay or terminate testing for a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delays in completing our clinical trials, and we may not complete them at all.</w:t>
      </w:r>
    </w:p>
    <w:p>
      <w:pPr>
        <w:spacing w:after="0" w:line="225" w:lineRule="exact"/>
        <w:rPr>
          <w:sz w:val="20"/>
          <w:szCs w:val="20"/>
          <w:color w:val="auto"/>
        </w:rPr>
      </w:pPr>
    </w:p>
    <w:p>
      <w:pPr>
        <w:ind w:right="100" w:firstLine="365"/>
        <w:spacing w:after="0" w:line="277" w:lineRule="auto"/>
        <w:rPr>
          <w:sz w:val="20"/>
          <w:szCs w:val="20"/>
          <w:color w:val="auto"/>
        </w:rPr>
      </w:pPr>
      <w:r>
        <w:rPr>
          <w:rFonts w:ascii="Arial" w:cs="Arial" w:eastAsia="Arial" w:hAnsi="Arial"/>
          <w:sz w:val="18"/>
          <w:szCs w:val="18"/>
          <w:color w:val="auto"/>
        </w:rPr>
        <w:t>We have not completed the clinical trials necessary to obtain FDA approval to market any of our drug candidates in development. Clinical trials for any of our products in development may be delayed or terminated as a result of many factors, including the following:</w:t>
      </w:r>
    </w:p>
    <w:p>
      <w:pPr>
        <w:spacing w:after="0" w:line="170" w:lineRule="exact"/>
        <w:rPr>
          <w:sz w:val="20"/>
          <w:szCs w:val="20"/>
          <w:color w:val="auto"/>
        </w:rPr>
      </w:pPr>
    </w:p>
    <w:p>
      <w:pPr>
        <w:ind w:left="740" w:hanging="84"/>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9" w:lineRule="exact"/>
        <w:rPr>
          <w:rFonts w:ascii="Arial" w:cs="Arial" w:eastAsia="Arial" w:hAnsi="Arial"/>
          <w:sz w:val="18"/>
          <w:szCs w:val="18"/>
          <w:color w:val="auto"/>
        </w:rPr>
      </w:pPr>
    </w:p>
    <w:p>
      <w:pPr>
        <w:ind w:left="660" w:right="360" w:hanging="4"/>
        <w:spacing w:after="0" w:line="250"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or failure of our contract manufacturers to comply with cGMP requirements;</w:t>
      </w:r>
    </w:p>
    <w:p>
      <w:pPr>
        <w:ind w:left="660" w:right="200" w:hanging="4"/>
        <w:spacing w:after="0" w:line="250"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grade-clinical supply for our Phase 3 clinical trials;</w:t>
      </w:r>
    </w:p>
    <w:p>
      <w:pPr>
        <w:ind w:left="740" w:hanging="84"/>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drug candidates demonstrating a lack of efficacy during clinical trials;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65"/>
        <w:spacing w:after="0" w:line="277" w:lineRule="auto"/>
        <w:rPr>
          <w:sz w:val="20"/>
          <w:szCs w:val="20"/>
          <w:color w:val="auto"/>
        </w:rPr>
      </w:pPr>
      <w:r>
        <w:rPr>
          <w:rFonts w:ascii="Arial" w:cs="Arial" w:eastAsia="Arial" w:hAnsi="Arial"/>
          <w:sz w:val="18"/>
          <w:szCs w:val="18"/>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drug candidates, we may need to abandon or limit our development of some of our drug candidates.</w:t>
      </w:r>
    </w:p>
    <w:p>
      <w:pPr>
        <w:spacing w:after="0" w:line="170"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If our drug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for treating cancer are later found to cause side effects that prevent further development of the drug. Currently marketed therapies for the treatment of cancer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other marketed therapies. In addition, when used in combination with other marketed therapies, our drug candidates may exacerbate adverse events associated with the marketed therapy.</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70" w:lineRule="exact"/>
        <w:rPr>
          <w:sz w:val="20"/>
          <w:szCs w:val="20"/>
          <w:color w:val="auto"/>
        </w:rPr>
      </w:pPr>
    </w:p>
    <w:p>
      <w:pPr>
        <w:ind w:right="140" w:firstLine="365"/>
        <w:spacing w:after="0" w:line="286" w:lineRule="auto"/>
        <w:rPr>
          <w:sz w:val="20"/>
          <w:szCs w:val="20"/>
          <w:color w:val="auto"/>
        </w:rPr>
      </w:pPr>
      <w:r>
        <w:rPr>
          <w:rFonts w:ascii="Arial" w:cs="Arial" w:eastAsia="Arial" w:hAnsi="Arial"/>
          <w:sz w:val="17"/>
          <w:szCs w:val="17"/>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166" w:lineRule="exact"/>
        <w:rPr>
          <w:sz w:val="20"/>
          <w:szCs w:val="20"/>
          <w:color w:val="auto"/>
        </w:rPr>
      </w:pPr>
    </w:p>
    <w:p>
      <w:pPr>
        <w:ind w:firstLine="365"/>
        <w:spacing w:after="0" w:line="257" w:lineRule="auto"/>
        <w:rPr>
          <w:sz w:val="20"/>
          <w:szCs w:val="20"/>
          <w:color w:val="auto"/>
        </w:rPr>
      </w:pPr>
      <w:r>
        <w:rPr>
          <w:rFonts w:ascii="Arial" w:cs="Arial" w:eastAsia="Arial" w:hAnsi="Arial"/>
          <w:sz w:val="18"/>
          <w:szCs w:val="18"/>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obtaining regulatory approval would have an adverse impact on our ability to earn future revenues.</w:t>
      </w:r>
    </w:p>
    <w:p>
      <w:pPr>
        <w:spacing w:after="0" w:line="225" w:lineRule="exact"/>
        <w:rPr>
          <w:sz w:val="20"/>
          <w:szCs w:val="20"/>
          <w:color w:val="auto"/>
        </w:rPr>
      </w:pPr>
    </w:p>
    <w:p>
      <w:pPr>
        <w:ind w:right="20" w:firstLine="365"/>
        <w:spacing w:after="0" w:line="272" w:lineRule="auto"/>
        <w:rPr>
          <w:sz w:val="20"/>
          <w:szCs w:val="20"/>
          <w:color w:val="auto"/>
        </w:rPr>
      </w:pPr>
      <w:r>
        <w:rPr>
          <w:rFonts w:ascii="Arial" w:cs="Arial" w:eastAsia="Arial" w:hAnsi="Arial"/>
          <w:sz w:val="17"/>
          <w:szCs w:val="17"/>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78" w:lineRule="exact"/>
        <w:rPr>
          <w:sz w:val="20"/>
          <w:szCs w:val="20"/>
          <w:color w:val="auto"/>
        </w:rPr>
      </w:pPr>
    </w:p>
    <w:p>
      <w:pPr>
        <w:ind w:right="100" w:firstLine="365"/>
        <w:spacing w:after="0" w:line="264" w:lineRule="auto"/>
        <w:rPr>
          <w:sz w:val="20"/>
          <w:szCs w:val="20"/>
          <w:color w:val="auto"/>
        </w:rPr>
      </w:pPr>
      <w:r>
        <w:rPr>
          <w:rFonts w:ascii="Arial" w:cs="Arial" w:eastAsia="Arial" w:hAnsi="Arial"/>
          <w:sz w:val="18"/>
          <w:szCs w:val="18"/>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w:t>
      </w:r>
    </w:p>
    <w:p>
      <w:pPr>
        <w:spacing w:after="0" w:line="181" w:lineRule="exact"/>
        <w:rPr>
          <w:sz w:val="20"/>
          <w:szCs w:val="20"/>
          <w:color w:val="auto"/>
        </w:rPr>
      </w:pPr>
    </w:p>
    <w:p>
      <w:pPr>
        <w:ind w:right="220" w:firstLine="365"/>
        <w:spacing w:after="0" w:line="279" w:lineRule="auto"/>
        <w:rPr>
          <w:sz w:val="20"/>
          <w:szCs w:val="20"/>
          <w:color w:val="auto"/>
        </w:rPr>
      </w:pPr>
      <w:r>
        <w:rPr>
          <w:rFonts w:ascii="Arial" w:cs="Arial" w:eastAsia="Arial" w:hAnsi="Arial"/>
          <w:sz w:val="17"/>
          <w:szCs w:val="17"/>
          <w:color w:val="auto"/>
        </w:rPr>
        <w:t>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74" w:orient="portrait"/>
          <w:cols w:equalWidth="0" w:num="1">
            <w:col w:w="11380"/>
          </w:cols>
          <w:pgMar w:left="240" w:top="341" w:right="27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have many competitors in our field, and they may develop technologies that make ours obsolete.</w:t>
      </w:r>
    </w:p>
    <w:p>
      <w:pPr>
        <w:spacing w:after="0" w:line="225" w:lineRule="exact"/>
        <w:rPr>
          <w:sz w:val="20"/>
          <w:szCs w:val="20"/>
          <w:color w:val="auto"/>
        </w:rPr>
      </w:pPr>
    </w:p>
    <w:p>
      <w:pPr>
        <w:jc w:val="both"/>
        <w:ind w:firstLine="365"/>
        <w:spacing w:after="0" w:line="302"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54" w:lineRule="exact"/>
        <w:rPr>
          <w:sz w:val="20"/>
          <w:szCs w:val="20"/>
          <w:color w:val="auto"/>
        </w:rPr>
      </w:pPr>
    </w:p>
    <w:p>
      <w:pPr>
        <w:ind w:left="740" w:hanging="84"/>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Drug Candidates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70" w:lineRule="exact"/>
        <w:rPr>
          <w:sz w:val="20"/>
          <w:szCs w:val="20"/>
          <w:color w:val="auto"/>
        </w:rPr>
      </w:pPr>
    </w:p>
    <w:p>
      <w:pPr>
        <w:ind w:right="20" w:firstLine="365"/>
        <w:spacing w:after="0" w:line="268" w:lineRule="auto"/>
        <w:rPr>
          <w:sz w:val="20"/>
          <w:szCs w:val="20"/>
          <w:color w:val="auto"/>
        </w:rPr>
      </w:pPr>
      <w:r>
        <w:rPr>
          <w:rFonts w:ascii="Arial" w:cs="Arial" w:eastAsia="Arial" w:hAnsi="Arial"/>
          <w:sz w:val="17"/>
          <w:szCs w:val="17"/>
          <w:color w:val="auto"/>
        </w:rPr>
        <w:t>We may choose to build a commercial organization which we believe could provide us with the strategic options to either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To the extent we enter into such strategic partnerships, co-promotion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70" w:lineRule="exact"/>
        <w:rPr>
          <w:sz w:val="20"/>
          <w:szCs w:val="20"/>
          <w:color w:val="auto"/>
        </w:rPr>
      </w:pPr>
    </w:p>
    <w:p>
      <w:pPr>
        <w:jc w:val="both"/>
        <w:ind w:right="100" w:firstLine="365"/>
        <w:spacing w:after="0" w:line="312" w:lineRule="auto"/>
        <w:rPr>
          <w:sz w:val="20"/>
          <w:szCs w:val="20"/>
          <w:color w:val="auto"/>
        </w:rPr>
      </w:pPr>
      <w:r>
        <w:rPr>
          <w:rFonts w:ascii="Arial" w:cs="Arial" w:eastAsia="Arial" w:hAnsi="Arial"/>
          <w:sz w:val="16"/>
          <w:szCs w:val="16"/>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147" w:lineRule="exact"/>
        <w:rPr>
          <w:sz w:val="20"/>
          <w:szCs w:val="20"/>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contained in a drug’s FDA-approved labeling;</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drugs for the targeted indications for any of our drug candidates;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availability, market acceptance and reimbursement for the companion diagnostic, where applicable;</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drugs;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adverse side effects;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effectiveness of education, sales, marketing and distribution support;</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drugs;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drugs;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convenience and ease of administration of our drug candidates; and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willingness of third-party payors to reimburse for the cost of our drug candidates.</w:t>
      </w:r>
    </w:p>
    <w:p>
      <w:pPr>
        <w:spacing w:after="0" w:line="211"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If our future drugs fail to achieve market acceptance, we will not be able to generate significant revenues and may never achieve profitability.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 FDA approval, the terms of the approval may limit such drug’s commercial potential. Additionally, even after receipt of FDA approval, such drug would be subject to substantial, ongoing regulatory requirements.</w:t>
      </w:r>
    </w:p>
    <w:p>
      <w:pPr>
        <w:spacing w:after="0" w:line="170" w:lineRule="exact"/>
        <w:rPr>
          <w:sz w:val="20"/>
          <w:szCs w:val="20"/>
          <w:color w:val="auto"/>
        </w:rPr>
      </w:pPr>
    </w:p>
    <w:p>
      <w:pPr>
        <w:ind w:firstLine="365"/>
        <w:spacing w:after="0" w:line="268" w:lineRule="auto"/>
        <w:rPr>
          <w:sz w:val="20"/>
          <w:szCs w:val="20"/>
          <w:color w:val="auto"/>
        </w:rPr>
      </w:pPr>
      <w:r>
        <w:rPr>
          <w:rFonts w:ascii="Arial" w:cs="Arial" w:eastAsia="Arial" w:hAnsi="Arial"/>
          <w:sz w:val="17"/>
          <w:szCs w:val="17"/>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warning letters;</w:t>
      </w:r>
    </w:p>
    <w:p>
      <w:pPr>
        <w:sectPr>
          <w:pgSz w:w="11900" w:h="16838" w:orient="portrait"/>
          <w:cols w:equalWidth="0" w:num="1">
            <w:col w:w="11420"/>
          </w:cols>
          <w:pgMar w:left="240" w:top="341" w:right="239" w:bottom="0" w:gutter="0" w:footer="0" w:header="0"/>
        </w:sectPr>
      </w:pPr>
    </w:p>
    <w:bookmarkStart w:id="23" w:name="page24"/>
    <w:bookmarkEnd w:id="23"/>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11" w:lineRule="exact"/>
        <w:rPr>
          <w:sz w:val="20"/>
          <w:szCs w:val="20"/>
          <w:color w:val="auto"/>
        </w:rPr>
      </w:pPr>
    </w:p>
    <w:p>
      <w:pPr>
        <w:ind w:right="180" w:firstLine="365"/>
        <w:spacing w:after="0" w:line="259"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170" w:lineRule="exact"/>
        <w:rPr>
          <w:sz w:val="20"/>
          <w:szCs w:val="20"/>
          <w:color w:val="auto"/>
        </w:rPr>
      </w:pPr>
    </w:p>
    <w:p>
      <w:pPr>
        <w:ind w:right="80" w:firstLine="365"/>
        <w:spacing w:after="0" w:line="272" w:lineRule="auto"/>
        <w:rPr>
          <w:sz w:val="20"/>
          <w:szCs w:val="20"/>
          <w:color w:val="auto"/>
        </w:rPr>
      </w:pPr>
      <w:r>
        <w:rPr>
          <w:rFonts w:ascii="Arial" w:cs="Arial" w:eastAsia="Arial" w:hAnsi="Arial"/>
          <w:sz w:val="17"/>
          <w:szCs w:val="17"/>
          <w:color w:val="auto"/>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78" w:lineRule="exact"/>
        <w:rPr>
          <w:sz w:val="20"/>
          <w:szCs w:val="20"/>
          <w:color w:val="auto"/>
        </w:rPr>
      </w:pPr>
    </w:p>
    <w:p>
      <w:pPr>
        <w:ind w:right="20" w:firstLine="365"/>
        <w:spacing w:after="0" w:line="297" w:lineRule="auto"/>
        <w:rPr>
          <w:sz w:val="20"/>
          <w:szCs w:val="20"/>
          <w:color w:val="auto"/>
        </w:rPr>
      </w:pPr>
      <w:r>
        <w:rPr>
          <w:rFonts w:ascii="Arial" w:cs="Arial" w:eastAsia="Arial" w:hAnsi="Arial"/>
          <w:sz w:val="16"/>
          <w:szCs w:val="16"/>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legislation, or similar regulatory changes or relaxation of laws that restrict imports of drugs from other countries, could reduce the net price we receive for any future marketed drugs. As a result, our future drugs might not ultimately be considered cost-effective.</w:t>
      </w:r>
    </w:p>
    <w:p>
      <w:pPr>
        <w:spacing w:after="0" w:line="158" w:lineRule="exact"/>
        <w:rPr>
          <w:sz w:val="20"/>
          <w:szCs w:val="20"/>
          <w:color w:val="auto"/>
        </w:rPr>
      </w:pPr>
    </w:p>
    <w:p>
      <w:pPr>
        <w:ind w:right="40" w:firstLine="365"/>
        <w:spacing w:after="0" w:line="264" w:lineRule="auto"/>
        <w:rPr>
          <w:sz w:val="20"/>
          <w:szCs w:val="20"/>
          <w:color w:val="auto"/>
        </w:rPr>
      </w:pPr>
      <w:r>
        <w:rPr>
          <w:rFonts w:ascii="Arial" w:cs="Arial" w:eastAsia="Arial" w:hAnsi="Arial"/>
          <w:sz w:val="18"/>
          <w:szCs w:val="18"/>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could affect the demand for and sales and profitability of any drug candidates that we may commercialize in the future.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general, other factors that could affect the demand for and sales and profitability of our future drugs include, but are not limited to:</w:t>
      </w:r>
    </w:p>
    <w:p>
      <w:pPr>
        <w:spacing w:after="0" w:line="225" w:lineRule="exact"/>
        <w:rPr>
          <w:sz w:val="20"/>
          <w:szCs w:val="20"/>
          <w:color w:val="auto"/>
        </w:rPr>
      </w:pPr>
    </w:p>
    <w:p>
      <w:pPr>
        <w:ind w:left="740" w:hanging="84"/>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drugs;</w:t>
      </w:r>
    </w:p>
    <w:p>
      <w:pPr>
        <w:spacing w:after="0" w:line="23" w:lineRule="exact"/>
        <w:rPr>
          <w:rFonts w:ascii="Arial" w:cs="Arial" w:eastAsia="Arial" w:hAnsi="Arial"/>
          <w:sz w:val="18"/>
          <w:szCs w:val="18"/>
          <w:color w:val="auto"/>
        </w:rPr>
      </w:pPr>
    </w:p>
    <w:p>
      <w:pPr>
        <w:ind w:left="660" w:right="280" w:hanging="4"/>
        <w:spacing w:after="0" w:line="250" w:lineRule="auto"/>
        <w:tabs>
          <w:tab w:leader="none" w:pos="7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drug, and the pricing decisions of our competitors;</w:t>
      </w:r>
    </w:p>
    <w:p>
      <w:pPr>
        <w:ind w:left="740" w:hanging="84"/>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government and third-party payor reimbursement and coverage decisions that affect the utilization of our future drugs and competing drugs;</w:t>
      </w:r>
    </w:p>
    <w:p>
      <w:pPr>
        <w:spacing w:after="0" w:line="20" w:lineRule="exact"/>
        <w:rPr>
          <w:rFonts w:ascii="Arial" w:cs="Arial" w:eastAsia="Arial" w:hAnsi="Arial"/>
          <w:sz w:val="17"/>
          <w:szCs w:val="17"/>
          <w:color w:val="auto"/>
        </w:rPr>
      </w:pPr>
    </w:p>
    <w:p>
      <w:pPr>
        <w:ind w:left="660" w:hanging="4"/>
        <w:spacing w:after="0" w:line="250" w:lineRule="auto"/>
        <w:tabs>
          <w:tab w:leader="none" w:pos="7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which could cause the sales of our future drugs to decrease or a future drug to be recalled;</w:t>
      </w:r>
    </w:p>
    <w:p>
      <w:pPr>
        <w:ind w:left="660" w:right="220" w:hanging="4"/>
        <w:spacing w:after="0" w:line="250" w:lineRule="auto"/>
        <w:tabs>
          <w:tab w:leader="none" w:pos="7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degree of patent protection afforded our future drugs by patents granted to or licensed by us and by the outcome of litigation involving our or any of our licensor’s patents;</w:t>
      </w:r>
    </w:p>
    <w:p>
      <w:pPr>
        <w:ind w:left="660" w:right="240" w:hanging="4"/>
        <w:spacing w:after="0" w:line="250" w:lineRule="auto"/>
        <w:tabs>
          <w:tab w:leader="none" w:pos="7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future drugs or processes related to production and formulation of those drugs or uses of those drugs;</w:t>
      </w:r>
    </w:p>
    <w:p>
      <w:pPr>
        <w:ind w:left="740" w:hanging="84"/>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market penetration by competing drugs; and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Any of these factors could have a material adverse effect on the sales of any drug candidates that we may commercialize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approvals in foreign jurisdictions will prevent us from marketing our products internationally.</w:t>
      </w:r>
    </w:p>
    <w:p>
      <w:pPr>
        <w:spacing w:after="0" w:line="225" w:lineRule="exact"/>
        <w:rPr>
          <w:sz w:val="20"/>
          <w:szCs w:val="20"/>
          <w:color w:val="auto"/>
        </w:rPr>
      </w:pPr>
    </w:p>
    <w:p>
      <w:pPr>
        <w:jc w:val="both"/>
        <w:ind w:right="80" w:firstLine="365"/>
        <w:spacing w:after="0" w:line="286" w:lineRule="auto"/>
        <w:rPr>
          <w:sz w:val="20"/>
          <w:szCs w:val="20"/>
          <w:color w:val="auto"/>
        </w:rPr>
      </w:pPr>
      <w:r>
        <w:rPr>
          <w:rFonts w:ascii="Arial" w:cs="Arial" w:eastAsia="Arial" w:hAnsi="Arial"/>
          <w:sz w:val="17"/>
          <w:szCs w:val="17"/>
          <w:color w:val="auto"/>
        </w:rPr>
        <w:t>We may seek approval of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66" w:lineRule="exact"/>
        <w:rPr>
          <w:sz w:val="20"/>
          <w:szCs w:val="20"/>
          <w:color w:val="auto"/>
        </w:rPr>
      </w:pPr>
    </w:p>
    <w:p>
      <w:pPr>
        <w:jc w:val="both"/>
        <w:ind w:right="60" w:firstLine="365"/>
        <w:spacing w:after="0" w:line="277" w:lineRule="auto"/>
        <w:rPr>
          <w:sz w:val="20"/>
          <w:szCs w:val="20"/>
          <w:color w:val="auto"/>
        </w:rPr>
      </w:pPr>
      <w:r>
        <w:rPr>
          <w:rFonts w:ascii="Arial" w:cs="Arial" w:eastAsia="Arial" w:hAnsi="Arial"/>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70" w:lineRule="exact"/>
        <w:rPr>
          <w:sz w:val="20"/>
          <w:szCs w:val="20"/>
          <w:color w:val="auto"/>
        </w:rPr>
      </w:pPr>
    </w:p>
    <w:p>
      <w:pPr>
        <w:ind w:right="40" w:firstLine="365"/>
        <w:spacing w:after="0" w:line="297" w:lineRule="auto"/>
        <w:rPr>
          <w:sz w:val="20"/>
          <w:szCs w:val="20"/>
          <w:color w:val="auto"/>
        </w:rPr>
      </w:pPr>
      <w:r>
        <w:rPr>
          <w:rFonts w:ascii="Arial" w:cs="Arial" w:eastAsia="Arial" w:hAnsi="Arial"/>
          <w:sz w:val="16"/>
          <w:szCs w:val="16"/>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w:t>
      </w:r>
    </w:p>
    <w:p>
      <w:pPr>
        <w:sectPr>
          <w:pgSz w:w="11900" w:h="16838" w:orient="portrait"/>
          <w:cols w:equalWidth="0" w:num="1">
            <w:col w:w="11400"/>
          </w:cols>
          <w:pgMar w:left="240" w:top="125" w:right="259" w:bottom="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t>approval. We may not obtain foreign regulatory approvals on a timely basis, if at all. We may not be able to file for regulatory approvals, and even if we file we may not receive necessary approvals to commercialize our products in any market.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70" w:lineRule="exact"/>
        <w:rPr>
          <w:sz w:val="20"/>
          <w:szCs w:val="20"/>
          <w:color w:val="auto"/>
        </w:rPr>
      </w:pPr>
    </w:p>
    <w:p>
      <w:pPr>
        <w:ind w:right="280" w:firstLine="365"/>
        <w:spacing w:after="0" w:line="277" w:lineRule="auto"/>
        <w:rPr>
          <w:sz w:val="20"/>
          <w:szCs w:val="20"/>
          <w:color w:val="auto"/>
        </w:rPr>
      </w:pPr>
      <w:r>
        <w:rPr>
          <w:rFonts w:ascii="Arial" w:cs="Arial" w:eastAsia="Arial" w:hAnsi="Arial"/>
          <w:sz w:val="18"/>
          <w:szCs w:val="18"/>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70" w:lineRule="exact"/>
        <w:rPr>
          <w:sz w:val="20"/>
          <w:szCs w:val="20"/>
          <w:color w:val="auto"/>
        </w:rPr>
      </w:pPr>
    </w:p>
    <w:p>
      <w:pPr>
        <w:ind w:left="740" w:hanging="84"/>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9" w:lineRule="exact"/>
        <w:rPr>
          <w:rFonts w:ascii="Arial" w:cs="Arial" w:eastAsia="Arial" w:hAnsi="Arial"/>
          <w:sz w:val="18"/>
          <w:szCs w:val="18"/>
          <w:color w:val="auto"/>
        </w:rPr>
      </w:pPr>
    </w:p>
    <w:p>
      <w:pPr>
        <w:ind w:left="660" w:right="360" w:hanging="4"/>
        <w:spacing w:after="0" w:line="261" w:lineRule="auto"/>
        <w:tabs>
          <w:tab w:leader="none" w:pos="7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40" w:hanging="84"/>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workforce uncertainty in countries where employment regulations are different than, and labor unrest is more common than, in the United States;</w:t>
      </w:r>
    </w:p>
    <w:p>
      <w:pPr>
        <w:spacing w:after="0" w:line="46" w:lineRule="exact"/>
        <w:rPr>
          <w:rFonts w:ascii="Arial" w:cs="Arial" w:eastAsia="Arial" w:hAnsi="Arial"/>
          <w:sz w:val="16"/>
          <w:szCs w:val="16"/>
          <w:color w:val="auto"/>
        </w:rPr>
      </w:pPr>
    </w:p>
    <w:p>
      <w:pPr>
        <w:ind w:left="740" w:hanging="84"/>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9" w:lineRule="exact"/>
        <w:rPr>
          <w:rFonts w:ascii="Arial" w:cs="Arial" w:eastAsia="Arial" w:hAnsi="Arial"/>
          <w:sz w:val="18"/>
          <w:szCs w:val="18"/>
          <w:color w:val="auto"/>
        </w:rPr>
      </w:pPr>
    </w:p>
    <w:p>
      <w:pPr>
        <w:ind w:left="660" w:right="480" w:hanging="4"/>
        <w:spacing w:after="0" w:line="250" w:lineRule="auto"/>
        <w:tabs>
          <w:tab w:leader="none" w:pos="7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ind w:left="740" w:hanging="84"/>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70" w:lineRule="exact"/>
        <w:rPr>
          <w:sz w:val="20"/>
          <w:szCs w:val="20"/>
          <w:color w:val="auto"/>
        </w:rPr>
      </w:pPr>
    </w:p>
    <w:p>
      <w:pPr>
        <w:ind w:right="60" w:firstLine="365"/>
        <w:spacing w:after="0" w:line="297"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rely on contract manufacturers over whom we have limited control. Should the cost, delivery and quality of clinical and commercial-grade materials manufactured by us in our Fall River facility or supplied by contract manufacturers vary to our disadvantage, our business operations could suffer significant harm.</w:t>
      </w:r>
    </w:p>
    <w:p>
      <w:pPr>
        <w:spacing w:after="0" w:line="181" w:lineRule="exact"/>
        <w:rPr>
          <w:sz w:val="20"/>
          <w:szCs w:val="20"/>
          <w:color w:val="auto"/>
        </w:rPr>
      </w:pPr>
    </w:p>
    <w:p>
      <w:pPr>
        <w:ind w:firstLine="365"/>
        <w:spacing w:after="0" w:line="272" w:lineRule="auto"/>
        <w:rPr>
          <w:sz w:val="20"/>
          <w:szCs w:val="20"/>
          <w:color w:val="auto"/>
        </w:rPr>
      </w:pPr>
      <w:r>
        <w:rPr>
          <w:rFonts w:ascii="Arial" w:cs="Arial" w:eastAsia="Arial" w:hAnsi="Arial"/>
          <w:sz w:val="17"/>
          <w:szCs w:val="17"/>
          <w:color w:val="auto"/>
        </w:rPr>
        <w:t>We have limited experience in commercial manufacturing. We plan to rely on CMOs to manufacture drug substance and drug product for our future late-stage clinical studies and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 accordance with cGMP and foreign regulatory requirements, if applicable.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w:t>
      </w:r>
    </w:p>
    <w:p>
      <w:pPr>
        <w:spacing w:after="0" w:line="178" w:lineRule="exact"/>
        <w:rPr>
          <w:sz w:val="20"/>
          <w:szCs w:val="20"/>
          <w:color w:val="auto"/>
        </w:rPr>
      </w:pPr>
    </w:p>
    <w:p>
      <w:pPr>
        <w:ind w:firstLine="365"/>
        <w:spacing w:after="0" w:line="268" w:lineRule="auto"/>
        <w:rPr>
          <w:sz w:val="20"/>
          <w:szCs w:val="20"/>
          <w:color w:val="auto"/>
        </w:rPr>
      </w:pPr>
      <w:r>
        <w:rPr>
          <w:rFonts w:ascii="Arial" w:cs="Arial" w:eastAsia="Arial" w:hAnsi="Arial"/>
          <w:sz w:val="17"/>
          <w:szCs w:val="17"/>
          <w:color w:val="auto"/>
        </w:rPr>
        <w:t>For our most advanced programs, we are working with CMOs under established manufacturing arrangements that comply with the FDA’s requirements and other regulatory standards, although there is no assurance that the manufacturing will be successful. Prior to approval of any drug candidate, the FDA must review and approve validation studies for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a reliable source of drug product becomes critical to commercial success. The commercial viability of any of our drug candidates, if approved, will depend on the ability of our contract manufacturers to produce drug product on a large scale. Failure to achieve this level of supply can jeopardize and prevent the successful commercialization of the drug.</w:t>
      </w:r>
    </w:p>
    <w:p>
      <w:pPr>
        <w:spacing w:after="0" w:line="185" w:lineRule="exact"/>
        <w:rPr>
          <w:sz w:val="20"/>
          <w:szCs w:val="20"/>
          <w:color w:val="auto"/>
        </w:rPr>
      </w:pPr>
    </w:p>
    <w:p>
      <w:pPr>
        <w:ind w:right="80" w:firstLine="716"/>
        <w:spacing w:after="0" w:line="293" w:lineRule="auto"/>
        <w:rPr>
          <w:sz w:val="20"/>
          <w:szCs w:val="20"/>
          <w:color w:val="auto"/>
        </w:rPr>
      </w:pPr>
      <w:r>
        <w:rPr>
          <w:rFonts w:ascii="Arial" w:cs="Arial" w:eastAsia="Arial" w:hAnsi="Arial"/>
          <w:sz w:val="16"/>
          <w:szCs w:val="16"/>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potential products to clinical sites in the U.S. for early-stage clinical trials. We currently manufacture CDX-1140, CDX-301 and CDX-1401 drug substance and CDX-014 mAb intermediate in our Fall River facility for our current and planned Phase 1 and Phase 2 clinical trials. CDX-014, an ADC, is then manufactured by Lonza (Visp). We expect that our existing clinical supplies of CDX-3379 and varlilumab will be sufficient to carry out our current planned clinical development. Additional manufacturing options are under review and may involve utilization of the Fall River facility</w:t>
      </w:r>
    </w:p>
    <w:p>
      <w:pPr>
        <w:sectPr>
          <w:pgSz w:w="11900" w:h="16838" w:orient="portrait"/>
          <w:cols w:equalWidth="0" w:num="1">
            <w:col w:w="11420"/>
          </w:cols>
          <w:pgMar w:left="240" w:top="125"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and/or a CMO. All products are then filled and packaged at contract manufacturers. Any manufacturing failures or compliance issues at contract manufacturers could cause delays in our Phase 1 and Phase 2 clinical studies for these drug candidates.</w:t>
      </w:r>
    </w:p>
    <w:p>
      <w:pPr>
        <w:spacing w:after="0" w:line="170" w:lineRule="exact"/>
        <w:rPr>
          <w:sz w:val="20"/>
          <w:szCs w:val="20"/>
          <w:color w:val="auto"/>
        </w:rPr>
      </w:pPr>
    </w:p>
    <w:p>
      <w:pPr>
        <w:ind w:right="140" w:firstLine="365"/>
        <w:spacing w:after="0" w:line="273" w:lineRule="auto"/>
        <w:rPr>
          <w:sz w:val="20"/>
          <w:szCs w:val="20"/>
          <w:color w:val="auto"/>
        </w:rPr>
      </w:pPr>
      <w:r>
        <w:rPr>
          <w:rFonts w:ascii="Arial" w:cs="Arial" w:eastAsia="Arial" w:hAnsi="Arial"/>
          <w:sz w:val="17"/>
          <w:szCs w:val="17"/>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78" w:lineRule="exact"/>
        <w:rPr>
          <w:sz w:val="20"/>
          <w:szCs w:val="20"/>
          <w:color w:val="auto"/>
        </w:rPr>
      </w:pPr>
    </w:p>
    <w:p>
      <w:pPr>
        <w:ind w:right="480" w:firstLine="365"/>
        <w:spacing w:after="0" w:line="293" w:lineRule="auto"/>
        <w:rPr>
          <w:sz w:val="20"/>
          <w:szCs w:val="20"/>
          <w:color w:val="auto"/>
        </w:rPr>
      </w:pPr>
      <w:r>
        <w:rPr>
          <w:rFonts w:ascii="Arial" w:cs="Arial" w:eastAsia="Arial" w:hAnsi="Arial"/>
          <w:sz w:val="16"/>
          <w:szCs w:val="16"/>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currently rely on sole suppliers for key components of our drug candidates. Any production problems with our suppliers or other disruptions in the supply of such components could adversely affect us.</w:t>
      </w:r>
    </w:p>
    <w:p>
      <w:pPr>
        <w:spacing w:after="0" w:line="170" w:lineRule="exact"/>
        <w:rPr>
          <w:sz w:val="20"/>
          <w:szCs w:val="20"/>
          <w:color w:val="auto"/>
        </w:rPr>
      </w:pPr>
    </w:p>
    <w:p>
      <w:pPr>
        <w:ind w:right="40" w:firstLine="365"/>
        <w:spacing w:after="0" w:line="276" w:lineRule="auto"/>
        <w:rPr>
          <w:sz w:val="20"/>
          <w:szCs w:val="20"/>
          <w:color w:val="auto"/>
        </w:rPr>
      </w:pPr>
      <w:r>
        <w:rPr>
          <w:rFonts w:ascii="Arial" w:cs="Arial" w:eastAsia="Arial" w:hAnsi="Arial"/>
          <w:sz w:val="17"/>
          <w:szCs w:val="17"/>
          <w:color w:val="auto"/>
        </w:rPr>
        <w:t>We currently rely on sole suppliers for key components of our drug candidates, including Hiltonol® for CDX-1401. While we work with the suppliers of these key components to ensure continuity of supply, no assurance can be given that these efforts will be successful. In addition, due to regulatory requirements relating to the qualification of suppliers, we may not be able to establish additional or replacement sources on a timely basis or without excessive cost. If our suppliers were to terminate our arrangements or fail to meet our supply needs, we might be forced to delay our development programs, or we could face disruptions in the distribution and sale of any drugs for which we obtain regulatory approval.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w:t>
      </w:r>
    </w:p>
    <w:p>
      <w:pPr>
        <w:spacing w:after="0" w:line="237" w:lineRule="exact"/>
        <w:rPr>
          <w:sz w:val="20"/>
          <w:szCs w:val="20"/>
          <w:color w:val="auto"/>
        </w:rPr>
      </w:pPr>
    </w:p>
    <w:p>
      <w:pPr>
        <w:ind w:firstLine="365"/>
        <w:spacing w:after="0" w:line="269" w:lineRule="auto"/>
        <w:rPr>
          <w:sz w:val="20"/>
          <w:szCs w:val="20"/>
          <w:color w:val="auto"/>
        </w:rPr>
      </w:pPr>
      <w:r>
        <w:rPr>
          <w:rFonts w:ascii="Arial" w:cs="Arial" w:eastAsia="Arial" w:hAnsi="Arial"/>
          <w:sz w:val="17"/>
          <w:szCs w:val="17"/>
          <w:color w:val="auto"/>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recently implemented a plan to reduce our workforce and reprioritize our research and development pipeline. We may experience difficulties, delays or unexpected costs and not achieve anticipated benefits and savings from our restructuring plans.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Following our recent announcement that our Phase 2b METRIC Study of glembatumumab vedotin failed to meet its primary endpoint, our decision to discontinue the glembatumumab vedotin program across all indications and our ongoing reprioritizing of its research and development pipeline, we implemented a reduction in force and terminated 41 employees in order to better align our resources with our operational needs going forward. These reductions in force will result in the loss of numerous long-term employees, the loss of institutional knowledge and expertise, and the reallocation of certain job responsibilities, all of which could negatively affect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operational efficiencies and increase our operating expenses such that we may not fully realize anticipated savings from the restructuring and could negatively affect our ability to advance our existing drug candidates through preclinical and clinical trials.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commercial personnel and scientists, and the loss of any of them could affect our ability to develop our products.</w:t>
      </w:r>
    </w:p>
    <w:p>
      <w:pPr>
        <w:spacing w:after="0" w:line="170"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ectPr>
          <w:pgSz w:w="11900" w:h="16838" w:orient="portrait"/>
          <w:cols w:equalWidth="0" w:num="1">
            <w:col w:w="11420"/>
          </w:cols>
          <w:pgMar w:left="240" w:top="368" w:right="239" w:bottom="14" w:gutter="0" w:footer="0" w:header="0"/>
        </w:sectPr>
      </w:pPr>
    </w:p>
    <w:bookmarkStart w:id="26" w:name="page27"/>
    <w:bookmarkEnd w:id="26"/>
    <w:p>
      <w:pPr>
        <w:ind w:right="580"/>
        <w:spacing w:after="0" w:line="342" w:lineRule="auto"/>
        <w:rPr>
          <w:sz w:val="20"/>
          <w:szCs w:val="20"/>
          <w:color w:val="auto"/>
        </w:rPr>
      </w:pPr>
      <w:r>
        <w:rPr>
          <w:rFonts w:ascii="Arial" w:cs="Arial" w:eastAsia="Arial" w:hAnsi="Arial"/>
          <w:sz w:val="16"/>
          <w:szCs w:val="16"/>
          <w:b w:val="1"/>
          <w:bCs w:val="1"/>
          <w:i w:val="1"/>
          <w:iCs w:val="1"/>
          <w:color w:val="auto"/>
        </w:rPr>
        <w:t>In the future if we engage in a strategic transaction or raise additional capital, we may expand our clinical development, regulatory and sales and marketing capabilities, and as a result, we may encounter difficulties in managing our growth, which could disrupt our operations.</w:t>
      </w:r>
    </w:p>
    <w:p>
      <w:pPr>
        <w:spacing w:after="0" w:line="124" w:lineRule="exact"/>
        <w:rPr>
          <w:sz w:val="20"/>
          <w:szCs w:val="20"/>
          <w:color w:val="auto"/>
        </w:rPr>
      </w:pPr>
    </w:p>
    <w:p>
      <w:pPr>
        <w:ind w:right="20" w:firstLine="365"/>
        <w:spacing w:after="0" w:line="289" w:lineRule="auto"/>
        <w:rPr>
          <w:sz w:val="20"/>
          <w:szCs w:val="20"/>
          <w:color w:val="auto"/>
        </w:rPr>
      </w:pPr>
      <w:r>
        <w:rPr>
          <w:rFonts w:ascii="Arial" w:cs="Arial" w:eastAsia="Arial" w:hAnsi="Arial"/>
          <w:sz w:val="16"/>
          <w:szCs w:val="16"/>
          <w:color w:val="auto"/>
        </w:rPr>
        <w:t>In the long-term, assuming we raise additional capital or engage in a strategic transaction, we expect we may require significant additional investment in personnel, management systems and resources, particularly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operate efficiently or realize the anticipated benefits of our acquisition of Kolltan.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success of the Kolltan merger will depend on, among other things, the combined company’s ability to operate efficiently and to achieve its business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objectives, including the successful development of its drug candidates. Achieving the benefits of the acquisition will depend in part on the successful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of the preclinical and clinical programs acquired from Kolltan. Following the acquisition, we decided to modify the Fc portion of CDX-0158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because approximately two-thirds of the patients in the Phase 1 dose-escalation study of CDX-0158 in patients with advanced refractory gastrointestinal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stromal tumors, or GIST, and other KIT positive tumors had infusion reactions. This second-generation version, called CDX-0159, also includes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modifications to increase the half-life of the antibody, giving it an additional advantage over CDX-0158. We are developing CDX-0159 in-house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intention of replacing CDX-0158 in clinical development. As a result in the third quarter of 2017, we recorded a non-cash partial impairment charge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$13.0 million related to this clinical program due to changes in projected development and regulatory timelines. The time periods to receive approvals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regulatory agencies are subject to uncertainty and therefore we will continue to evaluate the development progress for the anti-KIT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program and monitor the remaining $27.0 million intangible asset for further impairment. If we experience further delays or do not successfully develop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clinical programs acquired from Kolltan, we may incur further impairment charges and may not realize the anticipated benefits of the Kolltan acquisition,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which would have an adverse effect on our business prospects and results of operations.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70" w:lineRule="exact"/>
        <w:rPr>
          <w:sz w:val="20"/>
          <w:szCs w:val="20"/>
          <w:color w:val="auto"/>
        </w:rPr>
      </w:pPr>
    </w:p>
    <w:p>
      <w:pPr>
        <w:ind w:right="320" w:firstLine="365"/>
        <w:spacing w:after="0" w:line="264"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firstLine="365"/>
        <w:spacing w:after="0" w:line="293" w:lineRule="auto"/>
        <w:rPr>
          <w:sz w:val="20"/>
          <w:szCs w:val="20"/>
          <w:color w:val="auto"/>
        </w:rPr>
      </w:pPr>
      <w:r>
        <w:rPr>
          <w:rFonts w:ascii="Arial" w:cs="Arial" w:eastAsia="Arial" w:hAnsi="Arial"/>
          <w:sz w:val="16"/>
          <w:szCs w:val="16"/>
          <w:color w:val="auto"/>
        </w:rPr>
        <w:t>From time to time we may consider strategic transactions, including acquisitions of companies, such as our acquisition of Kolltan in the fourth quarter of 2016,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65" w:lineRule="exact"/>
        <w:rPr>
          <w:sz w:val="20"/>
          <w:szCs w:val="20"/>
          <w:color w:val="auto"/>
        </w:rPr>
      </w:pPr>
    </w:p>
    <w:p>
      <w:pPr>
        <w:ind w:left="740" w:hanging="84"/>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660" w:right="680" w:hanging="4"/>
        <w:spacing w:after="0" w:line="250" w:lineRule="auto"/>
        <w:tabs>
          <w:tab w:leader="none" w:pos="7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drug candidates or technologies;</w:t>
      </w:r>
    </w:p>
    <w:p>
      <w:pPr>
        <w:ind w:left="740" w:hanging="84"/>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20" w:lineRule="exact"/>
        <w:rPr>
          <w:rFonts w:ascii="Arial" w:cs="Arial" w:eastAsia="Arial" w:hAnsi="Arial"/>
          <w:sz w:val="17"/>
          <w:szCs w:val="17"/>
          <w:color w:val="auto"/>
        </w:rPr>
      </w:pPr>
    </w:p>
    <w:p>
      <w:pPr>
        <w:ind w:left="740" w:hanging="84"/>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right="320" w:firstLine="365"/>
        <w:spacing w:after="0" w:line="342" w:lineRule="auto"/>
        <w:rPr>
          <w:sz w:val="20"/>
          <w:szCs w:val="20"/>
          <w:color w:val="auto"/>
        </w:rPr>
      </w:pPr>
      <w:r>
        <w:rPr>
          <w:rFonts w:ascii="Arial" w:cs="Arial" w:eastAsia="Arial" w:hAnsi="Arial"/>
          <w:sz w:val="16"/>
          <w:szCs w:val="16"/>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integrate our existing technology or to modify our technologies to create new immunotherapeutic drugs.</w:t>
      </w:r>
    </w:p>
    <w:p>
      <w:pPr>
        <w:sectPr>
          <w:pgSz w:w="11900" w:h="16838" w:orient="portrait"/>
          <w:cols w:equalWidth="0" w:num="1">
            <w:col w:w="11380"/>
          </w:cols>
          <w:pgMar w:left="240" w:top="125" w:right="279" w:bottom="0" w:gutter="0" w:footer="0" w:header="0"/>
        </w:sectPr>
      </w:pPr>
    </w:p>
    <w:bookmarkStart w:id="27" w:name="page28"/>
    <w:bookmarkEnd w:id="27"/>
    <w:p>
      <w:pPr>
        <w:spacing w:after="0" w:line="114" w:lineRule="exact"/>
        <w:rPr>
          <w:sz w:val="20"/>
          <w:szCs w:val="20"/>
          <w:color w:val="auto"/>
        </w:rPr>
      </w:pPr>
    </w:p>
    <w:p>
      <w:pPr>
        <w:ind w:right="60" w:firstLine="365"/>
        <w:spacing w:after="0" w:line="297" w:lineRule="auto"/>
        <w:rPr>
          <w:sz w:val="20"/>
          <w:szCs w:val="20"/>
          <w:color w:val="auto"/>
        </w:rPr>
      </w:pPr>
      <w:r>
        <w:rPr>
          <w:rFonts w:ascii="Arial" w:cs="Arial" w:eastAsia="Arial" w:hAnsi="Arial"/>
          <w:sz w:val="16"/>
          <w:szCs w:val="16"/>
          <w:color w:val="auto"/>
        </w:rPr>
        <w:t>If we are able to integrate our acquired assets, such as Kolltan’s drug development programs and TAM technology,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spacing w:after="0" w:line="158" w:lineRule="exact"/>
        <w:rPr>
          <w:sz w:val="20"/>
          <w:szCs w:val="20"/>
          <w:color w:val="auto"/>
        </w:rPr>
      </w:pPr>
    </w:p>
    <w:p>
      <w:pPr>
        <w:ind w:right="80" w:firstLine="365"/>
        <w:spacing w:after="0" w:line="259" w:lineRule="auto"/>
        <w:rPr>
          <w:sz w:val="20"/>
          <w:szCs w:val="20"/>
          <w:color w:val="auto"/>
        </w:rPr>
      </w:pPr>
      <w:r>
        <w:rPr>
          <w:rFonts w:ascii="Arial" w:cs="Arial" w:eastAsia="Arial" w:hAnsi="Arial"/>
          <w:sz w:val="18"/>
          <w:szCs w:val="18"/>
          <w:color w:val="auto"/>
        </w:rPr>
        <w:t>We believe that our immunotherapy technology portfolio may offer opportunities to develop immunotherapeutic drugs that treat a variety of cancers and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170" w:lineRule="exact"/>
        <w:rPr>
          <w:sz w:val="20"/>
          <w:szCs w:val="20"/>
          <w:color w:val="auto"/>
        </w:rPr>
      </w:pPr>
    </w:p>
    <w:p>
      <w:pPr>
        <w:ind w:right="80" w:firstLine="365"/>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us to use hazardous materials, which increases our exposure to dangerous and costly accidents.</w:t>
      </w:r>
    </w:p>
    <w:p>
      <w:pPr>
        <w:spacing w:after="0" w:line="225" w:lineRule="exact"/>
        <w:rPr>
          <w:sz w:val="20"/>
          <w:szCs w:val="20"/>
          <w:color w:val="auto"/>
        </w:rPr>
      </w:pPr>
    </w:p>
    <w:p>
      <w:pPr>
        <w:ind w:right="20" w:firstLine="365"/>
        <w:spacing w:after="0" w:line="257"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face the risk of product liability claims, which could exceed our insurance coverage, and product recalls, each of which could deplete our cash resources.</w:t>
      </w:r>
    </w:p>
    <w:p>
      <w:pPr>
        <w:spacing w:after="0" w:line="170" w:lineRule="exact"/>
        <w:rPr>
          <w:sz w:val="20"/>
          <w:szCs w:val="20"/>
          <w:color w:val="auto"/>
        </w:rPr>
      </w:pPr>
    </w:p>
    <w:p>
      <w:pPr>
        <w:ind w:right="140" w:firstLine="365"/>
        <w:spacing w:after="0" w:line="257" w:lineRule="auto"/>
        <w:rPr>
          <w:sz w:val="20"/>
          <w:szCs w:val="20"/>
          <w:color w:val="auto"/>
        </w:rPr>
      </w:pPr>
      <w:r>
        <w:rPr>
          <w:rFonts w:ascii="Arial" w:cs="Arial" w:eastAsia="Arial" w:hAnsi="Arial"/>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 Product liability claims can be expensive to defend, even if the drug or drug candidate did not actually cause the alleged injury or harm.</w:t>
      </w:r>
    </w:p>
    <w:p>
      <w:pPr>
        <w:spacing w:after="0" w:line="188"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81" w:lineRule="exact"/>
        <w:rPr>
          <w:sz w:val="20"/>
          <w:szCs w:val="20"/>
          <w:color w:val="auto"/>
        </w:rPr>
      </w:pPr>
    </w:p>
    <w:p>
      <w:pPr>
        <w:ind w:right="120" w:firstLine="365"/>
        <w:spacing w:after="0" w:line="271" w:lineRule="auto"/>
        <w:rPr>
          <w:sz w:val="20"/>
          <w:szCs w:val="20"/>
          <w:color w:val="auto"/>
        </w:rPr>
      </w:pPr>
      <w:r>
        <w:rPr>
          <w:rFonts w:ascii="Arial" w:cs="Arial" w:eastAsia="Arial" w:hAnsi="Arial"/>
          <w:sz w:val="17"/>
          <w:szCs w:val="17"/>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953" w:orient="portrait"/>
          <w:cols w:equalWidth="0" w:num="1">
            <w:col w:w="11420"/>
          </w:cols>
          <w:pgMar w:left="240" w:top="125" w:right="239" w:bottom="0" w:gutter="0" w:footer="0" w:header="0"/>
        </w:sectPr>
      </w:pP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ectPr>
          <w:pgSz w:w="11900" w:h="16953" w:orient="portrait"/>
          <w:cols w:equalWidth="0" w:num="1">
            <w:col w:w="11420"/>
          </w:cols>
          <w:pgMar w:left="240" w:top="125" w:right="239" w:bottom="0" w:gutter="0" w:footer="0" w:header="0"/>
          <w:type w:val="continuous"/>
        </w:sectPr>
      </w:pPr>
    </w:p>
    <w:bookmarkStart w:id="28" w:name="page29"/>
    <w:bookmarkEnd w:id="28"/>
    <w:p>
      <w:pPr>
        <w:spacing w:after="0" w:line="46" w:lineRule="exact"/>
        <w:rPr>
          <w:sz w:val="20"/>
          <w:szCs w:val="20"/>
          <w:color w:val="auto"/>
        </w:rPr>
      </w:pPr>
    </w:p>
    <w:p>
      <w:pPr>
        <w:ind w:right="60" w:firstLine="365"/>
        <w:spacing w:after="0" w:line="273" w:lineRule="auto"/>
        <w:rPr>
          <w:sz w:val="20"/>
          <w:szCs w:val="20"/>
          <w:color w:val="auto"/>
        </w:rPr>
      </w:pPr>
      <w:r>
        <w:rPr>
          <w:rFonts w:ascii="Arial" w:cs="Arial" w:eastAsia="Arial" w:hAnsi="Arial"/>
          <w:sz w:val="17"/>
          <w:szCs w:val="17"/>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spacing w:after="0" w:line="178" w:lineRule="exact"/>
        <w:rPr>
          <w:sz w:val="20"/>
          <w:szCs w:val="20"/>
          <w:color w:val="auto"/>
        </w:rPr>
      </w:pPr>
    </w:p>
    <w:p>
      <w:pPr>
        <w:ind w:right="40" w:firstLine="365"/>
        <w:spacing w:after="0" w:line="287" w:lineRule="auto"/>
        <w:rPr>
          <w:sz w:val="20"/>
          <w:szCs w:val="20"/>
          <w:color w:val="auto"/>
        </w:rPr>
      </w:pPr>
      <w:r>
        <w:rPr>
          <w:rFonts w:ascii="Arial" w:cs="Arial" w:eastAsia="Arial" w:hAnsi="Arial"/>
          <w:sz w:val="16"/>
          <w:szCs w:val="16"/>
          <w:color w:val="auto"/>
        </w:rPr>
        <w:t>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 For example, in September 2014, two European patent oppositions were filed against the University of Southampton European patent, and at a hearing on November 23, 2016 the European Patent Office (EPO) revoked the European patent on the ground of lack of inventive step. We intend to appeal this decision and to defend the European patent vigorously in cooperation with the University of Southampton. This EPO decision does not affect the later filed Celldex patents and applications for varlilumab. We also have an issued U.S. patent which covers varlilumab as a composition of matter.</w:t>
      </w:r>
    </w:p>
    <w:p>
      <w:pPr>
        <w:spacing w:after="0" w:line="173" w:lineRule="exact"/>
        <w:rPr>
          <w:sz w:val="20"/>
          <w:szCs w:val="20"/>
          <w:color w:val="auto"/>
        </w:rPr>
      </w:pPr>
    </w:p>
    <w:p>
      <w:pPr>
        <w:ind w:right="100" w:firstLine="365"/>
        <w:spacing w:after="0" w:line="302"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5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0" w:lineRule="exact"/>
        <w:rPr>
          <w:sz w:val="20"/>
          <w:szCs w:val="20"/>
          <w:color w:val="auto"/>
        </w:rPr>
      </w:pPr>
    </w:p>
    <w:p>
      <w:pPr>
        <w:ind w:right="40" w:firstLine="365"/>
        <w:spacing w:after="0" w:line="27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71"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We are aware of a third-party European patent that relates to use of ErbB3 antibodies for treatment of hyperproliferative disorders, including cancer. A counterpart of this patent has also issued in Japan and Australia. As a result of an opposition proceeding, the European patent was revoked in its entirety. The owner of the European patent has appealed the decision in the opposition proceeding. We do not know if the appeal will succeed, or, if successful, whether the scope of claims, post-appeal, would be relevant to our activities. Should the appeal be successful and a license be necessary for our program that targets ErbB3, we cannot predict whether we would be able to obtain such a license or, if a license were available, whether it would be available on commercially reasonable terms. If the appeal results in such third party’s patents having a valid claim relevant to our use of ErbB3 antibodies and a license under the patents is unavailable on commercially relevant terms, or at all, our ability to commercialize CDX-3379 in Europe may be impaired or delayed. We would vigorously defend ourselves, but we cannot predict whether the patents would be found valid, enforceable or infringed. We continue to monitor counterpart patent applications pending in other jurisdictions, including the United States. While we cannot predict whether claims will issue in these other jurisdictions or whether the scope of such claims would be relevant to our activities, these applications entail comparable risks to us in these other jurisdictions.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the confidentiality of our trade secrets, thus harming our business and competitive position.</w:t>
      </w:r>
    </w:p>
    <w:p>
      <w:pPr>
        <w:spacing w:after="0" w:line="225" w:lineRule="exact"/>
        <w:rPr>
          <w:sz w:val="20"/>
          <w:szCs w:val="20"/>
          <w:color w:val="auto"/>
        </w:rPr>
      </w:pPr>
    </w:p>
    <w:p>
      <w:pPr>
        <w:ind w:right="20" w:firstLine="365"/>
        <w:spacing w:after="0" w:line="253" w:lineRule="auto"/>
        <w:rPr>
          <w:sz w:val="20"/>
          <w:szCs w:val="20"/>
          <w:color w:val="auto"/>
        </w:rPr>
      </w:pPr>
      <w:r>
        <w:rPr>
          <w:rFonts w:ascii="Arial" w:cs="Arial" w:eastAsia="Arial" w:hAnsi="Arial"/>
          <w:sz w:val="18"/>
          <w:szCs w:val="18"/>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involved in lawsuits to protect or enforce our patents, which could be expensive, time-consuming and unsuccessful.</w:t>
      </w:r>
    </w:p>
    <w:p>
      <w:pPr>
        <w:spacing w:after="0" w:line="237" w:lineRule="exact"/>
        <w:rPr>
          <w:sz w:val="20"/>
          <w:szCs w:val="20"/>
          <w:color w:val="auto"/>
        </w:rPr>
      </w:pPr>
    </w:p>
    <w:p>
      <w:pPr>
        <w:ind w:right="60" w:firstLine="365"/>
        <w:spacing w:after="0" w:line="255" w:lineRule="auto"/>
        <w:rPr>
          <w:sz w:val="20"/>
          <w:szCs w:val="20"/>
          <w:color w:val="auto"/>
        </w:rPr>
      </w:pPr>
      <w:r>
        <w:rPr>
          <w:rFonts w:ascii="Arial" w:cs="Arial" w:eastAsia="Arial" w:hAnsi="Arial"/>
          <w:sz w:val="18"/>
          <w:szCs w:val="18"/>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jc w:val="both"/>
        <w:ind w:right="80" w:firstLine="365"/>
        <w:spacing w:after="0" w:line="312" w:lineRule="auto"/>
        <w:rPr>
          <w:sz w:val="20"/>
          <w:szCs w:val="20"/>
          <w:color w:val="auto"/>
        </w:rPr>
      </w:pPr>
      <w:r>
        <w:rPr>
          <w:rFonts w:ascii="Arial" w:cs="Arial" w:eastAsia="Arial" w:hAnsi="Arial"/>
          <w:sz w:val="16"/>
          <w:szCs w:val="16"/>
          <w:color w:val="auto"/>
        </w:rPr>
        <w:t>Our success depends upon our ability and the ability of our collaborators to develop and manufacture and, if regulatory approval is obtained,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w:t>
      </w:r>
    </w:p>
    <w:p>
      <w:pPr>
        <w:sectPr>
          <w:pgSz w:w="11900" w:h="16885" w:orient="portrait"/>
          <w:cols w:equalWidth="0" w:num="1">
            <w:col w:w="11420"/>
          </w:cols>
          <w:pgMar w:left="240" w:top="341" w:right="239" w:bottom="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260" w:lineRule="exact"/>
        <w:rPr>
          <w:sz w:val="20"/>
          <w:szCs w:val="20"/>
          <w:color w:val="auto"/>
        </w:rPr>
      </w:pPr>
    </w:p>
    <w:p>
      <w:pPr>
        <w:ind w:right="60" w:firstLine="365"/>
        <w:spacing w:after="0" w:line="255" w:lineRule="auto"/>
        <w:rPr>
          <w:sz w:val="20"/>
          <w:szCs w:val="20"/>
          <w:color w:val="auto"/>
        </w:rPr>
      </w:pPr>
      <w:r>
        <w:rPr>
          <w:rFonts w:ascii="Arial" w:cs="Arial" w:eastAsia="Arial" w:hAnsi="Arial"/>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70" w:lineRule="exact"/>
        <w:rPr>
          <w:sz w:val="20"/>
          <w:szCs w:val="20"/>
          <w:color w:val="auto"/>
        </w:rPr>
      </w:pPr>
    </w:p>
    <w:p>
      <w:pPr>
        <w:ind w:right="40" w:firstLine="365"/>
        <w:spacing w:after="0" w:line="264" w:lineRule="auto"/>
        <w:rPr>
          <w:sz w:val="20"/>
          <w:szCs w:val="20"/>
          <w:color w:val="auto"/>
        </w:rPr>
      </w:pPr>
      <w:r>
        <w:rPr>
          <w:rFonts w:ascii="Arial" w:cs="Arial" w:eastAsia="Arial" w:hAnsi="Arial"/>
          <w:sz w:val="18"/>
          <w:szCs w:val="18"/>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8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24" w:lineRule="exact"/>
        <w:rPr>
          <w:sz w:val="20"/>
          <w:szCs w:val="20"/>
          <w:color w:val="auto"/>
        </w:rPr>
      </w:pPr>
    </w:p>
    <w:p>
      <w:pPr>
        <w:ind w:firstLine="365"/>
        <w:spacing w:after="0" w:line="268" w:lineRule="auto"/>
        <w:rPr>
          <w:sz w:val="20"/>
          <w:szCs w:val="20"/>
          <w:color w:val="auto"/>
        </w:rPr>
      </w:pPr>
      <w:r>
        <w:rPr>
          <w:rFonts w:ascii="Arial" w:cs="Arial" w:eastAsia="Arial" w:hAnsi="Arial"/>
          <w:sz w:val="17"/>
          <w:szCs w:val="17"/>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185" w:lineRule="exact"/>
        <w:rPr>
          <w:sz w:val="20"/>
          <w:szCs w:val="20"/>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3"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consent decrees;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accept or approve applications for marketing approval of new drugs;</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9" w:lineRule="exact"/>
        <w:rPr>
          <w:rFonts w:ascii="Arial" w:cs="Arial" w:eastAsia="Arial" w:hAnsi="Arial"/>
          <w:sz w:val="18"/>
          <w:szCs w:val="18"/>
          <w:color w:val="auto"/>
        </w:rPr>
      </w:pPr>
    </w:p>
    <w:p>
      <w:pPr>
        <w:ind w:left="740" w:hanging="84"/>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seizure or detention of drugs or import bans.</w:t>
      </w:r>
    </w:p>
    <w:p>
      <w:pPr>
        <w:spacing w:after="0" w:line="211" w:lineRule="exact"/>
        <w:rPr>
          <w:sz w:val="20"/>
          <w:szCs w:val="20"/>
          <w:color w:val="auto"/>
        </w:rPr>
      </w:pPr>
    </w:p>
    <w:p>
      <w:pPr>
        <w:ind w:right="160" w:firstLine="365"/>
        <w:spacing w:after="0" w:line="342" w:lineRule="auto"/>
        <w:rPr>
          <w:sz w:val="20"/>
          <w:szCs w:val="20"/>
          <w:color w:val="auto"/>
        </w:rPr>
      </w:pPr>
      <w:r>
        <w:rPr>
          <w:rFonts w:ascii="Arial" w:cs="Arial" w:eastAsia="Arial" w:hAnsi="Arial"/>
          <w:sz w:val="16"/>
          <w:szCs w:val="16"/>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w:t>
      </w:r>
    </w:p>
    <w:p>
      <w:pPr>
        <w:sectPr>
          <w:pgSz w:w="11900" w:h="16838" w:orient="portrait"/>
          <w:cols w:equalWidth="0" w:num="1">
            <w:col w:w="11380"/>
          </w:cols>
          <w:pgMar w:left="240" w:top="125" w:right="279" w:bottom="0" w:gutter="0" w:footer="0" w:header="0"/>
        </w:sectPr>
      </w:pPr>
    </w:p>
    <w:bookmarkStart w:id="30" w:name="page31"/>
    <w:bookmarkEnd w:id="30"/>
    <w:p>
      <w:pPr>
        <w:spacing w:after="0" w:line="1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United States or in other countries. If we are not able to maintain regulatory compliance, we may not be permitted to market our future products, and our business may suffer.</w:t>
      </w:r>
    </w:p>
    <w:p>
      <w:pPr>
        <w:spacing w:after="0" w:line="17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 care fraud and abuse laws, false claims laws and health information privacy and security laws. If we are unable to comply, or have not fully complied, with such laws, we could face substantial penalties.</w:t>
      </w:r>
    </w:p>
    <w:p>
      <w:pPr>
        <w:spacing w:after="0" w:line="147" w:lineRule="exact"/>
        <w:rPr>
          <w:sz w:val="20"/>
          <w:szCs w:val="20"/>
          <w:color w:val="auto"/>
        </w:rPr>
      </w:pPr>
    </w:p>
    <w:p>
      <w:pPr>
        <w:jc w:val="both"/>
        <w:ind w:right="40" w:firstLine="365"/>
        <w:spacing w:after="0" w:line="264" w:lineRule="auto"/>
        <w:rPr>
          <w:sz w:val="20"/>
          <w:szCs w:val="20"/>
          <w:color w:val="auto"/>
        </w:rPr>
      </w:pPr>
      <w:r>
        <w:rPr>
          <w:rFonts w:ascii="Arial" w:cs="Arial" w:eastAsia="Arial" w:hAnsi="Arial"/>
          <w:sz w:val="18"/>
          <w:szCs w:val="18"/>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70" w:lineRule="exact"/>
        <w:rPr>
          <w:sz w:val="20"/>
          <w:szCs w:val="20"/>
          <w:color w:val="auto"/>
        </w:rPr>
      </w:pPr>
    </w:p>
    <w:p>
      <w:pPr>
        <w:ind w:left="660" w:right="280" w:hanging="4"/>
        <w:spacing w:after="0" w:line="264" w:lineRule="auto"/>
        <w:tabs>
          <w:tab w:leader="none" w:pos="7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181" w:lineRule="exact"/>
        <w:rPr>
          <w:rFonts w:ascii="Arial" w:cs="Arial" w:eastAsia="Arial" w:hAnsi="Arial"/>
          <w:sz w:val="18"/>
          <w:szCs w:val="18"/>
          <w:color w:val="auto"/>
        </w:rPr>
      </w:pPr>
    </w:p>
    <w:p>
      <w:pPr>
        <w:ind w:left="660" w:right="580" w:hanging="4"/>
        <w:spacing w:after="0" w:line="264" w:lineRule="auto"/>
        <w:tabs>
          <w:tab w:leader="none" w:pos="7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81" w:lineRule="exact"/>
        <w:rPr>
          <w:rFonts w:ascii="Arial" w:cs="Arial" w:eastAsia="Arial" w:hAnsi="Arial"/>
          <w:sz w:val="18"/>
          <w:szCs w:val="18"/>
          <w:color w:val="auto"/>
        </w:rPr>
      </w:pPr>
    </w:p>
    <w:p>
      <w:pPr>
        <w:ind w:left="660" w:hanging="4"/>
        <w:spacing w:after="0" w:line="264" w:lineRule="auto"/>
        <w:tabs>
          <w:tab w:leader="none" w:pos="7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transmission of individually identifiable health information;</w:t>
      </w:r>
    </w:p>
    <w:p>
      <w:pPr>
        <w:spacing w:after="0" w:line="181" w:lineRule="exact"/>
        <w:rPr>
          <w:rFonts w:ascii="Arial" w:cs="Arial" w:eastAsia="Arial" w:hAnsi="Arial"/>
          <w:sz w:val="18"/>
          <w:szCs w:val="18"/>
          <w:color w:val="auto"/>
        </w:rPr>
      </w:pPr>
    </w:p>
    <w:p>
      <w:pPr>
        <w:jc w:val="both"/>
        <w:ind w:left="660" w:right="480" w:hanging="4"/>
        <w:spacing w:after="0" w:line="264" w:lineRule="auto"/>
        <w:tabs>
          <w:tab w:leader="none" w:pos="7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81" w:lineRule="exact"/>
        <w:rPr>
          <w:rFonts w:ascii="Arial" w:cs="Arial" w:eastAsia="Arial" w:hAnsi="Arial"/>
          <w:sz w:val="18"/>
          <w:szCs w:val="18"/>
          <w:color w:val="auto"/>
        </w:rPr>
      </w:pPr>
    </w:p>
    <w:p>
      <w:pPr>
        <w:ind w:left="660" w:right="40" w:hanging="4"/>
        <w:spacing w:after="0" w:line="259" w:lineRule="auto"/>
        <w:tabs>
          <w:tab w:leader="none" w:pos="7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ind w:right="20" w:firstLine="365"/>
        <w:spacing w:after="0" w:line="276" w:lineRule="auto"/>
        <w:rPr>
          <w:sz w:val="20"/>
          <w:szCs w:val="20"/>
          <w:color w:val="auto"/>
        </w:rPr>
      </w:pPr>
      <w:r>
        <w:rPr>
          <w:rFonts w:ascii="Arial" w:cs="Arial" w:eastAsia="Arial" w:hAnsi="Arial"/>
          <w:sz w:val="17"/>
          <w:szCs w:val="17"/>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73"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47" w:lineRule="exact"/>
        <w:rPr>
          <w:sz w:val="20"/>
          <w:szCs w:val="20"/>
          <w:color w:val="auto"/>
        </w:rPr>
      </w:pPr>
    </w:p>
    <w:p>
      <w:pPr>
        <w:ind w:right="20" w:firstLine="365"/>
        <w:spacing w:after="0" w:line="269" w:lineRule="auto"/>
        <w:rPr>
          <w:sz w:val="20"/>
          <w:szCs w:val="20"/>
          <w:color w:val="auto"/>
        </w:rPr>
      </w:pPr>
      <w:r>
        <w:rPr>
          <w:rFonts w:ascii="Arial" w:cs="Arial" w:eastAsia="Arial" w:hAnsi="Arial"/>
          <w:sz w:val="17"/>
          <w:szCs w:val="17"/>
          <w:color w:val="auto"/>
        </w:rPr>
        <w:t>We are subject to various domestic and international privacy and security regulations. The confidentiality, collection, use and disclosure of personal data, including clinical trial patient-specific information, are subject to governmental regulation generally in the country that the personal data were collected or used. In the United States were are subject to various state and federal privacy and data security regulations, including but not limited to HIPAA and as amended in 2014 by the HITECH Act. HIPAA mandates, among other things, the adoption of uniform standards for the electronic exchange of information in common health care transactions, as well as standards relating to the privacy and security of individually identifiable health information, which require the adoption of administrative, physical and technical safeguards to protect such information.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regulation with respect to protection of and cross-border transfers of such data out of the EU, and this regulation will become more stringent in May 2018 when the EU’s General Data Protection Regulation (GDPR) comes into effect. Furthermore, the legislative and regulatory landscape for privacy and data protection continues to evolve, and there has been an increasing amount of focus on privacy and data protection issues. The United States and the EU and its member states continue to issue new privacy and data protection rules and regulations that relate to personal data and health information.</w:t>
      </w:r>
    </w:p>
    <w:p>
      <w:pPr>
        <w:spacing w:after="0" w:line="180" w:lineRule="exact"/>
        <w:rPr>
          <w:sz w:val="20"/>
          <w:szCs w:val="20"/>
          <w:color w:val="auto"/>
        </w:rPr>
      </w:pPr>
    </w:p>
    <w:p>
      <w:pPr>
        <w:ind w:right="160" w:firstLine="365"/>
        <w:spacing w:after="0" w:line="264" w:lineRule="auto"/>
        <w:rPr>
          <w:sz w:val="20"/>
          <w:szCs w:val="20"/>
          <w:color w:val="auto"/>
        </w:rPr>
      </w:pPr>
      <w:r>
        <w:rPr>
          <w:rFonts w:ascii="Arial" w:cs="Arial" w:eastAsia="Arial" w:hAnsi="Arial"/>
          <w:sz w:val="18"/>
          <w:szCs w:val="18"/>
          <w:color w:val="auto"/>
        </w:rPr>
        <w:t>Compliance with these laws may be time 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Changes in health care law and implementing regulations, including government restrictions on pricing and reimbursement, as well as health care policy and other health care payor cost-containment initiatives, may have a material adverse effect on us.</w:t>
      </w:r>
    </w:p>
    <w:p>
      <w:pPr>
        <w:spacing w:after="0" w:line="170" w:lineRule="exact"/>
        <w:rPr>
          <w:sz w:val="20"/>
          <w:szCs w:val="20"/>
          <w:color w:val="auto"/>
        </w:rPr>
      </w:pPr>
    </w:p>
    <w:p>
      <w:pPr>
        <w:ind w:right="80" w:firstLine="365"/>
        <w:spacing w:after="0" w:line="312"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w:t>
      </w:r>
    </w:p>
    <w:p>
      <w:pPr>
        <w:sectPr>
          <w:pgSz w:w="11900" w:h="16952" w:orient="portrait"/>
          <w:cols w:equalWidth="0" w:num="1">
            <w:col w:w="11420"/>
          </w:cols>
          <w:pgMar w:left="240" w:top="125" w:right="239" w:bottom="0" w:gutter="0" w:footer="0" w:header="0"/>
        </w:sectPr>
      </w:pPr>
    </w:p>
    <w:bookmarkStart w:id="31" w:name="page32"/>
    <w:bookmarkEnd w:id="31"/>
    <w:p>
      <w:pPr>
        <w:spacing w:after="0" w:line="14"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For example, in the United States, the Patient Protection and Affordable Care Act of 2010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189" w:lineRule="exact"/>
        <w:rPr>
          <w:sz w:val="20"/>
          <w:szCs w:val="20"/>
          <w:color w:val="auto"/>
        </w:rPr>
      </w:pPr>
    </w:p>
    <w:p>
      <w:pPr>
        <w:ind w:firstLine="365"/>
        <w:spacing w:after="0" w:line="264" w:lineRule="auto"/>
        <w:rPr>
          <w:sz w:val="20"/>
          <w:szCs w:val="20"/>
          <w:color w:val="auto"/>
        </w:rPr>
      </w:pPr>
      <w:r>
        <w:rPr>
          <w:rFonts w:ascii="Arial" w:cs="Arial" w:eastAsia="Arial" w:hAnsi="Arial"/>
          <w:sz w:val="18"/>
          <w:szCs w:val="18"/>
          <w:color w:val="auto"/>
        </w:rPr>
        <w:t>We cannot be sure whether additional legislative changes will be enacted, or whether government regulations, guidance or interpretations will be changed, or what the impact of such changes would be on the marketing approvals, sales, pricing, or reimbursement of our drug candidates or products, if any, may be.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history of losses and uncertainty of future profitability make our common stock a highly speculative investment.</w:t>
      </w:r>
    </w:p>
    <w:p>
      <w:pPr>
        <w:spacing w:after="0" w:line="225" w:lineRule="exact"/>
        <w:rPr>
          <w:sz w:val="20"/>
          <w:szCs w:val="20"/>
          <w:color w:val="auto"/>
        </w:rPr>
      </w:pPr>
    </w:p>
    <w:p>
      <w:pPr>
        <w:ind w:right="360" w:firstLine="365"/>
        <w:spacing w:after="0" w:line="277" w:lineRule="auto"/>
        <w:rPr>
          <w:sz w:val="20"/>
          <w:szCs w:val="20"/>
          <w:color w:val="auto"/>
        </w:rPr>
      </w:pPr>
      <w:r>
        <w:rPr>
          <w:rFonts w:ascii="Arial" w:cs="Arial" w:eastAsia="Arial" w:hAnsi="Arial"/>
          <w:sz w:val="18"/>
          <w:szCs w:val="18"/>
          <w:color w:val="auto"/>
        </w:rPr>
        <w:t>We have had no commercial revenue to date from sales of our drug candidates. We had an accumulated deficit of $812.5 million as of December 31, 2017. We expect to spend substantial funds to continue the research and development testing of our drug candidates.</w:t>
      </w:r>
    </w:p>
    <w:p>
      <w:pPr>
        <w:spacing w:after="0" w:line="170"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87" w:lineRule="exact"/>
        <w:rPr>
          <w:sz w:val="20"/>
          <w:szCs w:val="20"/>
          <w:color w:val="auto"/>
        </w:rPr>
      </w:pPr>
    </w:p>
    <w:p>
      <w:pPr>
        <w:ind w:right="560" w:firstLine="365"/>
        <w:spacing w:after="0" w:line="34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225"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The market price of our common stock has historically experienced and may continue to experience significant volatility. From January 2017 through April 2018, the market price of our common stock has fluctuated from a high of $4.02 per share in the first quarter of 2017, to a low of $0.65 per share in the second quarter of 2018.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Adverse changes to the price of our common stock could result in an impairment to the amount recorded to goodwill on our balance sheet.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6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certain preclinical and clinical milestones are achieved, our stockholders may experience significant dilution as a result of milestone payments to former Kolltan stockholders.</w:t>
      </w:r>
    </w:p>
    <w:p>
      <w:pPr>
        <w:spacing w:after="0" w:line="170" w:lineRule="exact"/>
        <w:rPr>
          <w:sz w:val="20"/>
          <w:szCs w:val="20"/>
          <w:color w:val="auto"/>
        </w:rPr>
      </w:pPr>
    </w:p>
    <w:p>
      <w:pPr>
        <w:ind w:right="460" w:firstLine="365"/>
        <w:spacing w:after="0" w:line="277" w:lineRule="auto"/>
        <w:rPr>
          <w:sz w:val="20"/>
          <w:szCs w:val="20"/>
          <w:color w:val="auto"/>
        </w:rPr>
      </w:pPr>
      <w:r>
        <w:rPr>
          <w:rFonts w:ascii="Arial" w:cs="Arial" w:eastAsia="Arial" w:hAnsi="Arial"/>
          <w:sz w:val="18"/>
          <w:szCs w:val="18"/>
          <w:color w:val="auto"/>
        </w:rPr>
        <w:t>The merger agreement pursuant to which we acquired Kolltan provides that, in the event that certain specified preclinical and clinical development milestones related to Kolltan’s development programs and/or Celldex’s development programs and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commercial milestones related to Kolltan’s drug candidates are achieved, we will be required to pay Kolltan’s stockholders milestone payments of up to</w:t>
      </w:r>
    </w:p>
    <w:p>
      <w:pPr>
        <w:spacing w:after="0" w:line="35"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$172.5 million, which milestone payments may be made, at our sole election, in cash, in shares of our common stock or a combination of both, subject to the provisions of the merger agreement.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issue additional shares of our common stock, in lieu of paying cash, for such milestone payments, our stockholders may experience significant dilution.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will be subject to limitation and, under certain circumstances, may be eliminated.</w:t>
      </w:r>
    </w:p>
    <w:p>
      <w:pPr>
        <w:spacing w:after="0" w:line="237" w:lineRule="exact"/>
        <w:rPr>
          <w:sz w:val="20"/>
          <w:szCs w:val="20"/>
          <w:color w:val="auto"/>
        </w:rPr>
      </w:pPr>
    </w:p>
    <w:p>
      <w:pPr>
        <w:ind w:right="60" w:firstLine="365"/>
        <w:spacing w:after="0" w:line="302" w:lineRule="auto"/>
        <w:rPr>
          <w:sz w:val="20"/>
          <w:szCs w:val="20"/>
          <w:color w:val="auto"/>
        </w:rPr>
      </w:pPr>
      <w:r>
        <w:rPr>
          <w:rFonts w:ascii="Arial" w:cs="Arial" w:eastAsia="Arial" w:hAnsi="Arial"/>
          <w:sz w:val="16"/>
          <w:szCs w:val="16"/>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54" w:lineRule="exact"/>
        <w:rPr>
          <w:sz w:val="20"/>
          <w:szCs w:val="20"/>
          <w:color w:val="auto"/>
        </w:rPr>
      </w:pPr>
    </w:p>
    <w:p>
      <w:pPr>
        <w:ind w:right="40" w:firstLine="365"/>
        <w:spacing w:after="0" w:line="271" w:lineRule="auto"/>
        <w:rPr>
          <w:sz w:val="20"/>
          <w:szCs w:val="20"/>
          <w:color w:val="auto"/>
        </w:rPr>
      </w:pPr>
      <w:r>
        <w:rPr>
          <w:rFonts w:ascii="Arial" w:cs="Arial" w:eastAsia="Arial" w:hAnsi="Arial"/>
          <w:sz w:val="17"/>
          <w:szCs w:val="17"/>
          <w:color w:val="auto"/>
        </w:rPr>
        <w:t>In October 2007, June 2009, December 2009 and December 2013,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our Federal net operating loss carryforwards is subject to an annual limitation. Any unused annual limitation may be carried over to later years, and the amount of the limitation may, under certain circumstances, be subject to adjustment if the fair value of our net assets is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ectPr>
          <w:pgSz w:w="11900" w:h="16853" w:orient="portrait"/>
          <w:cols w:equalWidth="0" w:num="1">
            <w:col w:w="11420"/>
          </w:cols>
          <w:pgMar w:left="240" w:top="341" w:right="239" w:bottom="0" w:gutter="0" w:footer="0" w:header="0"/>
        </w:sectPr>
      </w:pPr>
    </w:p>
    <w:bookmarkStart w:id="32" w:name="page33"/>
    <w:bookmarkEnd w:id="32"/>
    <w:p>
      <w:pPr>
        <w:ind w:right="200" w:firstLine="365"/>
        <w:spacing w:after="0" w:line="259" w:lineRule="auto"/>
        <w:rPr>
          <w:sz w:val="20"/>
          <w:szCs w:val="20"/>
          <w:color w:val="auto"/>
        </w:rPr>
      </w:pPr>
      <w:r>
        <w:rPr>
          <w:rFonts w:ascii="Arial" w:cs="Arial" w:eastAsia="Arial" w:hAnsi="Arial"/>
          <w:sz w:val="18"/>
          <w:szCs w:val="18"/>
          <w:color w:val="auto"/>
        </w:rPr>
        <w:t>We have not undertaken a study to assess whether an ownership change or multiple ownership changes has occurred for (i) acquired businesses prior to the acquisition, (ii) the Company on the state level, (iii) the Company since March 2015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87" w:lineRule="exact"/>
        <w:rPr>
          <w:sz w:val="20"/>
          <w:szCs w:val="20"/>
          <w:color w:val="auto"/>
        </w:rPr>
      </w:pPr>
    </w:p>
    <w:p>
      <w:pPr>
        <w:ind w:right="60" w:firstLine="365"/>
        <w:spacing w:after="0" w:line="277" w:lineRule="auto"/>
        <w:rPr>
          <w:sz w:val="20"/>
          <w:szCs w:val="20"/>
          <w:color w:val="auto"/>
        </w:rPr>
      </w:pPr>
      <w:r>
        <w:rPr>
          <w:rFonts w:ascii="Arial" w:cs="Arial" w:eastAsia="Arial" w:hAnsi="Arial"/>
          <w:sz w:val="18"/>
          <w:szCs w:val="18"/>
          <w:color w:val="auto"/>
        </w:rPr>
        <w:t>Refer to Note 15, “Income Taxes,” in the notes to the financial statements in our Annual Report on Form 10-K for the year ended December 31, 2017 for additional discussion on income taxes.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Following the failure of our Phase 2b METRIC study to meet its primary endpoint, we evaluated the program asset for potential impairment related to the discontinuation of our glembatumumab vedotin program across all indications. Following such evaluation, on May 7, 2018, we determined that we should fully impair glembatumumab vedotin program and record a non-cash impairment charge of $18.7 million for the three months ended March 31, 2018. In addition, we recognized a $0.8 million non-cash income tax benefit, a $13.6 million gain on the contingent consideration liability related to the failure of the METRIC study and updated discount rates and a $91.0 million goodwill impairment charge as the carrying value of our net assets exceeded the fair value by the same amount. See Notes 2, 4 and 6 to the consolidated financial statements included elsewhere in this quarterly report on Form 10-Q for further discussion.</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preceding the exhibits and are incorporated by reference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10, 2018</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SAM MARTIN</w:t>
      </w:r>
    </w:p>
    <w:p>
      <w:pPr>
        <w:spacing w:after="0" w:line="2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10, 2018</w:t>
      </w:r>
      <w:r>
        <w:rPr>
          <w:sz w:val="20"/>
          <w:szCs w:val="20"/>
          <w:color w:val="auto"/>
        </w:rPr>
        <w:tab/>
      </w:r>
      <w:r>
        <w:rPr>
          <w:rFonts w:ascii="Arial" w:cs="Arial" w:eastAsia="Arial" w:hAnsi="Arial"/>
          <w:sz w:val="16"/>
          <w:szCs w:val="16"/>
          <w:color w:val="auto"/>
        </w:rPr>
        <w:t>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559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180" w:type="dxa"/>
            <w:vAlign w:val="bottom"/>
            <w:gridSpan w:val="4"/>
          </w:tcPr>
          <w:p>
            <w:pPr>
              <w:ind w:left="412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4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60" w:type="dxa"/>
            <w:vAlign w:val="bottom"/>
            <w:gridSpan w:val="10"/>
          </w:tcPr>
          <w:p>
            <w:pPr>
              <w:ind w:left="1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60" w:type="dxa"/>
            <w:vAlign w:val="bottom"/>
            <w:gridSpan w:val="10"/>
            <w:vMerge w:val="restart"/>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480" w:type="dxa"/>
            <w:vAlign w:val="bottom"/>
            <w:tcBorders>
              <w:top w:val="single" w:sz="8" w:color="auto"/>
              <w:bottom w:val="single" w:sz="8" w:color="0000EE"/>
            </w:tcBorders>
            <w:gridSpan w:val="7"/>
          </w:tcPr>
          <w:p>
            <w:pPr>
              <w:spacing w:after="0" w:line="170"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Third Restated Certificate of Incorporation of the Company, incorporated by reference to Exhibit 3.1 of the Company’s Registration</w:t>
              </w:r>
            </w:hyperlink>
          </w:p>
        </w:tc>
        <w:tc>
          <w:tcPr>
            <w:tcW w:w="420" w:type="dxa"/>
            <w:vAlign w:val="bottom"/>
            <w:tcBorders>
              <w:top w:val="single" w:sz="8" w:color="auto"/>
            </w:tcBorders>
            <w:gridSpan w:val="4"/>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13"/>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Statement on Form S-4 (Reg. No. 333-59215), filed July 16, 1998 with the Securities and Exchange Commission.</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40" w:type="dxa"/>
            <w:vAlign w:val="bottom"/>
            <w:tcBorders>
              <w:bottom w:val="single" w:sz="8" w:color="0000EE"/>
            </w:tcBorders>
            <w:gridSpan w:val="11"/>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Certificate of Amendment of Third Restated Certificate of Incorporation of the Company, incorporated by reference to Exhibit 3.1 of the</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Company’s Registration Statement on Form S-4 (Reg. No. 333-59215), filed July 16, 1998 with the Securities and Exchange</w:t>
              </w:r>
            </w:hyperlink>
          </w:p>
        </w:tc>
        <w:tc>
          <w:tcPr>
            <w:tcW w:w="9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13"/>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Commission.</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60" w:type="dxa"/>
            <w:vAlign w:val="bottom"/>
            <w:gridSpan w:val="13"/>
          </w:tcPr>
          <w:p>
            <w:pPr>
              <w:spacing w:after="0"/>
              <w:rPr>
                <w:rFonts w:ascii="Arial" w:cs="Arial" w:eastAsia="Arial" w:hAnsi="Arial"/>
                <w:sz w:val="18"/>
                <w:szCs w:val="18"/>
                <w:color w:val="0000EE"/>
                <w:w w:val="99"/>
              </w:rPr>
            </w:pPr>
            <w:hyperlink r:id="rId65">
              <w:r>
                <w:rPr>
                  <w:rFonts w:ascii="Arial" w:cs="Arial" w:eastAsia="Arial" w:hAnsi="Arial"/>
                  <w:sz w:val="18"/>
                  <w:szCs w:val="18"/>
                  <w:color w:val="0000EE"/>
                  <w:w w:val="99"/>
                </w:rPr>
                <w:t>Second Certificate of Amendment of Third Restated Certificate of Incorporation of the Company,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8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gridSpan w:val="13"/>
          </w:tcPr>
          <w:p>
            <w:pPr>
              <w:spacing w:after="0" w:line="196" w:lineRule="exact"/>
              <w:rPr>
                <w:rFonts w:ascii="Arial" w:cs="Arial" w:eastAsia="Arial" w:hAnsi="Arial"/>
                <w:sz w:val="18"/>
                <w:szCs w:val="18"/>
                <w:color w:val="0000EE"/>
                <w:w w:val="95"/>
              </w:rPr>
            </w:pPr>
            <w:hyperlink r:id="rId65">
              <w:r>
                <w:rPr>
                  <w:rFonts w:ascii="Arial" w:cs="Arial" w:eastAsia="Arial" w:hAnsi="Arial"/>
                  <w:sz w:val="18"/>
                  <w:szCs w:val="18"/>
                  <w:color w:val="0000EE"/>
                  <w:w w:val="95"/>
                </w:rPr>
                <w:t>Exhibit 3.2 of the Company’s Registration Statement on Form S-4 (Reg. No. 333-59215), filed July 16, 1998 with the Securities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Exchange Commission.</w:t>
              </w:r>
            </w:hyperlink>
          </w:p>
        </w:tc>
        <w:tc>
          <w:tcPr>
            <w:tcW w:w="4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10"/>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Third Certificate of Amendment of Third Restated Certificate of Incorporation of the Company, incorporated by reference to Exhibit 3.1</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of the Company’s Quarterly Report on Form 10-Q, filed May 10, 2002 with the Securities and Exchange Commission.</w:t>
              </w:r>
            </w:hyperlink>
          </w:p>
        </w:tc>
        <w:tc>
          <w:tcPr>
            <w:tcW w:w="14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-2762885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-2762885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3.5</w:t>
            </w:r>
          </w:p>
        </w:tc>
        <w:tc>
          <w:tcPr>
            <w:tcW w:w="9900" w:type="dxa"/>
            <w:vAlign w:val="bottom"/>
            <w:tcBorders>
              <w:bottom w:val="single" w:sz="8" w:color="0000EE"/>
            </w:tcBorders>
            <w:gridSpan w:val="8"/>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Fourth Certificate of Amendment of Third Restated Certificate of Incorporation of the Company, incorporated by reference to Exhibit 3.1</w:t>
              </w:r>
            </w:hyperlink>
          </w:p>
        </w:tc>
      </w:tr>
      <w:tr>
        <w:trPr>
          <w:trHeight w:val="196"/>
        </w:trPr>
        <w:tc>
          <w:tcPr>
            <w:tcW w:w="150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of the Company’s Current Report on Form 8-K, filed on March 11, 2008 with the Securities and Exchange Commission.</w:t>
              </w:r>
            </w:hyperlink>
          </w:p>
        </w:tc>
      </w:tr>
      <w:tr>
        <w:trPr>
          <w:trHeight w:val="20"/>
        </w:trPr>
        <w:tc>
          <w:tcPr>
            <w:tcW w:w="15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3.6</w:t>
            </w:r>
          </w:p>
        </w:tc>
        <w:tc>
          <w:tcPr>
            <w:tcW w:w="9900" w:type="dxa"/>
            <w:vAlign w:val="bottom"/>
            <w:gridSpan w:val="8"/>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Fifth Certificate of Amendment of Third Restated Certificate of Incorporation of the Company, incorporated by reference to Exhibit 3.2</w:t>
              </w:r>
            </w:hyperlink>
          </w:p>
        </w:tc>
      </w:tr>
      <w:tr>
        <w:trPr>
          <w:trHeight w:val="196"/>
        </w:trPr>
        <w:tc>
          <w:tcPr>
            <w:tcW w:w="1500" w:type="dxa"/>
            <w:vAlign w:val="bottom"/>
          </w:tcPr>
          <w:p>
            <w:pPr>
              <w:spacing w:after="0"/>
              <w:rPr>
                <w:sz w:val="17"/>
                <w:szCs w:val="17"/>
                <w:color w:val="auto"/>
              </w:rPr>
            </w:pPr>
          </w:p>
        </w:tc>
        <w:tc>
          <w:tcPr>
            <w:tcW w:w="9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of the Company’s Current Report on Form 8-K, filed on March 11, 2008 with the Securities and Exchange Commission.</w:t>
              </w:r>
            </w:hyperlink>
          </w:p>
        </w:tc>
        <w:tc>
          <w:tcPr>
            <w:tcW w:w="140" w:type="dxa"/>
            <w:vAlign w:val="bottom"/>
            <w:gridSpan w:val="2"/>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3.7</w:t>
            </w:r>
          </w:p>
        </w:tc>
        <w:tc>
          <w:tcPr>
            <w:tcW w:w="9800" w:type="dxa"/>
            <w:vAlign w:val="bottom"/>
            <w:tcBorders>
              <w:bottom w:val="single" w:sz="8" w:color="0000EE"/>
            </w:tcBorders>
            <w:gridSpan w:val="7"/>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Sixth Certificate of Amendment of Third Restated Certificate of Incorporation of the Company, incorporated by reference to Exhibit 3.7</w:t>
              </w:r>
            </w:hyperlink>
          </w:p>
        </w:tc>
        <w:tc>
          <w:tcPr>
            <w:tcW w:w="10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of the Company’s Quarterly Report on Form 10-Q, filed November 10, 2008 with the Securities and Exchange Commission.</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896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Certification of President and Chief Executive Officer</w:t>
              </w:r>
            </w:hyperlink>
          </w:p>
        </w:tc>
        <w:tc>
          <w:tcPr>
            <w:tcW w:w="940" w:type="dxa"/>
            <w:vAlign w:val="bottom"/>
            <w:gridSpan w:val="3"/>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Senior Vice President and Chief Financial Officer</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4720" w:type="dxa"/>
            <w:vAlign w:val="bottom"/>
            <w:tcBorders>
              <w:top w:val="single" w:sz="8" w:color="0000EE"/>
            </w:tcBorders>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Section 1350 Certifications</w:t>
              </w:r>
            </w:hyperlink>
          </w:p>
        </w:tc>
        <w:tc>
          <w:tcPr>
            <w:tcW w:w="5180" w:type="dxa"/>
            <w:vAlign w:val="bottom"/>
            <w:gridSpan w:val="5"/>
          </w:tcPr>
          <w:p>
            <w:pPr>
              <w:spacing w:after="0"/>
              <w:rPr>
                <w:sz w:val="24"/>
                <w:szCs w:val="24"/>
                <w:color w:val="auto"/>
              </w:rPr>
            </w:pPr>
          </w:p>
        </w:tc>
      </w:tr>
      <w:tr>
        <w:trPr>
          <w:trHeight w:val="453"/>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19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1"/>
              </w:rPr>
              <w:t>XBRL Instance Document.</w:t>
            </w:r>
          </w:p>
        </w:tc>
        <w:tc>
          <w:tcPr>
            <w:tcW w:w="7940" w:type="dxa"/>
            <w:vAlign w:val="bottom"/>
            <w:gridSpan w:val="7"/>
          </w:tcPr>
          <w:p>
            <w:pPr>
              <w:spacing w:after="0"/>
              <w:rPr>
                <w:sz w:val="24"/>
                <w:szCs w:val="24"/>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60" w:hanging="1128"/>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460" w:hanging="1128"/>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10, 2018</w:t>
            </w:r>
          </w:p>
        </w:tc>
        <w:tc>
          <w:tcPr>
            <w:tcW w:w="3020" w:type="dxa"/>
            <w:vAlign w:val="bottom"/>
          </w:tcPr>
          <w:p>
            <w:pPr>
              <w:ind w:left="22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302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3020" w:type="dxa"/>
            <w:vAlign w:val="bottom"/>
          </w:tcPr>
          <w:p>
            <w:pPr>
              <w:ind w:left="226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3020" w:type="dxa"/>
            <w:vAlign w:val="bottom"/>
          </w:tcPr>
          <w:p>
            <w:pPr>
              <w:jc w:val="right"/>
              <w:ind w:right="730"/>
              <w:spacing w:after="0"/>
              <w:rPr>
                <w:sz w:val="20"/>
                <w:szCs w:val="20"/>
                <w:color w:val="auto"/>
              </w:rPr>
            </w:pPr>
            <w:r>
              <w:rPr>
                <w:rFonts w:ascii="Arial" w:cs="Arial" w:eastAsia="Arial" w:hAnsi="Arial"/>
                <w:sz w:val="18"/>
                <w:szCs w:val="18"/>
                <w:color w:val="auto"/>
              </w:rPr>
              <w:t>1</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10, 2018</w:t>
            </w:r>
          </w:p>
        </w:tc>
        <w:tc>
          <w:tcPr>
            <w:tcW w:w="3020" w:type="dxa"/>
            <w:vAlign w:val="bottom"/>
          </w:tcPr>
          <w:p>
            <w:pPr>
              <w:ind w:left="22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c>
          <w:tcPr>
            <w:tcW w:w="40" w:type="dxa"/>
            <w:vAlign w:val="bottom"/>
          </w:tcPr>
          <w:p>
            <w:pPr>
              <w:spacing w:after="0"/>
              <w:rPr>
                <w:sz w:val="20"/>
                <w:szCs w:val="20"/>
                <w:color w:val="auto"/>
              </w:rPr>
            </w:pPr>
          </w:p>
        </w:tc>
      </w:tr>
      <w:tr>
        <w:trPr>
          <w:trHeight w:val="195"/>
        </w:trPr>
        <w:tc>
          <w:tcPr>
            <w:tcW w:w="3560" w:type="dxa"/>
            <w:vAlign w:val="bottom"/>
          </w:tcPr>
          <w:p>
            <w:pPr>
              <w:spacing w:after="0"/>
              <w:rPr>
                <w:sz w:val="16"/>
                <w:szCs w:val="16"/>
                <w:color w:val="auto"/>
              </w:rPr>
            </w:pPr>
          </w:p>
        </w:tc>
        <w:tc>
          <w:tcPr>
            <w:tcW w:w="302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Sam Martin</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3020" w:type="dxa"/>
            <w:vAlign w:val="bottom"/>
          </w:tcPr>
          <w:p>
            <w:pPr>
              <w:ind w:left="226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3020" w:type="dxa"/>
            <w:vAlign w:val="bottom"/>
          </w:tcPr>
          <w:p>
            <w:pPr>
              <w:jc w:val="right"/>
              <w:ind w:right="730"/>
              <w:spacing w:after="0"/>
              <w:rPr>
                <w:sz w:val="20"/>
                <w:szCs w:val="20"/>
                <w:color w:val="auto"/>
              </w:rPr>
            </w:pPr>
            <w:r>
              <w:rPr>
                <w:rFonts w:ascii="Arial" w:cs="Arial" w:eastAsia="Arial" w:hAnsi="Arial"/>
                <w:sz w:val="18"/>
                <w:szCs w:val="18"/>
                <w:color w:val="auto"/>
              </w:rPr>
              <w:t>1</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May 10, 2018</w:t>
            </w:r>
          </w:p>
        </w:tc>
        <w:tc>
          <w:tcPr>
            <w:tcW w:w="2940" w:type="dxa"/>
            <w:vAlign w:val="bottom"/>
          </w:tcPr>
          <w:p>
            <w:pPr>
              <w:ind w:left="21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40" w:type="dxa"/>
            <w:vAlign w:val="bottom"/>
          </w:tcPr>
          <w:p>
            <w:pPr>
              <w:spacing w:after="0"/>
              <w:rPr>
                <w:sz w:val="16"/>
                <w:szCs w:val="16"/>
                <w:color w:val="auto"/>
              </w:rPr>
            </w:pPr>
          </w:p>
        </w:tc>
        <w:tc>
          <w:tcPr>
            <w:tcW w:w="294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May 10, 2018</w:t>
            </w:r>
          </w:p>
        </w:tc>
        <w:tc>
          <w:tcPr>
            <w:tcW w:w="2940" w:type="dxa"/>
            <w:vAlign w:val="bottom"/>
          </w:tcPr>
          <w:p>
            <w:pPr>
              <w:ind w:left="21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640" w:type="dxa"/>
            <w:vAlign w:val="bottom"/>
          </w:tcPr>
          <w:p>
            <w:pPr>
              <w:spacing w:after="0"/>
              <w:rPr>
                <w:sz w:val="16"/>
                <w:szCs w:val="16"/>
                <w:color w:val="auto"/>
              </w:rPr>
            </w:pPr>
          </w:p>
        </w:tc>
        <w:tc>
          <w:tcPr>
            <w:tcW w:w="294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6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lowerRoman"/>
      <w:start w:val="3"/>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65" Type="http://schemas.openxmlformats.org/officeDocument/2006/relationships/hyperlink" Target="http://www.sec.gov/Archives/edgar/data/744218/0001029869-98-000936-index.html" TargetMode="External"/><Relationship Id="rId66" Type="http://schemas.openxmlformats.org/officeDocument/2006/relationships/hyperlink" Target="http://www.sec.gov/Archives/edgar/data/744218/000110465902001892/j3484_ex3d1.htm" TargetMode="External"/><Relationship Id="rId69" Type="http://schemas.openxmlformats.org/officeDocument/2006/relationships/hyperlink" Target="http://www.sec.gov/Archives/edgar/data/744218/000110465908016816/a08-7923_1ex3d1.htm" TargetMode="External"/><Relationship Id="rId70" Type="http://schemas.openxmlformats.org/officeDocument/2006/relationships/hyperlink" Target="http://www.sec.gov/Archives/edgar/data/744218/000110465908016816/a08-7923_1ex3d2.htm" TargetMode="External"/><Relationship Id="rId71" Type="http://schemas.openxmlformats.org/officeDocument/2006/relationships/hyperlink" Target="http://www.sec.gov/Archives/edgar/data/744218/000110465908069812/a08-25757_1ex3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2019-12-28T22:13:00Z</dcterms:created>
  <dcterms:modified xsi:type="dcterms:W3CDTF">2019-12-28T22:13:00Z</dcterms:modified>
</cp:coreProperties>
</file>