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38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2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000-15006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33" w:right="259" w:bottom="0" w:gutter="0" w:footer="0" w:header="0"/>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6600" w:space="720"/>
            <w:col w:w="4080"/>
          </w:cols>
          <w:pgMar w:left="240" w:top="233" w:right="25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81" w:lineRule="exact"/>
        <w:rPr>
          <w:sz w:val="24"/>
          <w:szCs w:val="24"/>
          <w:color w:val="auto"/>
        </w:rPr>
      </w:pPr>
    </w:p>
    <w:tbl>
      <w:tblPr>
        <w:tblLayout w:type="fixed"/>
        <w:tblInd w:w="1240" w:type="dxa"/>
        <w:tblCellMar>
          <w:top w:w="0" w:type="dxa"/>
          <w:left w:w="0" w:type="dxa"/>
          <w:bottom w:w="0" w:type="dxa"/>
          <w:right w:w="0" w:type="dxa"/>
        </w:tblCellMar>
      </w:tblPr>
      <w:tr>
        <w:trPr>
          <w:trHeight w:val="230"/>
        </w:trPr>
        <w:tc>
          <w:tcPr>
            <w:tcW w:w="4820" w:type="dxa"/>
            <w:vAlign w:val="bottom"/>
          </w:tcPr>
          <w:p>
            <w:pPr>
              <w:jc w:val="center"/>
              <w:ind w:right="1410"/>
              <w:spacing w:after="0"/>
              <w:rPr>
                <w:sz w:val="20"/>
                <w:szCs w:val="20"/>
                <w:color w:val="auto"/>
              </w:rPr>
            </w:pPr>
            <w:r>
              <w:rPr>
                <w:rFonts w:ascii="Arial" w:cs="Arial" w:eastAsia="Arial" w:hAnsi="Arial"/>
                <w:sz w:val="18"/>
                <w:szCs w:val="18"/>
                <w:color w:val="auto"/>
                <w:w w:val="91"/>
              </w:rPr>
              <w:t>Large 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3"/>
              </w:rPr>
              <w:t>Accelerated filer x</w:t>
            </w:r>
          </w:p>
        </w:tc>
      </w:tr>
      <w:tr>
        <w:trPr>
          <w:trHeight w:val="418"/>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Smaller reporting company o</w:t>
            </w:r>
          </w:p>
        </w:tc>
      </w:tr>
      <w:tr>
        <w:trPr>
          <w:trHeight w:val="230"/>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20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October 31, 2017, 135,985,329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ectPr>
          <w:pgSz w:w="11900" w:h="16838" w:orient="portrait"/>
          <w:cols w:equalWidth="0" w:num="1">
            <w:col w:w="11400"/>
          </w:cols>
          <w:pgMar w:left="240" w:top="233" w:right="259" w:bottom="0" w:gutter="0" w:footer="0" w:header="0"/>
          <w:type w:val="continuous"/>
        </w:sectPr>
      </w:pPr>
    </w:p>
    <w:bookmarkStart w:id="1" w:name="page2"/>
    <w:bookmarkEnd w:id="1"/>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gridSpan w:val="12"/>
            <w:vMerge w:val="restart"/>
          </w:tcPr>
          <w:p>
            <w:pPr>
              <w:spacing w:after="0"/>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 — Financial Information</w:t>
              </w:r>
            </w:hyperlink>
          </w:p>
        </w:tc>
        <w:tc>
          <w:tcPr>
            <w:tcW w:w="7960" w:type="dxa"/>
            <w:vAlign w:val="bottom"/>
            <w:gridSpan w:val="9"/>
            <w:vMerge w:val="restart"/>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40" w:type="dxa"/>
            <w:vAlign w:val="bottom"/>
            <w:tcBorders>
              <w:bottom w:val="single" w:sz="8" w:color="0000EE"/>
            </w:tcBorders>
            <w:gridSpan w:val="12"/>
            <w:vMerge w:val="continue"/>
          </w:tcPr>
          <w:p>
            <w:pPr>
              <w:spacing w:after="0"/>
              <w:rPr>
                <w:sz w:val="13"/>
                <w:szCs w:val="13"/>
                <w:color w:val="auto"/>
              </w:rPr>
            </w:pPr>
          </w:p>
        </w:tc>
        <w:tc>
          <w:tcPr>
            <w:tcW w:w="7960" w:type="dxa"/>
            <w:vAlign w:val="bottom"/>
            <w:gridSpan w:val="9"/>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022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 Unaudited Financial Statements</w:t>
              </w:r>
            </w:hyperlink>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September 30, 2017 and December 31, 2016</w:t>
              </w:r>
            </w:hyperlink>
          </w:p>
        </w:tc>
        <w:tc>
          <w:tcPr>
            <w:tcW w:w="3660" w:type="dxa"/>
            <w:vAlign w:val="bottom"/>
            <w:gridSpan w:val="4"/>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Condensed Consolidated Statements of Operations and Comprehensive Loss for the Three and Nine Months Ended September 30, 2017</w:t>
              </w:r>
            </w:hyperlink>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and 2016</w:t>
              </w:r>
            </w:hyperlink>
          </w:p>
        </w:tc>
        <w:tc>
          <w:tcPr>
            <w:tcW w:w="9120" w:type="dxa"/>
            <w:vAlign w:val="bottom"/>
            <w:tcBorders>
              <w:top w:val="single" w:sz="8" w:color="0000EE"/>
            </w:tcBorders>
            <w:gridSpan w:val="14"/>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for the Nine Months Ended September 30, 2017 and 2016</w:t>
              </w:r>
            </w:hyperlink>
          </w:p>
        </w:tc>
        <w:tc>
          <w:tcPr>
            <w:tcW w:w="2100" w:type="dxa"/>
            <w:vAlign w:val="bottom"/>
            <w:gridSpan w:val="2"/>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Unaudited Condensed Consolidated Financial Statements</w:t>
              </w:r>
            </w:hyperlink>
          </w:p>
        </w:tc>
        <w:tc>
          <w:tcPr>
            <w:tcW w:w="5240" w:type="dxa"/>
            <w:vAlign w:val="bottom"/>
            <w:gridSpan w:val="5"/>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022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2. Management’s Discussion and Analysis of Financial Condition and Results of Operations</w:t>
              </w:r>
            </w:hyperlink>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3.</w:t>
              </w:r>
            </w:hyperlink>
          </w:p>
        </w:tc>
        <w:tc>
          <w:tcPr>
            <w:tcW w:w="6480" w:type="dxa"/>
            <w:vAlign w:val="bottom"/>
            <w:tcBorders>
              <w:top w:val="single" w:sz="8" w:color="0000EE"/>
            </w:tcBorders>
            <w:gridSpan w:val="14"/>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3200" w:type="dxa"/>
            <w:vAlign w:val="bottom"/>
            <w:gridSpan w:val="3"/>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9"/>
          </w:tcPr>
          <w:p>
            <w:pPr>
              <w:ind w:left="20"/>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2"/>
          </w:tcPr>
          <w:p>
            <w:pPr>
              <w:spacing w:after="0"/>
              <w:rPr>
                <w:sz w:val="24"/>
                <w:szCs w:val="24"/>
                <w:color w:val="auto"/>
              </w:rPr>
            </w:pPr>
          </w:p>
        </w:tc>
        <w:tc>
          <w:tcPr>
            <w:tcW w:w="5300" w:type="dxa"/>
            <w:vAlign w:val="bottom"/>
            <w:gridSpan w:val="6"/>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10400" w:type="dxa"/>
            <w:vAlign w:val="bottom"/>
            <w:gridSpan w:val="21"/>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 Other Information</w:t>
              </w:r>
            </w:hyperlink>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1A. Risk Factors</w:t>
              </w:r>
            </w:hyperlink>
          </w:p>
        </w:tc>
        <w:tc>
          <w:tcPr>
            <w:tcW w:w="460" w:type="dxa"/>
            <w:vAlign w:val="bottom"/>
            <w:tcBorders>
              <w:top w:val="single" w:sz="8" w:color="0000EE"/>
            </w:tcBorders>
            <w:gridSpan w:val="2"/>
          </w:tcPr>
          <w:p>
            <w:pPr>
              <w:spacing w:after="0"/>
              <w:rPr>
                <w:sz w:val="24"/>
                <w:szCs w:val="24"/>
                <w:color w:val="auto"/>
              </w:rPr>
            </w:pPr>
          </w:p>
        </w:tc>
        <w:tc>
          <w:tcPr>
            <w:tcW w:w="8160" w:type="dxa"/>
            <w:vAlign w:val="bottom"/>
            <w:gridSpan w:val="10"/>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5.</w:t>
              </w:r>
            </w:hyperlink>
          </w:p>
        </w:tc>
        <w:tc>
          <w:tcPr>
            <w:tcW w:w="1340" w:type="dxa"/>
            <w:vAlign w:val="bottom"/>
            <w:tcBorders>
              <w:bottom w:val="single" w:sz="8" w:color="0000EE"/>
            </w:tcBorders>
            <w:gridSpan w:val="6"/>
          </w:tcPr>
          <w:p>
            <w:pPr>
              <w:ind w:left="20"/>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Other Information</w:t>
              </w:r>
            </w:hyperlink>
          </w:p>
        </w:tc>
        <w:tc>
          <w:tcPr>
            <w:tcW w:w="8340" w:type="dxa"/>
            <w:vAlign w:val="bottom"/>
            <w:gridSpan w:val="11"/>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Item 6.</w:t>
              </w:r>
            </w:hyperlink>
          </w:p>
        </w:tc>
        <w:tc>
          <w:tcPr>
            <w:tcW w:w="9680" w:type="dxa"/>
            <w:vAlign w:val="bottom"/>
            <w:gridSpan w:val="17"/>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60" w:type="dxa"/>
            <w:vAlign w:val="bottom"/>
            <w:gridSpan w:val="1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0" w:type="dxa"/>
            <w:vAlign w:val="bottom"/>
            <w:gridSpan w:val="21"/>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Signatures</w:t>
              </w:r>
            </w:hyperlink>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2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340" w:type="dxa"/>
            <w:vAlign w:val="bottom"/>
            <w:gridSpan w:val="1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0" w:type="dxa"/>
            <w:vAlign w:val="bottom"/>
            <w:gridSpan w:val="21"/>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Exhibit Index</w:t>
              </w:r>
            </w:hyperlink>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gridSpan w:val="3"/>
          </w:tcPr>
          <w:p>
            <w:pPr>
              <w:spacing w:after="0"/>
              <w:rPr>
                <w:sz w:val="24"/>
                <w:szCs w:val="24"/>
                <w:color w:val="auto"/>
              </w:rPr>
            </w:pPr>
          </w:p>
        </w:tc>
        <w:tc>
          <w:tcPr>
            <w:tcW w:w="5680" w:type="dxa"/>
            <w:vAlign w:val="bottom"/>
            <w:gridSpan w:val="10"/>
          </w:tcPr>
          <w:p>
            <w:pPr>
              <w:jc w:val="right"/>
              <w:ind w:right="98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5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September 30, 2017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85,795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3,774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147,317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2,002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319,418</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383,358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1,278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Current Portion of Long-Term Liabilities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5,792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ind w:left="180"/>
              <w:spacing w:after="0" w:line="201" w:lineRule="exact"/>
              <w:rPr>
                <w:sz w:val="20"/>
                <w:szCs w:val="20"/>
                <w:color w:val="auto"/>
              </w:rPr>
            </w:pPr>
            <w:r>
              <w:rPr>
                <w:rFonts w:ascii="Arial" w:cs="Arial" w:eastAsia="Arial" w:hAnsi="Arial"/>
                <w:sz w:val="18"/>
                <w:szCs w:val="18"/>
                <w:color w:val="auto"/>
                <w:w w:val="93"/>
              </w:rPr>
              <w:t>Convertible Preferred Stock, $.01 Par Value; 3,000,000 Shares Authorized; No Shares Issued and</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360"/>
              <w:spacing w:after="0"/>
              <w:rPr>
                <w:sz w:val="20"/>
                <w:szCs w:val="20"/>
                <w:color w:val="auto"/>
              </w:rPr>
            </w:pPr>
            <w:r>
              <w:rPr>
                <w:rFonts w:ascii="Arial" w:cs="Arial" w:eastAsia="Arial" w:hAnsi="Arial"/>
                <w:sz w:val="18"/>
                <w:szCs w:val="18"/>
                <w:color w:val="auto"/>
              </w:rPr>
              <w:t>Outstanding at September 30, 2017 and December 31, 2016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5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1" w:right="1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Common Stock, $.001 Par Value; 297,000,000 Shares Authorized; 132,108,478 and 120,516,654</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7"/>
                <w:szCs w:val="17"/>
                <w:color w:val="auto"/>
              </w:rPr>
            </w:pPr>
          </w:p>
        </w:tc>
      </w:tr>
      <w:tr>
        <w:trPr>
          <w:trHeight w:val="230"/>
        </w:trPr>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Shares Issued and Outstanding at September 30, 2017 and December 31, 2016, respectively</w:t>
            </w: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5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1,025,108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982,255</w:t>
            </w:r>
          </w:p>
        </w:tc>
        <w:tc>
          <w:tcPr>
            <w:tcW w:w="80" w:type="dxa"/>
            <w:vAlign w:val="bottom"/>
          </w:tcPr>
          <w:p>
            <w:pPr>
              <w:spacing w:after="0"/>
              <w:rPr>
                <w:sz w:val="18"/>
                <w:szCs w:val="18"/>
                <w:color w:val="auto"/>
              </w:rPr>
            </w:pPr>
          </w:p>
        </w:tc>
      </w:tr>
      <w:tr>
        <w:trPr>
          <w:trHeight w:val="216"/>
        </w:trPr>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w:t>
            </w:r>
          </w:p>
        </w:tc>
        <w:tc>
          <w:tcPr>
            <w:tcW w:w="80" w:type="dxa"/>
            <w:vAlign w:val="bottom"/>
            <w:shd w:val="clear" w:color="auto" w:fill="CCEEFF"/>
          </w:tcPr>
          <w:p>
            <w:pPr>
              <w:spacing w:after="0"/>
              <w:rPr>
                <w:sz w:val="18"/>
                <w:szCs w:val="18"/>
                <w:color w:val="auto"/>
              </w:rPr>
            </w:pPr>
          </w:p>
        </w:tc>
      </w:tr>
      <w:tr>
        <w:trPr>
          <w:trHeight w:val="216"/>
        </w:trPr>
        <w:tc>
          <w:tcPr>
            <w:tcW w:w="75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(808,676)</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(719,486)</w:t>
            </w:r>
          </w:p>
        </w:tc>
      </w:tr>
      <w:tr>
        <w:trPr>
          <w:trHeight w:val="210"/>
        </w:trPr>
        <w:tc>
          <w:tcPr>
            <w:tcW w:w="75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219,152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5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319,418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Nine Months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2017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2016</w:t>
            </w:r>
          </w:p>
        </w:tc>
        <w:tc>
          <w:tcPr>
            <w:tcW w:w="14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1,238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2,488</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1,551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25,009</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5,346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6,950</w:t>
            </w:r>
          </w:p>
        </w:tc>
        <w:tc>
          <w:tcPr>
            <w:tcW w:w="14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19,109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24,049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Impairment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rPr>
              <w:t>Gain on Fair Value Remeasurement of Contingent</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Consideration</w:t>
            </w:r>
          </w:p>
        </w:tc>
        <w:tc>
          <w:tcPr>
            <w:tcW w:w="1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(4,600)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35,885</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32,213</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105,288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(31,961)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(29,993)</w:t>
            </w:r>
          </w:p>
        </w:tc>
        <w:tc>
          <w:tcPr>
            <w:tcW w:w="14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(96,001)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(98,064)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Before Income Tax Benefit</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(31,563)</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(29,598)</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(94,390)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(96,223)</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(26,363)</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(29,598)</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(89,190)</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(96,223)</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(0.71)</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rPr>
              <w:t>Shares Used in Calculating Basic and Diluted Net</w:t>
            </w:r>
          </w:p>
        </w:tc>
        <w:tc>
          <w:tcPr>
            <w:tcW w:w="140" w:type="dxa"/>
            <w:vAlign w:val="bottom"/>
          </w:tcPr>
          <w:p>
            <w:pPr>
              <w:spacing w:after="0"/>
              <w:rPr>
                <w:sz w:val="17"/>
                <w:szCs w:val="17"/>
                <w:color w:val="auto"/>
              </w:rPr>
            </w:pPr>
          </w:p>
        </w:tc>
        <w:tc>
          <w:tcPr>
            <w:tcW w:w="15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129,640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100,672</w:t>
            </w:r>
          </w:p>
        </w:tc>
        <w:tc>
          <w:tcPr>
            <w:tcW w:w="140" w:type="dxa"/>
            <w:vAlign w:val="bottom"/>
          </w:tcPr>
          <w:p>
            <w:pPr>
              <w:spacing w:after="0"/>
              <w:rPr>
                <w:sz w:val="17"/>
                <w:szCs w:val="17"/>
                <w:color w:val="auto"/>
              </w:rPr>
            </w:pPr>
          </w:p>
        </w:tc>
        <w:tc>
          <w:tcPr>
            <w:tcW w:w="1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125,856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99,398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Loss per Share</w:t>
            </w:r>
          </w:p>
        </w:tc>
        <w:tc>
          <w:tcPr>
            <w:tcW w:w="140" w:type="dxa"/>
            <w:vAlign w:val="bottom"/>
          </w:tcPr>
          <w:p>
            <w:pPr>
              <w:spacing w:after="0"/>
              <w:rPr>
                <w:sz w:val="22"/>
                <w:szCs w:val="22"/>
                <w:color w:val="auto"/>
              </w:rPr>
            </w:pPr>
          </w:p>
        </w:tc>
        <w:tc>
          <w:tcPr>
            <w:tcW w:w="15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(89,190)</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(29,711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(89,143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(95,920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Nine Months</w:t>
            </w:r>
          </w:p>
        </w:tc>
      </w:tr>
      <w:tr>
        <w:trPr>
          <w:trHeight w:val="149"/>
        </w:trPr>
        <w:tc>
          <w:tcPr>
            <w:tcW w:w="6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6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September 30, 2017</w:t>
            </w:r>
          </w:p>
        </w:tc>
        <w:tc>
          <w:tcPr>
            <w:tcW w:w="14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2016</w:t>
            </w: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(89,190)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(96,223)</w:t>
            </w:r>
          </w:p>
        </w:tc>
      </w:tr>
      <w:tr>
        <w:trPr>
          <w:trHeight w:val="21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3,392</w:t>
            </w: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2,135</w:t>
            </w:r>
          </w:p>
        </w:tc>
      </w:tr>
      <w:tr>
        <w:trPr>
          <w:trHeight w:val="216"/>
        </w:trPr>
        <w:tc>
          <w:tcPr>
            <w:tcW w:w="6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w:t>
            </w:r>
          </w:p>
        </w:tc>
      </w:tr>
    </w:tbl>
    <w:p>
      <w:pPr>
        <w:sectPr>
          <w:pgSz w:w="11900" w:h="16838" w:orient="portrait"/>
          <w:cols w:equalWidth="0" w:num="1">
            <w:col w:w="11420"/>
          </w:cols>
          <w:pgMar w:left="240" w:top="134"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60" w:type="dxa"/>
            <w:vAlign w:val="bottom"/>
          </w:tcPr>
          <w:p>
            <w:pPr>
              <w:ind w:left="360"/>
              <w:spacing w:after="0"/>
              <w:rPr>
                <w:sz w:val="20"/>
                <w:szCs w:val="20"/>
                <w:color w:val="auto"/>
              </w:rPr>
            </w:pPr>
            <w:r>
              <w:rPr>
                <w:rFonts w:ascii="Arial" w:cs="Arial" w:eastAsia="Arial" w:hAnsi="Arial"/>
                <w:sz w:val="18"/>
                <w:szCs w:val="18"/>
                <w:color w:val="auto"/>
              </w:rPr>
              <w:t>Amortization and Premium of Marketable Securities, Net</w:t>
            </w: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5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or Disposal of Assets</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Arial" w:cs="Arial" w:eastAsia="Arial" w:hAnsi="Arial"/>
                <w:sz w:val="18"/>
                <w:szCs w:val="18"/>
                <w:color w:val="auto"/>
              </w:rPr>
              <w:t>In-Process Research and Development Impairment</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13,000</w:t>
            </w:r>
          </w:p>
        </w:tc>
        <w:tc>
          <w:tcPr>
            <w:tcW w:w="5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Fair Value Remeasurement of Contingent Consideration</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Arial" w:cs="Arial" w:eastAsia="Arial" w:hAnsi="Arial"/>
                <w:sz w:val="18"/>
                <w:szCs w:val="18"/>
                <w:color w:val="auto"/>
              </w:rPr>
              <w:t>Income Tax Benefit</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(5,200)</w:t>
            </w:r>
          </w:p>
        </w:tc>
        <w:tc>
          <w:tcPr>
            <w:tcW w:w="5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9,728</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60"/>
              <w:spacing w:after="0"/>
              <w:rPr>
                <w:sz w:val="20"/>
                <w:szCs w:val="20"/>
                <w:color w:val="auto"/>
              </w:rPr>
            </w:pPr>
            <w:r>
              <w:rPr>
                <w:rFonts w:ascii="Arial" w:cs="Arial" w:eastAsia="Arial" w:hAnsi="Arial"/>
                <w:sz w:val="18"/>
                <w:szCs w:val="18"/>
                <w:color w:val="auto"/>
              </w:rPr>
              <w:t>Non-Cash Expense</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540"/>
              <w:spacing w:after="0"/>
              <w:rPr>
                <w:sz w:val="20"/>
                <w:szCs w:val="20"/>
                <w:color w:val="auto"/>
              </w:rPr>
            </w:pPr>
            <w:r>
              <w:rPr>
                <w:rFonts w:ascii="Arial" w:cs="Arial" w:eastAsia="Arial" w:hAnsi="Arial"/>
                <w:sz w:val="18"/>
                <w:szCs w:val="18"/>
                <w:color w:val="auto"/>
              </w:rPr>
              <w:t>Accounts and Other Receivables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(1,229)</w:t>
            </w:r>
          </w:p>
        </w:tc>
        <w:tc>
          <w:tcPr>
            <w:tcW w:w="5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and Other Current Assets</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525</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5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(10,888)</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(987)</w:t>
            </w:r>
          </w:p>
        </w:tc>
        <w:tc>
          <w:tcPr>
            <w:tcW w:w="5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(80,410)</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183,683</w:t>
            </w:r>
          </w:p>
        </w:tc>
        <w:tc>
          <w:tcPr>
            <w:tcW w:w="5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(122,235)</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Investment in Other</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(1,598)</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Provided by Investing Activities</w:t>
            </w:r>
          </w:p>
        </w:tc>
        <w:tc>
          <w:tcPr>
            <w:tcW w:w="4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59,850</w:t>
            </w:r>
          </w:p>
        </w:tc>
        <w:tc>
          <w:tcPr>
            <w:tcW w:w="2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41,124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Stock Issuances</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32,642</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Proceeds from Issuance of Stock from Employee Benefit Plans</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192</w:t>
            </w:r>
          </w:p>
        </w:tc>
        <w:tc>
          <w:tcPr>
            <w:tcW w:w="5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32,834</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12,274</w:t>
            </w: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42,461</w:t>
            </w:r>
          </w:p>
        </w:tc>
        <w:tc>
          <w:tcPr>
            <w:tcW w:w="5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72,108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Investing Activities</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w w:val="97"/>
              </w:rPr>
              <w:t>Acquisition of Property and Equipment Included in Accounts Payable and Accrued Expenses</w:t>
            </w:r>
          </w:p>
        </w:tc>
        <w:tc>
          <w:tcPr>
            <w:tcW w:w="9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Supplemental Disclosure</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180"/>
              <w:spacing w:after="0"/>
              <w:rPr>
                <w:sz w:val="20"/>
                <w:szCs w:val="20"/>
                <w:color w:val="auto"/>
              </w:rPr>
            </w:pPr>
            <w:r>
              <w:rPr>
                <w:rFonts w:ascii="Arial" w:cs="Arial" w:eastAsia="Arial" w:hAnsi="Arial"/>
                <w:sz w:val="18"/>
                <w:szCs w:val="18"/>
                <w:color w:val="auto"/>
              </w:rPr>
              <w:t>Shares Issued to Former Kolltan Executive for Settlement of Severance</w:t>
            </w:r>
          </w:p>
        </w:tc>
        <w:tc>
          <w:tcPr>
            <w:tcW w:w="9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302</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In June 2017, the Company liquidated its wholly-owned subsidiary, Celldex Therapeutics Europe GmbH. All intercompany balances and transactions have been eliminated in consolidation.</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2016, which are included in the Company’s Annual Report on Form 10-K filed with the Securities and Exchange Commission on March 14, 2017.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2017.</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September 30, 2017, the Company had cash, cash equivalents and marketable securities of $140.5 million. The Company has had recurring losses and incurred a loss of $89.2 million for the nine months ended September 30, 2017. Net cash used in operations for the nine months ended September 30, 2017 was $80.4 million. The Company believes that the cash, cash equivalents and marketable securities at November 7, 2017 will be sufficient to meet estimated working capital requirements and fund planned operations for at least the next twelve months from the date of issuance of these financial statements.</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During the next twelve months and beyond, the Company will take further steps to raise additional capital to meet its liquidity needs. These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w:t>
      </w:r>
    </w:p>
    <w:p>
      <w:pPr>
        <w:sectPr>
          <w:pgSz w:w="11900" w:h="16838" w:orient="portrait"/>
          <w:cols w:equalWidth="0" w:num="1">
            <w:col w:w="11420"/>
          </w:cols>
          <w:pgMar w:left="240" w:top="125" w:right="239" w:bottom="0" w:gutter="0" w:footer="0" w:header="0"/>
        </w:sectPr>
      </w:pPr>
    </w:p>
    <w:bookmarkStart w:id="4" w:name="page5"/>
    <w:bookmarkEnd w:id="4"/>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future contingent milestones from the Kolltan acquisition, in the event that the Company achieves the drug candidate milestones related to those payments. The Company, at its option, may decide to pay those milestone payments in cash, shares of its common stock or a combination thereof. If the Company is unable to raise the funds necessary to meet its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180" w:firstLine="630"/>
        <w:spacing w:after="0" w:line="286"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on Form 10-Q for the quarterly period ended September 30, 2017 are consistent with those discussed in Note 2 to the financial statements in our Annual Report on Form 10-K for the year ended December 31, 2016, except for the adoption of new accounting standards during the first nine months of 2017 as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Newly-Adopted Accounting Pronouncements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January 1, 2017, the Company adopted a new U.S. GAAP accounting standard which involves several aspects of the accounting for share-based payment transactions, including the income tax consequences, classification of awards as either equity or liabilities and classification on the statement of cash flows. The Company elected to continue to estimate forfeitures expected to occur to determine stock-based compensation expense. Upon adoption, the Company’s gross deferred tax assets and corresponding valuation allowance each increased by $17.7 million related to tax deductions from the exercise of stock options that previously would have been credited to additional paid-in-capital when realized.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On January 1, 2017, the Company adopted a new U.S. GAAP accounting standard which simplifies how an entity is required to test goodwill for impairment. A goodwill impairment will be measured by the amount by which a reporting unit’s carrying value exceeds its fair value, with the amount of impairment not to exceed the carrying amount of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May 2014, the FASB issued a new U.S GAAP accounting standard that updates guidance and disclosure requirements for recognizing revenue. The new revenue recognition standard provides a five-step model for recognizing revenue from contracts with customers. The core principle is that a company should recognize revenue when it transfers goods or services to customers in an amount that reflects the consideration to which the entity expects to be entitled in exchange for those goods and services. The new standard will be effective for the Company on January 1, 2018 and can be applied using one of two methods: retrospectively to each prior period presented or a modified retrospective application by recognizing a cumulative-effect adjustment as a component of equity as of the date of adoption. The Company expects to adopt the new revenue standard using the modified retrospective application method. During the fourth quarter of 2017, the Company plans to finalize its assessments over the impact that these standards may have on its consolidated financial statements and disclosures. As a result of adopting this standard, the Company plans to implement additional processes and controls, including additional disclosures, to comply with the new standard.</w:t>
      </w:r>
    </w:p>
    <w:p>
      <w:pPr>
        <w:spacing w:after="0" w:line="18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February 2016, the FASB issued a new U.S. GAAP accounting standard which requires that all lessees recognize the assets and liabilities that arise from leases on the balance sheet and disclose qualitative and quantitative information about its leasing arrangements. The new standard will be effective for the Company on January 1, 2019. The Company is currently evaluating the potential impact that this standard may have on the Company’s consolidated financial statements.</w:t>
      </w:r>
    </w:p>
    <w:p>
      <w:pPr>
        <w:spacing w:after="0" w:line="187"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 August 2016, the FASB issued new U.S. GAAP guidance which clarifies the classification of certain cash receipts and payments in the statement of cash flows. This standard is effective for the company on January 1, 2018. The adoption of this new guidance is not expected to have a material impact on the Company’s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 2017</w:t>
            </w: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ind w:left="66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980"/>
              <w:spacing w:after="0"/>
              <w:rPr>
                <w:sz w:val="20"/>
                <w:szCs w:val="20"/>
                <w:color w:val="auto"/>
              </w:rPr>
            </w:pPr>
            <w:r>
              <w:rPr>
                <w:rFonts w:ascii="Arial" w:cs="Arial" w:eastAsia="Arial" w:hAnsi="Arial"/>
                <w:sz w:val="18"/>
                <w:szCs w:val="18"/>
                <w:color w:val="auto"/>
              </w:rPr>
              <w:t>42,032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920"/>
              <w:spacing w:after="0"/>
              <w:rPr>
                <w:sz w:val="20"/>
                <w:szCs w:val="20"/>
                <w:color w:val="auto"/>
              </w:rPr>
            </w:pPr>
            <w:r>
              <w:rPr>
                <w:rFonts w:ascii="Arial" w:cs="Arial" w:eastAsia="Arial" w:hAnsi="Arial"/>
                <w:sz w:val="18"/>
                <w:szCs w:val="18"/>
                <w:color w:val="auto"/>
                <w:w w:val="88"/>
              </w:rPr>
              <w:t>—</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42,032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85,795</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85,795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6"/>
              </w:rPr>
              <w:t>127,827</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127,827</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Liabilities: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44,000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3"/>
              </w:rPr>
              <w:t>44,000</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24"/>
                <w:szCs w:val="24"/>
                <w:color w:val="auto"/>
              </w:rPr>
            </w:pPr>
          </w:p>
        </w:tc>
        <w:tc>
          <w:tcPr>
            <w:tcW w:w="11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 2016</w:t>
            </w:r>
          </w:p>
        </w:tc>
        <w:tc>
          <w:tcPr>
            <w:tcW w:w="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ind w:left="66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5" w:name="page6"/>
    <w:bookmarkEnd w:id="5"/>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20,445</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7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20,445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147,315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147,315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167,760</w:t>
            </w:r>
          </w:p>
        </w:tc>
        <w:tc>
          <w:tcPr>
            <w:tcW w:w="30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167,760</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Liabilities:</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44,200</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44,200</w:t>
            </w:r>
          </w:p>
        </w:tc>
        <w:tc>
          <w:tcPr>
            <w:tcW w:w="3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0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Company’s financial assets consist mainly of cash and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7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reflects the activity for the Company’s contingent consideration liabilities measured at fair value using Level 3 inputs for the nine months ended September 30, 2017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 Long-Term</w:t>
            </w:r>
          </w:p>
        </w:tc>
      </w:tr>
      <w:tr>
        <w:trPr>
          <w:trHeight w:val="149"/>
        </w:trPr>
        <w:tc>
          <w:tcPr>
            <w:tcW w:w="7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Liabilities:</w:t>
            </w:r>
          </w:p>
        </w:tc>
      </w:tr>
      <w:tr>
        <w:trPr>
          <w:trHeight w:val="149"/>
        </w:trPr>
        <w:tc>
          <w:tcPr>
            <w:tcW w:w="7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Contingent</w:t>
            </w:r>
          </w:p>
        </w:tc>
      </w:tr>
      <w:tr>
        <w:trPr>
          <w:trHeight w:val="171"/>
        </w:trPr>
        <w:tc>
          <w:tcPr>
            <w:tcW w:w="7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Consideration</w:t>
            </w: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44,200</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r>
      <w:tr>
        <w:trPr>
          <w:trHeight w:val="210"/>
        </w:trPr>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valuation technique used to measure fair value of the Company’s Level 3 liabilities, which consist of contingent consideration related to the acquisition of Kolltan in 2016 (Note 11), was primarily an income approach. The Company may be required to pay future consideration of up to $172.5 million that is contingent upon the achievement of specified development, regulatory approvals or sales-based milestone events. The significant unobservable inputs used in the fair value measurement of the contingent consideration are estimates including probability of success, discount rates and amount of time until the conditions of the milestone payments are met.</w:t>
      </w:r>
    </w:p>
    <w:p>
      <w:pPr>
        <w:spacing w:after="0" w:line="18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During the three and nine months ended September 30, 2017, the Company recorded a $4.6 million and a $0.2 million gain on fair value remeasurement of contingent consideration, respectively, primarily due to a reduction in fair value attributed to the milestones related to the Company’s anti-KIT program and partially offset by losses related to changes in discount rates and the passage of time affecting remaining milestones. The Company’s anti-KIT program includes CDX-0158 and CDX-0159, a variant of CDX-0158. CDX-0159 is being fully developed in-house with the intention of replacing CDX-0158 in clinical development. The Company expects manufacturing and IND-enabling efforts for CDX-0159 will be completed in 2018.</w:t>
      </w:r>
    </w:p>
    <w:p>
      <w:pPr>
        <w:spacing w:after="0" w:line="17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did not have any transfers of assets or liabilities between the fair value measurement classifications during the nine months ended September 30, 2017.</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securities, classified as available-for-sale: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1040" w:type="dxa"/>
            <w:vAlign w:val="bottom"/>
          </w:tcPr>
          <w:p>
            <w:pPr>
              <w:jc w:val="center"/>
              <w:ind w:left="275"/>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8"/>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040" w:type="dxa"/>
            <w:vAlign w:val="bottom"/>
          </w:tcPr>
          <w:p>
            <w:pPr>
              <w:jc w:val="center"/>
              <w:ind w:left="255"/>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218"/>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left="275"/>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left="218"/>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69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2017</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138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13,725</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ind w:right="87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13,725</w:t>
            </w:r>
          </w:p>
        </w:tc>
        <w:tc>
          <w:tcPr>
            <w:tcW w:w="300" w:type="dxa"/>
            <w:vAlign w:val="bottom"/>
            <w:vMerge w:val="continue"/>
          </w:tcPr>
          <w:p>
            <w:pPr>
              <w:spacing w:after="0"/>
              <w:rPr>
                <w:sz w:val="18"/>
                <w:szCs w:val="18"/>
                <w:color w:val="auto"/>
              </w:rPr>
            </w:pP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tcPr>
          <w:p>
            <w:pPr>
              <w:jc w:val="right"/>
              <w:ind w:right="878"/>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13,727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138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72,078</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0" w:type="dxa"/>
            <w:vAlign w:val="bottom"/>
            <w:gridSpan w:val="2"/>
          </w:tcPr>
          <w:p>
            <w:pPr>
              <w:jc w:val="right"/>
              <w:ind w:right="87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debt securities</w:t>
            </w:r>
          </w:p>
        </w:tc>
        <w:tc>
          <w:tcPr>
            <w:tcW w:w="5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3"/>
              </w:rPr>
              <w:t>72,078</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5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85,803</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 obligations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540"/>
              <w:spacing w:after="0"/>
              <w:rPr>
                <w:sz w:val="20"/>
                <w:szCs w:val="20"/>
                <w:color w:val="auto"/>
              </w:rPr>
            </w:pPr>
            <w:r>
              <w:rPr>
                <w:rFonts w:ascii="Arial" w:cs="Arial" w:eastAsia="Arial" w:hAnsi="Arial"/>
                <w:sz w:val="18"/>
                <w:szCs w:val="18"/>
                <w:color w:val="auto"/>
              </w:rPr>
              <w:t>Maturing in one year or less</w:t>
            </w:r>
          </w:p>
        </w:tc>
        <w:tc>
          <w:tcPr>
            <w:tcW w:w="138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52,754</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0" w:type="dxa"/>
            <w:vAlign w:val="bottom"/>
            <w:gridSpan w:val="2"/>
          </w:tcPr>
          <w:p>
            <w:pPr>
              <w:jc w:val="right"/>
              <w:ind w:right="87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Maturing after one year through three years</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U.S. government and municipal obligations</w:t>
            </w:r>
          </w:p>
        </w:tc>
        <w:tc>
          <w:tcPr>
            <w:tcW w:w="5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3"/>
              </w:rPr>
              <w:t>53,050</w:t>
            </w:r>
          </w:p>
        </w:tc>
        <w:tc>
          <w:tcPr>
            <w:tcW w:w="3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Corporate debt securities</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57" w:orient="portrait"/>
          <w:cols w:equalWidth="0" w:num="1">
            <w:col w:w="11460"/>
          </w:cols>
          <w:pgMar w:left="240" w:top="140" w:right="199" w:bottom="0" w:gutter="0" w:footer="0" w:header="0"/>
        </w:sectPr>
      </w:pPr>
    </w:p>
    <w:bookmarkStart w:id="6" w:name="page7"/>
    <w:bookmarkEnd w:id="6"/>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ind w:left="560"/>
              <w:spacing w:after="0"/>
              <w:rPr>
                <w:sz w:val="20"/>
                <w:szCs w:val="20"/>
                <w:color w:val="auto"/>
              </w:rPr>
            </w:pPr>
            <w:r>
              <w:rPr>
                <w:rFonts w:ascii="Arial" w:cs="Arial" w:eastAsia="Arial" w:hAnsi="Arial"/>
                <w:sz w:val="18"/>
                <w:szCs w:val="18"/>
                <w:color w:val="auto"/>
              </w:rPr>
              <w:t>Maturing in one year or less</w:t>
            </w:r>
          </w:p>
        </w:tc>
        <w:tc>
          <w:tcPr>
            <w:tcW w:w="110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94,320</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560"/>
              <w:spacing w:after="0"/>
              <w:rPr>
                <w:sz w:val="20"/>
                <w:szCs w:val="20"/>
                <w:color w:val="auto"/>
              </w:rPr>
            </w:pPr>
            <w:r>
              <w:rPr>
                <w:rFonts w:ascii="Arial" w:cs="Arial" w:eastAsia="Arial" w:hAnsi="Arial"/>
                <w:sz w:val="18"/>
                <w:szCs w:val="18"/>
                <w:color w:val="auto"/>
                <w:w w:val="88"/>
              </w:rPr>
              <w:t>—</w:t>
            </w:r>
          </w:p>
        </w:tc>
        <w:tc>
          <w:tcPr>
            <w:tcW w:w="8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94,264</w:t>
            </w:r>
          </w:p>
        </w:tc>
      </w:tr>
      <w:tr>
        <w:trPr>
          <w:trHeight w:val="216"/>
        </w:trPr>
        <w:tc>
          <w:tcPr>
            <w:tcW w:w="4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Maturing after one year through three years</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corporate debt securities</w:t>
            </w:r>
          </w:p>
        </w:tc>
        <w:tc>
          <w:tcPr>
            <w:tcW w:w="6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94,320</w:t>
            </w:r>
          </w:p>
        </w:tc>
        <w:tc>
          <w:tcPr>
            <w:tcW w:w="3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94,264</w:t>
            </w:r>
          </w:p>
        </w:tc>
        <w:tc>
          <w:tcPr>
            <w:tcW w:w="100" w:type="dxa"/>
            <w:vAlign w:val="bottom"/>
            <w:tcBorders>
              <w:bottom w:val="single" w:sz="8" w:color="CCEEFF"/>
            </w:tcBorders>
          </w:tcPr>
          <w:p>
            <w:pPr>
              <w:spacing w:after="0"/>
              <w:rPr>
                <w:sz w:val="18"/>
                <w:szCs w:val="18"/>
                <w:color w:val="auto"/>
              </w:rPr>
            </w:pPr>
          </w:p>
        </w:tc>
      </w:tr>
      <w:tr>
        <w:trPr>
          <w:trHeight w:val="223"/>
        </w:trPr>
        <w:tc>
          <w:tcPr>
            <w:tcW w:w="4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marketable securities</w:t>
            </w:r>
          </w:p>
        </w:tc>
        <w:tc>
          <w:tcPr>
            <w:tcW w:w="6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147,370</w:t>
            </w: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79"/>
              </w:rPr>
              <w:t>13</w:t>
            </w:r>
          </w:p>
        </w:tc>
        <w:tc>
          <w:tcPr>
            <w:tcW w:w="2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Company holds investment grade marketable securities and none were considered to be other-than-temporarily impaired as of September 30, 2017. Marketable securities include $0.3 million and $0.6 million in accrued interest at September 30, 2017 and December 31, 2016,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presents information for the Company’s finite-lived intangible assets that are subject to amortization and indefinite-lived intangible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w w:val="91"/>
              </w:rPr>
              <w:t>September 30, 2017</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2016</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Estimated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License Rights</w:t>
            </w:r>
          </w:p>
        </w:tc>
        <w:tc>
          <w:tcPr>
            <w:tcW w:w="940" w:type="dxa"/>
            <w:vAlign w:val="bottom"/>
          </w:tcPr>
          <w:p>
            <w:pPr>
              <w:spacing w:after="0"/>
              <w:rPr>
                <w:sz w:val="20"/>
                <w:szCs w:val="20"/>
                <w:color w:val="auto"/>
              </w:rPr>
            </w:pPr>
            <w:r>
              <w:rPr>
                <w:rFonts w:ascii="Arial" w:cs="Arial" w:eastAsia="Arial" w:hAnsi="Arial"/>
                <w:sz w:val="18"/>
                <w:szCs w:val="18"/>
                <w:color w:val="auto"/>
              </w:rPr>
              <w:t>16 years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14,500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(7,175)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7,325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(6,503)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IPR&amp;D</w:t>
            </w:r>
          </w:p>
        </w:tc>
        <w:tc>
          <w:tcPr>
            <w:tcW w:w="940" w:type="dxa"/>
            <w:vAlign w:val="bottom"/>
          </w:tcPr>
          <w:p>
            <w:pPr>
              <w:spacing w:after="0"/>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60,490</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60,490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73,490</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73,490</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87,990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Indefinite-lived intangible assets consist of acquired in-process research and development (“IPR&amp;D”) related to the development of glembatumumab vedotin acquired in connection with the CuraGen acquisition and the development of the anti-KIT program, CDX-3379 and the TAM programs acquired in connection with the Kolltan acquisition. As of September 30, 2017, no IPR&amp;D asset had reached technological feasibility nor did any have alternative future uses.</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performs an impairment test on IPR&amp;D assets at least annually, or more frequently if events or changes in circumstances indicate that IPR&amp;D assets may be impaired. During the three and nine months ended September 30, 2017,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Company recorded a non-cash partial impairment charge of $13.0 million on the anti-KIT program IPR&amp;D assets acquired from Kolltan. The Company determined that changes in projected development and regulatory timelines related to the anti-KIT program taken together constituted a triggering event that required the Company to evaluate the intangible asset for impairment. As part of this evaluation, the present value of probability adjusted estimated net future cash flows was used to determine the fair value of the program and compared to the carrying value of the program. As a result of this impairment assessment, the Company concluded that a non-cash partial impairment charge of $13.0 million on the anti-KIT program IPR&amp;D asset acquired from Kolltan be recorded for the three and nine months ended September 30, 2017 for the amount the fair value of the anti-KIT program exceeded its carrying amount.</w:t>
      </w:r>
    </w:p>
    <w:p>
      <w:pPr>
        <w:spacing w:after="0" w:line="16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There have been no changes to the carrying amount of goodwill during the nine months ended September 30, 2017. The Company performs an annual impairment test of goodwill as of July 1 each year. The Company tested goodwill for impairment as of July 1, 2017 and concluded that goodwill was not impaired.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include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September 30, 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December 31, 2016</w:t>
            </w:r>
          </w:p>
        </w:tc>
      </w:tr>
      <w:tr>
        <w:trPr>
          <w:trHeight w:val="142"/>
        </w:trPr>
        <w:tc>
          <w:tcPr>
            <w:tcW w:w="54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540" w:type="dxa"/>
            <w:vAlign w:val="bottom"/>
            <w:tcBorders>
              <w:top w:val="single" w:sz="8" w:color="auto"/>
            </w:tcBorders>
            <w:gridSpan w:val="5"/>
          </w:tcPr>
          <w:p>
            <w:pPr>
              <w:jc w:val="right"/>
              <w:ind w:right="133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669</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Deferred Tax Liabilities related to IPR&amp;D</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22,854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28,054</w:t>
            </w: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9,436</w:t>
            </w: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Accrued Lease Restructuring</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Long-Term Severance</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Contingent Milestones</w:t>
            </w: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44,000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44,200</w:t>
            </w: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3,749</w:t>
            </w:r>
          </w:p>
        </w:tc>
        <w:tc>
          <w:tcPr>
            <w:tcW w:w="80" w:type="dxa"/>
            <w:vAlign w:val="bottom"/>
            <w:shd w:val="clear" w:color="auto" w:fill="CCEEFF"/>
          </w:tcPr>
          <w:p>
            <w:pPr>
              <w:spacing w:after="0"/>
              <w:rPr>
                <w:sz w:val="18"/>
                <w:szCs w:val="18"/>
                <w:color w:val="auto"/>
              </w:rPr>
            </w:pPr>
          </w:p>
        </w:tc>
      </w:tr>
      <w:tr>
        <w:trPr>
          <w:trHeight w:val="210"/>
        </w:trPr>
        <w:tc>
          <w:tcPr>
            <w:tcW w:w="5480" w:type="dxa"/>
            <w:vAlign w:val="bottom"/>
          </w:tcPr>
          <w:p>
            <w:pPr>
              <w:ind w:left="200"/>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81,143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(5,792)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(4,826)</w:t>
            </w: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Long-Term Portion</w:t>
            </w:r>
          </w:p>
        </w:tc>
        <w:tc>
          <w:tcPr>
            <w:tcW w:w="2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75,351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November 2015, December 2014, January 2014 and January 2013, the Company received approval from the New Jersey Economic Development Authority and agreed to sell New Jersey tax benefits of $9.8 million, $1.9 million, $1.1 million and $0.8 million to an independent third party for $9.2 million, $1.8 million, $1.0 million and $0.8 million, respectively. Under the agreement, the Company must maintain a base of operations in New Jersey for five years or the tax benefits must be paid back on a pro-rata basis based on the number of years completed. The Company recognized $0.0 million and $0.5 million in</w:t>
      </w:r>
    </w:p>
    <w:p>
      <w:pPr>
        <w:sectPr>
          <w:pgSz w:w="11900" w:h="16877" w:orient="portrait"/>
          <w:cols w:equalWidth="0" w:num="1">
            <w:col w:w="11420"/>
          </w:cols>
          <w:pgMar w:left="240" w:top="125" w:right="239" w:bottom="0" w:gutter="0" w:footer="0" w:header="0"/>
        </w:sectPr>
      </w:pPr>
    </w:p>
    <w:bookmarkStart w:id="7" w:name="page8"/>
    <w:bookmarkEnd w:id="7"/>
    <w:p>
      <w:pPr>
        <w:ind w:right="140"/>
        <w:spacing w:after="0" w:line="277" w:lineRule="auto"/>
        <w:rPr>
          <w:sz w:val="20"/>
          <w:szCs w:val="20"/>
          <w:color w:val="auto"/>
        </w:rPr>
      </w:pPr>
      <w:r>
        <w:rPr>
          <w:rFonts w:ascii="Arial" w:cs="Arial" w:eastAsia="Arial" w:hAnsi="Arial"/>
          <w:sz w:val="18"/>
          <w:szCs w:val="18"/>
          <w:color w:val="auto"/>
        </w:rPr>
        <w:t>other income related to the sale of these tax benefits for the three and nine months ended September 30, 2017, respectively, and $0.0 million and $0.6 million during the three and nine months ended September 30, 2016, respectively.</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December 2016, the Company decided not to occupy the 11,500 square feet of expansion space (“Needham Expansion”) at its Needham, Massachusetts facility. The Company agreed to lease the Needham Expansion in August 2015 and the term of the lease expires in July 2020. In October 2017, the Company entered into a sublease agreement for the Needham Expansion. In March 2017, the Company terminated its lease in Branford, CT and consolidated its Connecticut operations in its New Haven, CT facility. The Company recorded restructuring expense of $0.2 million to general and administrative expense related to the Branford, CT lease termination. The activity related to accrued lease restructuring for the nine months ended September 30, 2017 is presented below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Accrued Lease</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Restructuring</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4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Expense</w:t>
            </w:r>
          </w:p>
        </w:tc>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4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Balance at September 30, 2017</w:t>
            </w:r>
          </w:p>
        </w:tc>
        <w:tc>
          <w:tcPr>
            <w:tcW w:w="45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520" w:type="dxa"/>
            <w:vAlign w:val="bottom"/>
            <w:vMerge w:val="restart"/>
          </w:tcPr>
          <w:p>
            <w:pPr>
              <w:jc w:val="right"/>
              <w:ind w:right="305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440" w:type="dxa"/>
            <w:vAlign w:val="bottom"/>
            <w:tcBorders>
              <w:bottom w:val="single" w:sz="8" w:color="808080"/>
            </w:tcBorders>
          </w:tcPr>
          <w:p>
            <w:pPr>
              <w:spacing w:after="0"/>
              <w:rPr>
                <w:sz w:val="11"/>
                <w:szCs w:val="11"/>
                <w:color w:val="auto"/>
              </w:rPr>
            </w:pPr>
          </w:p>
        </w:tc>
        <w:tc>
          <w:tcPr>
            <w:tcW w:w="45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May 2016, the Company and Cantor Fitzgerald &amp; Co. (“Cantor”) entered into a controlled equity offering sales agreement (“2016 Cantor Agreement”) to allow the Company to issue and sell shares of its common stock having an aggregate offering price of up to $60.0 million from time to time through Cantor, acting as agent. During the nine months ended September 30, 2017, the Company issued 11,326,363 shares of its common stock under the 2016 Cantor Agreement resulting in net proceeds to the Company of $32.6 million, after deducting commission and offering expenses. At September 30, 2017, the Company had $11.7 million remaining in aggregate gross offering price available under the 2016 Cantor Agreement. In October 2017, the Company completed sales under the 2016 Cantor Agreement and issued 3,871,709 shares of its common stock resulting in net proceeds to the Company of $11.3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nine months ended September 30, 2017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ind w:left="306"/>
              <w:spacing w:after="0" w:line="149" w:lineRule="exact"/>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Per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2016</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10,218,710</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11.14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2,309,900</w:t>
            </w:r>
          </w:p>
        </w:tc>
        <w:tc>
          <w:tcPr>
            <w:tcW w:w="300" w:type="dxa"/>
            <w:vAlign w:val="bottom"/>
          </w:tcPr>
          <w:p>
            <w:pPr>
              <w:spacing w:after="0"/>
              <w:rPr>
                <w:sz w:val="18"/>
                <w:szCs w:val="18"/>
                <w:color w:val="auto"/>
              </w:rPr>
            </w:pP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Canceled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(945,792)</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9.21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2017</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11,582,818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9.54</w:t>
            </w:r>
          </w:p>
        </w:tc>
        <w:tc>
          <w:tcPr>
            <w:tcW w:w="14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September 30, 2017</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vMerge w:val="restart"/>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9.59</w:t>
            </w:r>
          </w:p>
        </w:tc>
        <w:tc>
          <w:tcPr>
            <w:tcW w:w="1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11,460,583</w:t>
            </w:r>
          </w:p>
        </w:tc>
        <w:tc>
          <w:tcPr>
            <w:tcW w:w="3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2017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7,360,799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11.05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1380" w:type="dxa"/>
            <w:vAlign w:val="bottom"/>
          </w:tcPr>
          <w:p>
            <w:pPr>
              <w:jc w:val="right"/>
              <w:spacing w:after="0"/>
              <w:rPr>
                <w:sz w:val="20"/>
                <w:szCs w:val="20"/>
                <w:color w:val="auto"/>
              </w:rPr>
            </w:pPr>
            <w:r>
              <w:rPr>
                <w:rFonts w:ascii="Arial" w:cs="Arial" w:eastAsia="Arial" w:hAnsi="Arial"/>
                <w:sz w:val="18"/>
                <w:szCs w:val="18"/>
                <w:color w:val="auto"/>
              </w:rPr>
              <w:t>7,780,663</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nine month period ended September 30, 2017 was $1.57. Stock-based compensation expense for the three and nine months ended September 30, 2017 and 2016 was recorded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2,042</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5,866</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1,754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4,418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5,843</w:t>
            </w:r>
          </w:p>
        </w:tc>
      </w:tr>
      <w:tr>
        <w:trPr>
          <w:trHeight w:val="21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2,739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fair value of employee and director stock options granted during the three and nine month periods ended September 30, 2017 and 2016 were valued using the Black-Scholes option-pricing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33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 September 30,</w:t>
            </w:r>
          </w:p>
        </w:tc>
        <w:tc>
          <w:tcPr>
            <w:tcW w:w="31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Nine months ended September 30,</w:t>
            </w:r>
          </w:p>
        </w:tc>
        <w:tc>
          <w:tcPr>
            <w:tcW w:w="40" w:type="dxa"/>
            <w:vAlign w:val="bottom"/>
          </w:tcPr>
          <w:p>
            <w:pPr>
              <w:spacing w:after="0"/>
              <w:rPr>
                <w:sz w:val="14"/>
                <w:szCs w:val="14"/>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 — 77%</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 — 77%</w:t>
            </w: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Expected option term</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6.0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6.0 years</w:t>
            </w:r>
          </w:p>
        </w:tc>
        <w:tc>
          <w:tcPr>
            <w:tcW w:w="4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 — 2.3%</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 — 1.6%</w:t>
            </w:r>
          </w:p>
        </w:tc>
        <w:tc>
          <w:tcPr>
            <w:tcW w:w="4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20"/>
                <w:szCs w:val="20"/>
                <w:color w:val="auto"/>
              </w:rPr>
            </w:pPr>
          </w:p>
        </w:tc>
      </w:tr>
      <w:tr>
        <w:trPr>
          <w:trHeight w:val="418"/>
        </w:trPr>
        <w:tc>
          <w:tcPr>
            <w:tcW w:w="5000" w:type="dxa"/>
            <w:vAlign w:val="bottom"/>
          </w:tcPr>
          <w:p>
            <w:pPr>
              <w:spacing w:after="0"/>
              <w:rPr>
                <w:sz w:val="24"/>
                <w:szCs w:val="24"/>
                <w:color w:val="auto"/>
              </w:rPr>
            </w:pPr>
          </w:p>
        </w:tc>
        <w:tc>
          <w:tcPr>
            <w:tcW w:w="1360" w:type="dxa"/>
            <w:vAlign w:val="bottom"/>
          </w:tcPr>
          <w:p>
            <w:pPr>
              <w:jc w:val="right"/>
              <w:ind w:right="475"/>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w:t>
      </w:r>
    </w:p>
    <w:p>
      <w:pPr>
        <w:sectPr>
          <w:pgSz w:w="11900" w:h="16838" w:orient="portrait"/>
          <w:cols w:equalWidth="0" w:num="1">
            <w:col w:w="11460"/>
          </w:cols>
          <w:pgMar w:left="240" w:top="125" w:right="199" w:bottom="171" w:gutter="0" w:footer="0" w:header="0"/>
        </w:sectPr>
      </w:pPr>
    </w:p>
    <w:bookmarkStart w:id="8" w:name="page9"/>
    <w:bookmarkEnd w:id="8"/>
    <w:p>
      <w:pPr>
        <w:ind w:left="620"/>
        <w:spacing w:after="0"/>
        <w:rPr>
          <w:sz w:val="20"/>
          <w:szCs w:val="20"/>
          <w:color w:val="auto"/>
        </w:rPr>
      </w:pPr>
      <w:r>
        <w:rPr>
          <w:rFonts w:ascii="Arial" w:cs="Arial" w:eastAsia="Arial" w:hAnsi="Arial"/>
          <w:sz w:val="16"/>
          <w:szCs w:val="16"/>
          <w:color w:val="auto"/>
        </w:rPr>
        <w:t>The changes in accumulated other comprehensive income, which is reported as a component of stockholders’ equity,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are summarized below:</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gain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Balance at September 30, 2017</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Unrealized (Loss)</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Gain on</w:t>
            </w:r>
          </w:p>
        </w:tc>
        <w:tc>
          <w:tcPr>
            <w:tcW w:w="140" w:type="dxa"/>
            <w:vAlign w:val="bottom"/>
          </w:tcPr>
          <w:p>
            <w:pPr>
              <w:spacing w:after="0"/>
              <w:rPr>
                <w:sz w:val="12"/>
                <w:szCs w:val="12"/>
                <w:color w:val="auto"/>
              </w:rPr>
            </w:pPr>
          </w:p>
        </w:tc>
        <w:tc>
          <w:tcPr>
            <w:tcW w:w="15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Foreign</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Currency Items</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2,596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vMerge w:val="restart"/>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-454025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-179705</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760"/>
          </w:cols>
          <w:pgMar w:left="240" w:top="125" w:right="259" w:bottom="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amounts were reclassified out of accumulated other comprehensive income during the nine months ended September 30,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2013, the Company entered into an agreement, as amended, with Rockefeller pursuant to which the Company performs research and development services for Rockefeller. The Company bills Rockefeller quarterly for actual time and direct costs incurred and records those amounts to revenue in the quarter the services are performed. The Company recorded $0.3 million and $1.4 million in revenue related to the Rockefeller agreement during the three and nine months ended September 30, 2017, respectively, and $1.1 million and $1.8 million during the three and nine months ended September 30,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 (BMS)</w:t>
      </w:r>
    </w:p>
    <w:p>
      <w:pPr>
        <w:spacing w:after="0" w:line="22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In 2014, the Company entered into a clinical trial collaboration with BMS to evaluate the safety, tolerability and preliminary efficacy of varlilumab and Opdivo</w:t>
      </w:r>
      <w:r>
        <w:rPr>
          <w:rFonts w:ascii="Arial" w:cs="Arial" w:eastAsia="Arial" w:hAnsi="Arial"/>
          <w:sz w:val="23"/>
          <w:szCs w:val="23"/>
          <w:color w:val="auto"/>
          <w:vertAlign w:val="superscript"/>
        </w:rPr>
        <w:t>®</w:t>
      </w:r>
      <w:r>
        <w:rPr>
          <w:rFonts w:ascii="Arial" w:cs="Arial" w:eastAsia="Arial" w:hAnsi="Arial"/>
          <w:sz w:val="18"/>
          <w:szCs w:val="18"/>
          <w:color w:val="auto"/>
        </w:rPr>
        <w:t>, BMS’s PD-1 immune checkpoint inhibitor, in a Phase 1/2 study. Under the terms of this clinical trial collaboration, BMS made a one-time payment to the Company of $5.0 million and BMS and the Company amended the terms of the Company’s existing license agreement with Medarex, which was acquired by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 antagonist antibody and anti-CD27 agonist antibody combination regimens. The clinical trial collaboration provides that the companies share development costs and that the Company will be responsible for conducting the ongoing Phase 1/2 study.</w:t>
      </w:r>
    </w:p>
    <w:p>
      <w:pPr>
        <w:spacing w:after="0" w:line="20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$5.0 million up-front payment was initially recorded as deferred revenue and is being recognized as revenue on a straight-line basis over the estimated 5-year performance period using the Contingency Adjusted Performance Model (“CAPM”). The BMS agreement also provides for BMS to reimburse the Company for 50% of the external costs incurred by the Company in connection with the clinical trial. The BMS payments are recognized as revenue under the CAPM. The Company recorded $0.9 million and $2.1 million in revenue related to the BMS agreement during the three and nine months ended September 30, 2017, respectively, and $0.5 million and $1.5 million during the three and nine months ended September 30, 2016,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AIDS Vaccine Initiative (IAVI)</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2017, the Company entered into an agreement with IAVI pursuant to which the Company performs research and development and manufacturing services for IAVI outlined under subsequently negotiated task orders. Revenue is recognized as services are performed under the negotiated task orders. The Company recorded $1.7 million and $4.0 million in revenue related to the IAVI agreement during the three and nine months ended September 30, 2017,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Frontier Biotechnologies, Inc. (Frontier)</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2017, the Company entered into an agreement with Frontier pursuant to which the Company performs research and development and manufacturing services for Frontier outlined under subsequently negotiated task orders. Revenue is recognized as services are performed under the negotiated task orders. The Company recorded $0.6 million in revenue related to the Frontier agreement during both the three and nine months ended September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Kolltan Acquisition</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connection with the Kolltan Acquisition, effective November 29, 2016, the Company issued 18,257,996 shares of common stock of the Company in exchange for all of the share and debt interests in Kolltan. The Company also agreed to issue an aggregate of 437,901 shares of its common stock, less tax withholdings, to certain former officers of Kolltan. During the nine months ended September 30, 2017, the Company issued 91,749 shares of its common stock and at September 30, 2017, the Company’s remaining obligation is to issue 125,123 shares of its common stock, less tax withholdings, related to this severance obligation. In addition, in the event that certain specified preclinical and clinical development milestones related to Kolltan’s development programs and/or Celldex’s development programs and certain commercial milestones related to Kolltan’s drug candidates are achieved, Celldex will be required to pay Kolltan’s stockholders milestone payments of up to $172.5 million, which milestone payments may be made, at Celldex’s sole election, in cash, in shares of Celldex’s common stock or a combination of both, subject to provisions of the Merger Agreement.</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transaction was accounted for as a business combination with Celldex treated as the accounting acquirer. All of the assets acquired and liabilities assumed in the transaction are recognized at their acquisition-date fair values, while transaction costs associated with the transaction are expensed as incurred.</w:t>
      </w:r>
    </w:p>
    <w:p>
      <w:pPr>
        <w:sectPr>
          <w:pgSz w:w="11900" w:h="16838" w:orient="portrait"/>
          <w:cols w:equalWidth="0" w:num="1">
            <w:col w:w="11400"/>
          </w:cols>
          <w:pgMar w:left="240" w:top="125" w:right="259" w:bottom="0" w:gutter="0" w:footer="0" w:header="0"/>
          <w:type w:val="continuous"/>
        </w:sectPr>
      </w:pPr>
    </w:p>
    <w:bookmarkStart w:id="9" w:name="page10"/>
    <w:bookmarkEnd w:id="9"/>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The purchase price for Kolltan was based on the acquisition-date fair value of the consideration transferred, which was calculated based on the closing price of the Company’s common stock of $4.02 per share on November 29, 2016. The acquisition-date fair value of the consideration transferred consisted of the following (in thousands):</w:t>
      </w:r>
    </w:p>
    <w:p>
      <w:pPr>
        <w:sectPr>
          <w:pgSz w:w="11900" w:h="16874" w:orient="portrait"/>
          <w:cols w:equalWidth="0" w:num="1">
            <w:col w:w="11400"/>
          </w:cols>
          <w:pgMar w:left="240" w:top="125" w:right="259" w:bottom="0" w:gutter="0" w:footer="0" w:header="0"/>
        </w:sectPr>
      </w:pP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Fair value of common stock issued for upfront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-121920</wp:posOffset>
            </wp:positionV>
            <wp:extent cx="57975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Fair value of contingent consideration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Kolltan transaction expenses paid in cash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-130810</wp:posOffset>
            </wp:positionV>
            <wp:extent cx="57975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Total consideration transferred</w:t>
      </w:r>
    </w:p>
    <w:p>
      <w:pPr>
        <w:spacing w:after="0" w:line="265" w:lineRule="exact"/>
        <w:rPr>
          <w:sz w:val="20"/>
          <w:szCs w:val="20"/>
          <w:color w:val="auto"/>
        </w:rPr>
      </w:pPr>
    </w:p>
    <w:p>
      <w:pPr>
        <w:jc w:val="right"/>
        <w:ind w:right="211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862" w:hanging="862"/>
        <w:spacing w:after="0"/>
        <w:tabs>
          <w:tab w:leader="none" w:pos="862" w:val="left"/>
        </w:tabs>
        <w:numPr>
          <w:ilvl w:val="0"/>
          <w:numId w:val="3"/>
        </w:numPr>
        <w:rPr>
          <w:rFonts w:ascii="Arial" w:cs="Arial" w:eastAsia="Arial" w:hAnsi="Arial"/>
          <w:sz w:val="16"/>
          <w:szCs w:val="16"/>
          <w:color w:val="auto"/>
        </w:rPr>
      </w:pPr>
      <w:r>
        <w:rPr>
          <w:rFonts w:ascii="Arial" w:cs="Arial" w:eastAsia="Arial" w:hAnsi="Arial"/>
          <w:sz w:val="16"/>
          <w:szCs w:val="16"/>
          <w:color w:val="auto"/>
        </w:rPr>
        <w:t>73,397</w:t>
      </w:r>
    </w:p>
    <w:p>
      <w:pPr>
        <w:spacing w:after="0" w:line="46" w:lineRule="exact"/>
        <w:rPr>
          <w:rFonts w:ascii="Arial" w:cs="Arial" w:eastAsia="Arial" w:hAnsi="Arial"/>
          <w:sz w:val="16"/>
          <w:szCs w:val="16"/>
          <w:color w:val="auto"/>
        </w:rPr>
      </w:pPr>
    </w:p>
    <w:p>
      <w:pPr>
        <w:ind w:left="862"/>
        <w:spacing w:after="0"/>
        <w:rPr>
          <w:rFonts w:ascii="Arial" w:cs="Arial" w:eastAsia="Arial" w:hAnsi="Arial"/>
          <w:sz w:val="16"/>
          <w:szCs w:val="16"/>
          <w:color w:val="auto"/>
        </w:rPr>
      </w:pPr>
      <w:r>
        <w:rPr>
          <w:rFonts w:ascii="Arial" w:cs="Arial" w:eastAsia="Arial" w:hAnsi="Arial"/>
          <w:sz w:val="16"/>
          <w:szCs w:val="16"/>
          <w:color w:val="auto"/>
        </w:rPr>
        <w:t>44,200</w:t>
      </w:r>
    </w:p>
    <w:p>
      <w:pPr>
        <w:spacing w:after="0" w:line="32" w:lineRule="exact"/>
        <w:rPr>
          <w:rFonts w:ascii="Arial" w:cs="Arial" w:eastAsia="Arial" w:hAnsi="Arial"/>
          <w:sz w:val="16"/>
          <w:szCs w:val="16"/>
          <w:color w:val="auto"/>
        </w:rPr>
      </w:pPr>
    </w:p>
    <w:p>
      <w:pPr>
        <w:ind w:left="962"/>
        <w:spacing w:after="0"/>
        <w:rPr>
          <w:rFonts w:ascii="Arial" w:cs="Arial" w:eastAsia="Arial" w:hAnsi="Arial"/>
          <w:sz w:val="16"/>
          <w:szCs w:val="16"/>
          <w:color w:val="auto"/>
        </w:rPr>
      </w:pPr>
      <w:r>
        <w:rPr>
          <w:rFonts w:ascii="Arial" w:cs="Arial" w:eastAsia="Arial" w:hAnsi="Arial"/>
          <w:sz w:val="15"/>
          <w:szCs w:val="15"/>
          <w:color w:val="auto"/>
        </w:rPr>
        <w:t>3,768</w:t>
      </w:r>
    </w:p>
    <w:p>
      <w:pPr>
        <w:spacing w:after="0" w:line="44" w:lineRule="exact"/>
        <w:rPr>
          <w:sz w:val="20"/>
          <w:szCs w:val="20"/>
          <w:color w:val="auto"/>
        </w:rPr>
      </w:pPr>
    </w:p>
    <w:p>
      <w:pPr>
        <w:ind w:left="782" w:hanging="782"/>
        <w:spacing w:after="0"/>
        <w:tabs>
          <w:tab w:leader="none" w:pos="782" w:val="left"/>
        </w:tabs>
        <w:numPr>
          <w:ilvl w:val="0"/>
          <w:numId w:val="4"/>
        </w:numPr>
        <w:rPr>
          <w:rFonts w:ascii="Arial" w:cs="Arial" w:eastAsia="Arial" w:hAnsi="Arial"/>
          <w:sz w:val="16"/>
          <w:szCs w:val="16"/>
          <w:color w:val="auto"/>
        </w:rPr>
      </w:pPr>
      <w:r>
        <w:rPr>
          <w:rFonts w:ascii="Arial" w:cs="Arial" w:eastAsia="Arial" w:hAnsi="Arial"/>
          <w:sz w:val="16"/>
          <w:szCs w:val="16"/>
          <w:color w:val="auto"/>
        </w:rPr>
        <w:t>121,365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866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694" w:lineRule="exact"/>
        <w:rPr>
          <w:sz w:val="20"/>
          <w:szCs w:val="20"/>
          <w:color w:val="auto"/>
        </w:rPr>
      </w:pPr>
    </w:p>
    <w:p>
      <w:pPr>
        <w:sectPr>
          <w:pgSz w:w="11900" w:h="16874" w:orient="portrait"/>
          <w:cols w:equalWidth="0" w:num="2">
            <w:col w:w="7918" w:space="720"/>
            <w:col w:w="2762"/>
          </w:cols>
          <w:pgMar w:left="240" w:top="125" w:right="25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Allocations of Assets and Liabilities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has allocated the consideration transferred for Kolltan to net tangible assets, intangible assets, and goodwill. The difference between the aggregate consideration transferred and the fair value of assets acquired and liabilities assumed was allocated to goodwill. This goodwill relates to the potential synergies from the Kolltan Acquisition and deferred tax liabilities related to acquired IPR&amp;D intangible assets. None of the goodwill is expected to be deductible for income tax purposes. The following table summarizes the fair values of the assets acquired and liabilities assumed at the acquisition date (in thousands):</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31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8,160</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Other current and long-term assets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2,072</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In-process research and development (IPR&amp;D)</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61,690</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82,011</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(23,393)</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assumed liabilities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(9,974)</w:t>
            </w:r>
          </w:p>
        </w:tc>
      </w:tr>
      <w:tr>
        <w:trPr>
          <w:trHeight w:val="210"/>
        </w:trPr>
        <w:tc>
          <w:tcPr>
            <w:tcW w:w="76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40" w:firstLine="648"/>
        <w:spacing w:after="0" w:line="264" w:lineRule="auto"/>
        <w:rPr>
          <w:sz w:val="20"/>
          <w:szCs w:val="20"/>
          <w:color w:val="auto"/>
        </w:rPr>
      </w:pPr>
      <w:r>
        <w:rPr>
          <w:rFonts w:ascii="Arial" w:cs="Arial" w:eastAsia="Arial" w:hAnsi="Arial"/>
          <w:sz w:val="18"/>
          <w:szCs w:val="18"/>
          <w:color w:val="auto"/>
        </w:rPr>
        <w:t>The purchase price allocation has been prepared on a preliminary basis and is subject to change as additional information becomes available concerning the fair value and tax basis of the acquired assets and liabilities. Any adjustments to the purchase price allocation will be made as soon as practicable but no later than one year from the acquisition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If the operations of the Company and Kolltan were combined as of January 1, 2016, the unaudited pro forma net loss for the three and nine months ended September 30, 2016 would have been $35.5 million and $120.4 million, respectively, or $(0.30) and $(1.02) per share, respectively. The unaudited pro forma combined results are not necessarily indicative of the actual results that would have occurred had the acquisition been consummated at that date or of the future operations of the combined entities.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Massachusetts, New Jersey and Connecticut are the three states in which the Company primarily operates or has operated and has income tax nexus. The Company’s wholly-owned subsidiary, Celldex Australia Pty Ltd, operates in Brisbane, Australia. The Company is not currently under examination by any jurisdictions for any tax year.</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September 30, 2017 and December 31, 2016 against the Company’s net deferred tax assets.</w:t>
      </w:r>
    </w:p>
    <w:p>
      <w:pPr>
        <w:spacing w:after="0" w:line="18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As of September 30, 2017 and December 31, 2016, the Company had $22.9 million and $28.1 million of deferred tax liabilities, net recorded on the balance sheet primarily associated with temporary differences related to the Company’s IPR&amp;D assets. The $5.2 million decrease in deferred tax liabilities, net during the three and nine months ended September 30, 2017 was due to the partial impairment of the anti-KIT program IPR&amp;D assets.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180"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6350</wp:posOffset>
            </wp:positionV>
            <wp:extent cx="1912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840"/>
        <w:spacing w:after="0"/>
        <w:tabs>
          <w:tab w:leader="none" w:pos="104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-3175</wp:posOffset>
            </wp:positionV>
            <wp:extent cx="1912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ectPr>
          <w:pgSz w:w="11900" w:h="16874" w:orient="portrait"/>
          <w:cols w:equalWidth="0" w:num="1">
            <w:col w:w="11400"/>
          </w:cols>
          <w:pgMar w:left="240" w:top="125" w:right="259" w:bottom="0" w:gutter="0" w:footer="0" w:header="0"/>
          <w:type w:val="continuous"/>
        </w:sectPr>
      </w:pPr>
    </w:p>
    <w:p>
      <w:pPr>
        <w:spacing w:after="0" w:line="210" w:lineRule="exact"/>
        <w:rPr>
          <w:sz w:val="20"/>
          <w:szCs w:val="20"/>
          <w:color w:val="auto"/>
        </w:rPr>
      </w:pPr>
    </w:p>
    <w:p>
      <w:pPr>
        <w:spacing w:after="0"/>
        <w:tabs>
          <w:tab w:leader="none" w:pos="8840" w:val="left"/>
          <w:tab w:leader="none" w:pos="10480" w:val="left"/>
        </w:tabs>
        <w:rPr>
          <w:sz w:val="20"/>
          <w:szCs w:val="20"/>
          <w:color w:val="auto"/>
        </w:rPr>
      </w:pPr>
      <w:r>
        <w:rPr>
          <w:rFonts w:ascii="Arial" w:cs="Arial" w:eastAsia="Arial" w:hAnsi="Arial"/>
          <w:sz w:val="18"/>
          <w:szCs w:val="18"/>
          <w:color w:val="auto"/>
        </w:rPr>
        <w:t>Stock options</w:t>
      </w:r>
      <w:r>
        <w:rPr>
          <w:sz w:val="20"/>
          <w:szCs w:val="20"/>
          <w:color w:val="auto"/>
        </w:rPr>
        <w:tab/>
      </w:r>
      <w:r>
        <w:rPr>
          <w:rFonts w:ascii="Arial" w:cs="Arial" w:eastAsia="Arial" w:hAnsi="Arial"/>
          <w:sz w:val="18"/>
          <w:szCs w:val="18"/>
          <w:color w:val="auto"/>
        </w:rPr>
        <w:t>11,582,818</w:t>
      </w:r>
      <w:r>
        <w:rPr>
          <w:sz w:val="20"/>
          <w:szCs w:val="20"/>
          <w:color w:val="auto"/>
        </w:rPr>
        <w:tab/>
      </w:r>
      <w:r>
        <w:rPr>
          <w:rFonts w:ascii="Arial" w:cs="Arial" w:eastAsia="Arial" w:hAnsi="Arial"/>
          <w:sz w:val="16"/>
          <w:szCs w:val="16"/>
          <w:color w:val="auto"/>
        </w:rPr>
        <w:t>10,150,598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74" w:orient="portrait"/>
          <w:cols w:equalWidth="0" w:num="1">
            <w:col w:w="11400"/>
          </w:cols>
          <w:pgMar w:left="240" w:top="125" w:right="259"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Restricted stock</w:t>
            </w:r>
          </w:p>
        </w:tc>
        <w:tc>
          <w:tcPr>
            <w:tcW w:w="6540" w:type="dxa"/>
            <w:vAlign w:val="bottom"/>
            <w:gridSpan w:val="3"/>
          </w:tcPr>
          <w:p>
            <w:pPr>
              <w:jc w:val="right"/>
              <w:ind w:right="280"/>
              <w:spacing w:after="0"/>
              <w:rPr>
                <w:sz w:val="20"/>
                <w:szCs w:val="20"/>
                <w:color w:val="auto"/>
              </w:rPr>
            </w:pPr>
            <w:r>
              <w:rPr>
                <w:rFonts w:ascii="Arial" w:cs="Arial" w:eastAsia="Arial" w:hAnsi="Arial"/>
                <w:sz w:val="18"/>
                <w:szCs w:val="18"/>
                <w:color w:val="auto"/>
              </w:rPr>
              <w:t>96,668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49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11,679,486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10,210,598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900" w:type="dxa"/>
            <w:vAlign w:val="bottom"/>
            <w:vMerge w:val="restart"/>
          </w:tcPr>
          <w:p>
            <w:pPr>
              <w:jc w:val="right"/>
              <w:ind w:right="2410"/>
              <w:spacing w:after="0"/>
              <w:rPr>
                <w:sz w:val="20"/>
                <w:szCs w:val="20"/>
                <w:color w:val="auto"/>
              </w:rPr>
            </w:pPr>
            <w:r>
              <w:rPr>
                <w:rFonts w:ascii="Arial" w:cs="Arial" w:eastAsia="Arial" w:hAnsi="Arial"/>
                <w:sz w:val="18"/>
                <w:szCs w:val="18"/>
                <w:color w:val="auto"/>
              </w:rPr>
              <w:t>15</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0" w:type="dxa"/>
            <w:vAlign w:val="bottom"/>
            <w:tcBorders>
              <w:bottom w:val="single" w:sz="8" w:color="808080"/>
            </w:tcBorders>
          </w:tcPr>
          <w:p>
            <w:pPr>
              <w:spacing w:after="0"/>
              <w:rPr>
                <w:sz w:val="11"/>
                <w:szCs w:val="11"/>
                <w:color w:val="auto"/>
              </w:rPr>
            </w:pPr>
          </w:p>
        </w:tc>
        <w:tc>
          <w:tcPr>
            <w:tcW w:w="49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right="18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if we obtain regulatory approval, commercialization of glembatumumab vedotin (also referred to as CDX-011) and other drug candidates and the growth of the markets for those drug candidates;</w:t>
      </w:r>
    </w:p>
    <w:p>
      <w:pPr>
        <w:spacing w:after="0" w:line="181" w:lineRule="exact"/>
        <w:rPr>
          <w:rFonts w:ascii="Arial" w:cs="Arial" w:eastAsia="Arial" w:hAnsi="Arial"/>
          <w:sz w:val="18"/>
          <w:szCs w:val="18"/>
          <w:color w:val="auto"/>
        </w:rPr>
      </w:pPr>
    </w:p>
    <w:p>
      <w:pPr>
        <w:ind w:left="980" w:right="160" w:hanging="324"/>
        <w:spacing w:after="0" w:line="259"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programs, which may include, glembatumumab vedotin;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 and to operate the combined business efficiently;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cost, timing, scope and results of ongoing safety and efficacy trials of glembatumumab vedotin, and other preclinical and clinical testing;</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 who may be the sole source of supply;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before competitors that are superior to the alternatives developed by such competitors;</w:t>
      </w:r>
    </w:p>
    <w:p>
      <w:pPr>
        <w:spacing w:after="0" w:line="236" w:lineRule="exact"/>
        <w:rPr>
          <w:rFonts w:ascii="Arial" w:cs="Arial" w:eastAsia="Arial" w:hAnsi="Arial"/>
          <w:sz w:val="17"/>
          <w:szCs w:val="17"/>
          <w:color w:val="auto"/>
        </w:rPr>
      </w:pPr>
    </w:p>
    <w:p>
      <w:pPr>
        <w:ind w:left="980" w:right="300" w:hanging="324"/>
        <w:spacing w:after="0" w:line="342" w:lineRule="auto"/>
        <w:tabs>
          <w:tab w:leader="none" w:pos="944"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80" w:right="92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170" w:lineRule="exact"/>
        <w:rPr>
          <w:rFonts w:ascii="Arial" w:cs="Arial" w:eastAsia="Arial" w:hAnsi="Arial"/>
          <w:sz w:val="18"/>
          <w:szCs w:val="18"/>
          <w:color w:val="auto"/>
        </w:rPr>
      </w:pPr>
    </w:p>
    <w:p>
      <w:pPr>
        <w:ind w:left="980" w:right="46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181" w:lineRule="exact"/>
        <w:rPr>
          <w:rFonts w:ascii="Arial" w:cs="Arial" w:eastAsia="Arial" w:hAnsi="Arial"/>
          <w:sz w:val="18"/>
          <w:szCs w:val="18"/>
          <w:color w:val="auto"/>
        </w:rPr>
      </w:pPr>
    </w:p>
    <w:p>
      <w:pPr>
        <w:ind w:left="980" w:right="60" w:hanging="324"/>
        <w:spacing w:after="0" w:line="264"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factors listed under the headings “Business,” “Risk Factors” and “Management’s Discussion and Analysis of Financial Condition and Results of Operations” in the Company’s annual report on Form 10-K for the year ended December 31, 2016 and other reports that we file with the Securities and Exchange Commission</w:t>
      </w:r>
      <w:r>
        <w:rPr>
          <w:rFonts w:ascii="Arial" w:cs="Arial" w:eastAsia="Arial" w:hAnsi="Arial"/>
          <w:sz w:val="18"/>
          <w:szCs w:val="18"/>
          <w:i w:val="1"/>
          <w:iCs w:val="1"/>
          <w:color w:val="auto"/>
        </w:rPr>
        <w: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ectPr>
          <w:pgSz w:w="11900" w:h="16838" w:orient="portrait"/>
          <w:cols w:equalWidth="0" w:num="1">
            <w:col w:w="11460"/>
          </w:cols>
          <w:pgMar w:left="240" w:top="125" w:right="199" w:bottom="0" w:gutter="0" w:footer="0" w:header="0"/>
        </w:sectPr>
      </w:pPr>
    </w:p>
    <w:bookmarkStart w:id="11" w:name="page12"/>
    <w:bookmarkEnd w:id="11"/>
    <w:p>
      <w:pPr>
        <w:ind w:right="80" w:firstLine="648"/>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and other cancer-targeting biologics. Our drug candidates, including antibodies, antibody-drug conjugates and other protein-based therapeutics, are derived from a broad set of complementary technologies which have the ability to engage the human immune system and/or directly inhibit tumors to treat specific types of cancer or other diseases.</w:t>
      </w:r>
    </w:p>
    <w:p>
      <w:pPr>
        <w:spacing w:after="0" w:line="1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latest stage drug candidate, 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cancer. We established proof of principle in a Phase 1 study with varlilumab, which supported the initiation of combination studies in various indications. We also have a number of earlier stage drug candidates in clinical development, including CDX-3379, a human monoclonal antibody designed to block the activity of ErbB3 (HER3) in solid tumors; CDX-014, an antibody-drug conjugate targeting renal and ovarian cancers; CDX-1401, a targeted immunotherapeutic aimed at antigen presenting cells, or APCs, for cancer indications; and, CDX-301, an immune cell mobilizing agent and dendritic cell growth factor. Our drug candidates address market opportunities for which we believe current therapies are inadequate or non-existent.</w:t>
      </w:r>
    </w:p>
    <w:p>
      <w:pPr>
        <w:spacing w:after="0" w:line="17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reflects Celldex-sponsored clinical studies that we are actively pursuing at this time. All programs are currently fully owned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Celldex.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Product (generic)</w:t>
            </w:r>
          </w:p>
        </w:tc>
        <w:tc>
          <w:tcPr>
            <w:tcW w:w="5580" w:type="dxa"/>
            <w:vAlign w:val="bottom"/>
            <w:gridSpan w:val="2"/>
          </w:tcPr>
          <w:p>
            <w:pPr>
              <w:ind w:left="2160"/>
              <w:spacing w:after="0"/>
              <w:rPr>
                <w:sz w:val="20"/>
                <w:szCs w:val="20"/>
                <w:color w:val="auto"/>
              </w:rPr>
            </w:pPr>
            <w:r>
              <w:rPr>
                <w:rFonts w:ascii="Arial" w:cs="Arial" w:eastAsia="Arial" w:hAnsi="Arial"/>
                <w:sz w:val="14"/>
                <w:szCs w:val="14"/>
                <w:b w:val="1"/>
                <w:bCs w:val="1"/>
                <w:color w:val="auto"/>
              </w:rPr>
              <w:t>Indication/Field</w:t>
            </w: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Status</w:t>
            </w:r>
          </w:p>
        </w:tc>
        <w:tc>
          <w:tcPr>
            <w:tcW w:w="1320" w:type="dxa"/>
            <w:vAlign w:val="bottom"/>
          </w:tcPr>
          <w:p>
            <w:pPr>
              <w:ind w:left="420"/>
              <w:spacing w:after="0"/>
              <w:rPr>
                <w:sz w:val="20"/>
                <w:szCs w:val="20"/>
                <w:color w:val="auto"/>
              </w:rPr>
            </w:pPr>
            <w:r>
              <w:rPr>
                <w:rFonts w:ascii="Arial" w:cs="Arial" w:eastAsia="Arial" w:hAnsi="Arial"/>
                <w:sz w:val="14"/>
                <w:szCs w:val="14"/>
                <w:b w:val="1"/>
                <w:bCs w:val="1"/>
                <w:color w:val="auto"/>
              </w:rPr>
              <w:t>Sponsor</w:t>
            </w:r>
          </w:p>
        </w:tc>
      </w:tr>
      <w:tr>
        <w:trPr>
          <w:trHeight w:val="210"/>
        </w:trPr>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Glembatumumab vedotin</w:t>
            </w:r>
          </w:p>
        </w:tc>
        <w:tc>
          <w:tcPr>
            <w:tcW w:w="26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Triple negative breast cancer</w:t>
            </w:r>
          </w:p>
        </w:tc>
        <w:tc>
          <w:tcPr>
            <w:tcW w:w="2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Phase 2b</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Celldex</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Glembatumumab vedotin</w:t>
            </w:r>
          </w:p>
        </w:tc>
        <w:tc>
          <w:tcPr>
            <w:tcW w:w="5580" w:type="dxa"/>
            <w:vAlign w:val="bottom"/>
            <w:gridSpan w:val="2"/>
          </w:tcPr>
          <w:p>
            <w:pPr>
              <w:spacing w:after="0" w:line="216" w:lineRule="exact"/>
              <w:rPr>
                <w:sz w:val="20"/>
                <w:szCs w:val="20"/>
                <w:color w:val="auto"/>
              </w:rPr>
            </w:pPr>
            <w:r>
              <w:rPr>
                <w:rFonts w:ascii="Arial" w:cs="Arial" w:eastAsia="Arial" w:hAnsi="Arial"/>
                <w:sz w:val="18"/>
                <w:szCs w:val="18"/>
                <w:color w:val="auto"/>
              </w:rPr>
              <w:t>Metastatic melanoma (with varlilumab or CPI</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Phase 2</w:t>
            </w:r>
          </w:p>
        </w:tc>
        <w:tc>
          <w:tcPr>
            <w:tcW w:w="1320" w:type="dxa"/>
            <w:vAlign w:val="bottom"/>
          </w:tcPr>
          <w:p>
            <w:pPr>
              <w:ind w:left="20"/>
              <w:spacing w:after="0"/>
              <w:rPr>
                <w:sz w:val="20"/>
                <w:szCs w:val="20"/>
                <w:color w:val="auto"/>
              </w:rPr>
            </w:pPr>
            <w:r>
              <w:rPr>
                <w:rFonts w:ascii="Arial" w:cs="Arial" w:eastAsia="Arial" w:hAnsi="Arial"/>
                <w:sz w:val="18"/>
                <w:szCs w:val="18"/>
                <w:color w:val="auto"/>
              </w:rPr>
              <w:t>Celldex</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Varlilumab</w:t>
            </w: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 solid tumors (with nivolumab)</w:t>
            </w:r>
          </w:p>
        </w:tc>
        <w:tc>
          <w:tcPr>
            <w:tcW w:w="15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4"/>
              </w:rPr>
              <w:t>Phase 2</w:t>
            </w:r>
          </w:p>
        </w:tc>
        <w:tc>
          <w:tcPr>
            <w:tcW w:w="132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Celldex</w:t>
            </w:r>
            <w:r>
              <w:rPr>
                <w:rFonts w:ascii="Arial" w:cs="Arial" w:eastAsia="Arial" w:hAnsi="Arial"/>
                <w:sz w:val="23"/>
                <w:szCs w:val="23"/>
                <w:color w:val="auto"/>
                <w:vertAlign w:val="superscript"/>
              </w:rPr>
              <w:t>2</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CDX-3379</w:t>
            </w:r>
          </w:p>
        </w:tc>
        <w:tc>
          <w:tcPr>
            <w:tcW w:w="5580" w:type="dxa"/>
            <w:vAlign w:val="bottom"/>
            <w:gridSpan w:val="2"/>
          </w:tcPr>
          <w:p>
            <w:pPr>
              <w:spacing w:after="0"/>
              <w:rPr>
                <w:sz w:val="20"/>
                <w:szCs w:val="20"/>
                <w:color w:val="auto"/>
              </w:rPr>
            </w:pPr>
            <w:r>
              <w:rPr>
                <w:rFonts w:ascii="Arial" w:cs="Arial" w:eastAsia="Arial" w:hAnsi="Arial"/>
                <w:sz w:val="18"/>
                <w:szCs w:val="18"/>
                <w:color w:val="auto"/>
              </w:rPr>
              <w:t>Head and neck squamous cell cancer (with cetuximab)</w:t>
            </w:r>
          </w:p>
        </w:tc>
        <w:tc>
          <w:tcPr>
            <w:tcW w:w="1540" w:type="dxa"/>
            <w:vAlign w:val="bottom"/>
            <w:gridSpan w:val="2"/>
          </w:tcPr>
          <w:p>
            <w:pPr>
              <w:jc w:val="center"/>
              <w:ind w:right="240"/>
              <w:spacing w:after="0" w:line="216" w:lineRule="exact"/>
              <w:rPr>
                <w:sz w:val="20"/>
                <w:szCs w:val="20"/>
                <w:color w:val="auto"/>
              </w:rPr>
            </w:pPr>
            <w:r>
              <w:rPr>
                <w:rFonts w:ascii="Arial" w:cs="Arial" w:eastAsia="Arial" w:hAnsi="Arial"/>
                <w:sz w:val="18"/>
                <w:szCs w:val="18"/>
                <w:color w:val="auto"/>
                <w:w w:val="83"/>
              </w:rPr>
              <w:t>Phase 2</w:t>
            </w:r>
            <w:r>
              <w:rPr>
                <w:rFonts w:ascii="Arial" w:cs="Arial" w:eastAsia="Arial" w:hAnsi="Arial"/>
                <w:sz w:val="23"/>
                <w:szCs w:val="23"/>
                <w:color w:val="auto"/>
                <w:w w:val="83"/>
                <w:vertAlign w:val="superscript"/>
              </w:rPr>
              <w:t>3</w:t>
            </w:r>
          </w:p>
        </w:tc>
        <w:tc>
          <w:tcPr>
            <w:tcW w:w="1320" w:type="dxa"/>
            <w:vAlign w:val="bottom"/>
          </w:tcPr>
          <w:p>
            <w:pPr>
              <w:ind w:left="20"/>
              <w:spacing w:after="0"/>
              <w:rPr>
                <w:sz w:val="20"/>
                <w:szCs w:val="20"/>
                <w:color w:val="auto"/>
              </w:rPr>
            </w:pPr>
            <w:r>
              <w:rPr>
                <w:rFonts w:ascii="Arial" w:cs="Arial" w:eastAsia="Arial" w:hAnsi="Arial"/>
                <w:sz w:val="18"/>
                <w:szCs w:val="18"/>
                <w:color w:val="auto"/>
              </w:rPr>
              <w:t>Celldex</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CDX-014</w:t>
            </w: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Renal cell carcinoma</w:t>
            </w:r>
          </w:p>
        </w:tc>
        <w:tc>
          <w:tcPr>
            <w:tcW w:w="15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4"/>
              </w:rPr>
              <w:t>Phase 1</w:t>
            </w: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Celldex</w:t>
            </w:r>
          </w:p>
        </w:tc>
      </w:tr>
      <w:tr>
        <w:trPr>
          <w:trHeight w:val="305"/>
        </w:trPr>
        <w:tc>
          <w:tcPr>
            <w:tcW w:w="2980" w:type="dxa"/>
            <w:vAlign w:val="bottom"/>
            <w:gridSpan w:val="2"/>
          </w:tcPr>
          <w:p>
            <w:pPr>
              <w:spacing w:after="0"/>
              <w:rPr>
                <w:sz w:val="20"/>
                <w:szCs w:val="20"/>
                <w:color w:val="auto"/>
              </w:rPr>
            </w:pPr>
            <w:r>
              <w:rPr>
                <w:rFonts w:ascii="Arial" w:cs="Arial" w:eastAsia="Arial" w:hAnsi="Arial"/>
                <w:sz w:val="18"/>
                <w:szCs w:val="18"/>
                <w:color w:val="auto"/>
              </w:rPr>
              <w:t>CDX-1140</w:t>
            </w:r>
          </w:p>
        </w:tc>
        <w:tc>
          <w:tcPr>
            <w:tcW w:w="5580" w:type="dxa"/>
            <w:vAlign w:val="bottom"/>
            <w:gridSpan w:val="2"/>
          </w:tcPr>
          <w:p>
            <w:pPr>
              <w:spacing w:after="0"/>
              <w:rPr>
                <w:sz w:val="20"/>
                <w:szCs w:val="20"/>
                <w:color w:val="auto"/>
              </w:rPr>
            </w:pPr>
            <w:r>
              <w:rPr>
                <w:rFonts w:ascii="Arial" w:cs="Arial" w:eastAsia="Arial" w:hAnsi="Arial"/>
                <w:sz w:val="18"/>
                <w:szCs w:val="18"/>
                <w:color w:val="auto"/>
              </w:rPr>
              <w:t>Multiple solid tumors</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Phase 1</w:t>
            </w:r>
            <w:r>
              <w:rPr>
                <w:rFonts w:ascii="Arial" w:cs="Arial" w:eastAsia="Arial" w:hAnsi="Arial"/>
                <w:sz w:val="23"/>
                <w:szCs w:val="23"/>
                <w:color w:val="auto"/>
                <w:w w:val="83"/>
                <w:vertAlign w:val="superscript"/>
              </w:rPr>
              <w:t>3</w:t>
            </w:r>
          </w:p>
        </w:tc>
        <w:tc>
          <w:tcPr>
            <w:tcW w:w="1320" w:type="dxa"/>
            <w:vAlign w:val="bottom"/>
          </w:tcPr>
          <w:p>
            <w:pPr>
              <w:ind w:left="20"/>
              <w:spacing w:after="0"/>
              <w:rPr>
                <w:sz w:val="20"/>
                <w:szCs w:val="20"/>
                <w:color w:val="auto"/>
              </w:rPr>
            </w:pPr>
            <w:r>
              <w:rPr>
                <w:rFonts w:ascii="Arial" w:cs="Arial" w:eastAsia="Arial" w:hAnsi="Arial"/>
                <w:sz w:val="18"/>
                <w:szCs w:val="18"/>
                <w:color w:val="auto"/>
              </w:rPr>
              <w:t>Celldex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checkpoint inhibitor;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BMS collaboration; </w:t>
      </w:r>
      <w:r>
        <w:rPr>
          <w:rFonts w:ascii="Arial" w:cs="Arial" w:eastAsia="Arial" w:hAnsi="Arial"/>
          <w:sz w:val="23"/>
          <w:szCs w:val="23"/>
          <w:color w:val="auto"/>
          <w:vertAlign w:val="superscript"/>
        </w:rPr>
        <w:t>3</w:t>
      </w:r>
      <w:r>
        <w:rPr>
          <w:rFonts w:ascii="Arial" w:cs="Arial" w:eastAsia="Arial" w:hAnsi="Arial"/>
          <w:sz w:val="18"/>
          <w:szCs w:val="18"/>
          <w:color w:val="auto"/>
        </w:rPr>
        <w:t>expected to initiate by year-end 2017</w:t>
      </w:r>
    </w:p>
    <w:p>
      <w:pPr>
        <w:spacing w:after="0" w:line="168"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We also routinely work with external parties, such as government agencies, to collaboratively advance our drug candidates. The following pipeline reflects clinical trials of our drug candidates being actively pursued by outside organizations. In addition to the studies listed below, we also have an Investigator Initiated Research (IIR) program with seven studies ongoing with our drug candidates and additional studies currently under consideration.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20"/>
                <w:szCs w:val="20"/>
                <w:color w:val="auto"/>
              </w:rPr>
            </w:pPr>
            <w:r>
              <w:rPr>
                <w:rFonts w:ascii="Arial" w:cs="Arial" w:eastAsia="Arial" w:hAnsi="Arial"/>
                <w:sz w:val="14"/>
                <w:szCs w:val="14"/>
                <w:b w:val="1"/>
                <w:bCs w:val="1"/>
                <w:color w:val="auto"/>
              </w:rPr>
              <w:t>Product (generic)</w:t>
            </w:r>
          </w:p>
        </w:tc>
        <w:tc>
          <w:tcPr>
            <w:tcW w:w="320" w:type="dxa"/>
            <w:vAlign w:val="bottom"/>
          </w:tcPr>
          <w:p>
            <w:pPr>
              <w:spacing w:after="0"/>
              <w:rPr>
                <w:sz w:val="14"/>
                <w:szCs w:val="14"/>
                <w:color w:val="auto"/>
              </w:rPr>
            </w:pPr>
          </w:p>
        </w:tc>
        <w:tc>
          <w:tcPr>
            <w:tcW w:w="3540" w:type="dxa"/>
            <w:vAlign w:val="bottom"/>
            <w:gridSpan w:val="2"/>
          </w:tcPr>
          <w:p>
            <w:pPr>
              <w:ind w:left="1120"/>
              <w:spacing w:after="0"/>
              <w:rPr>
                <w:sz w:val="20"/>
                <w:szCs w:val="20"/>
                <w:color w:val="auto"/>
              </w:rPr>
            </w:pPr>
            <w:r>
              <w:rPr>
                <w:rFonts w:ascii="Arial" w:cs="Arial" w:eastAsia="Arial" w:hAnsi="Arial"/>
                <w:sz w:val="14"/>
                <w:szCs w:val="14"/>
                <w:b w:val="1"/>
                <w:bCs w:val="1"/>
                <w:color w:val="auto"/>
              </w:rPr>
              <w:t>Indication/Field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Status</w:t>
            </w:r>
          </w:p>
        </w:tc>
        <w:tc>
          <w:tcPr>
            <w:tcW w:w="320" w:type="dxa"/>
            <w:vAlign w:val="bottom"/>
          </w:tcPr>
          <w:p>
            <w:pPr>
              <w:spacing w:after="0"/>
              <w:rPr>
                <w:sz w:val="14"/>
                <w:szCs w:val="14"/>
                <w:color w:val="auto"/>
              </w:rPr>
            </w:pPr>
          </w:p>
        </w:tc>
        <w:tc>
          <w:tcPr>
            <w:tcW w:w="1940" w:type="dxa"/>
            <w:vAlign w:val="bottom"/>
          </w:tcPr>
          <w:p>
            <w:pPr>
              <w:ind w:left="720"/>
              <w:spacing w:after="0"/>
              <w:rPr>
                <w:sz w:val="20"/>
                <w:szCs w:val="20"/>
                <w:color w:val="auto"/>
              </w:rPr>
            </w:pPr>
            <w:r>
              <w:rPr>
                <w:rFonts w:ascii="Arial" w:cs="Arial" w:eastAsia="Arial" w:hAnsi="Arial"/>
                <w:sz w:val="14"/>
                <w:szCs w:val="14"/>
                <w:b w:val="1"/>
                <w:bCs w:val="1"/>
                <w:color w:val="auto"/>
              </w:rPr>
              <w:t>Sponsor</w:t>
            </w: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Glembatumumab vedotin</w:t>
            </w:r>
          </w:p>
        </w:tc>
        <w:tc>
          <w:tcPr>
            <w:tcW w:w="32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Uveal melanoma</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1"/>
              </w:rPr>
              <w:t>Phase 2</w:t>
            </w: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NCI (CRADA)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Glembatumumab vedotin</w:t>
            </w:r>
          </w:p>
        </w:tc>
        <w:tc>
          <w:tcPr>
            <w:tcW w:w="3860" w:type="dxa"/>
            <w:vAlign w:val="bottom"/>
            <w:gridSpan w:val="3"/>
          </w:tcPr>
          <w:p>
            <w:pPr>
              <w:ind w:left="320"/>
              <w:spacing w:after="0"/>
              <w:rPr>
                <w:sz w:val="20"/>
                <w:szCs w:val="20"/>
                <w:color w:val="auto"/>
              </w:rPr>
            </w:pPr>
            <w:r>
              <w:rPr>
                <w:rFonts w:ascii="Arial" w:cs="Arial" w:eastAsia="Arial" w:hAnsi="Arial"/>
                <w:sz w:val="18"/>
                <w:szCs w:val="18"/>
                <w:color w:val="auto"/>
              </w:rPr>
              <w:t>Squamous cell lung cancer</w:t>
            </w:r>
          </w:p>
        </w:tc>
        <w:tc>
          <w:tcPr>
            <w:tcW w:w="1220" w:type="dxa"/>
            <w:vAlign w:val="bottom"/>
          </w:tcPr>
          <w:p>
            <w:pPr>
              <w:jc w:val="center"/>
              <w:spacing w:after="0"/>
              <w:rPr>
                <w:sz w:val="20"/>
                <w:szCs w:val="20"/>
                <w:color w:val="auto"/>
              </w:rPr>
            </w:pPr>
            <w:r>
              <w:rPr>
                <w:rFonts w:ascii="Arial" w:cs="Arial" w:eastAsia="Arial" w:hAnsi="Arial"/>
                <w:sz w:val="18"/>
                <w:szCs w:val="18"/>
                <w:color w:val="auto"/>
                <w:w w:val="81"/>
              </w:rPr>
              <w:t>Phase 2</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PrECOG, LLC</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CDX-1401/CDX-301</w:t>
            </w:r>
          </w:p>
        </w:tc>
        <w:tc>
          <w:tcPr>
            <w:tcW w:w="3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Malignant melanoma</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Phase 2</w:t>
            </w:r>
          </w:p>
        </w:tc>
        <w:tc>
          <w:tcPr>
            <w:tcW w:w="2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NCI (CRADA)</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CDX-1401/atezolizumab/SGI-110</w:t>
            </w:r>
          </w:p>
        </w:tc>
        <w:tc>
          <w:tcPr>
            <w:tcW w:w="3860" w:type="dxa"/>
            <w:vAlign w:val="bottom"/>
            <w:gridSpan w:val="3"/>
          </w:tcPr>
          <w:p>
            <w:pPr>
              <w:ind w:left="320"/>
              <w:spacing w:after="0"/>
              <w:rPr>
                <w:sz w:val="20"/>
                <w:szCs w:val="20"/>
                <w:color w:val="auto"/>
              </w:rPr>
            </w:pPr>
            <w:r>
              <w:rPr>
                <w:rFonts w:ascii="Arial" w:cs="Arial" w:eastAsia="Arial" w:hAnsi="Arial"/>
                <w:sz w:val="18"/>
                <w:szCs w:val="18"/>
                <w:color w:val="auto"/>
              </w:rPr>
              <w:t>Ovarian cancer</w:t>
            </w:r>
          </w:p>
        </w:tc>
        <w:tc>
          <w:tcPr>
            <w:tcW w:w="1220" w:type="dxa"/>
            <w:vAlign w:val="bottom"/>
          </w:tcPr>
          <w:p>
            <w:pPr>
              <w:jc w:val="center"/>
              <w:spacing w:after="0"/>
              <w:rPr>
                <w:sz w:val="20"/>
                <w:szCs w:val="20"/>
                <w:color w:val="auto"/>
              </w:rPr>
            </w:pPr>
            <w:r>
              <w:rPr>
                <w:rFonts w:ascii="Arial" w:cs="Arial" w:eastAsia="Arial" w:hAnsi="Arial"/>
                <w:sz w:val="18"/>
                <w:szCs w:val="18"/>
                <w:color w:val="auto"/>
                <w:w w:val="81"/>
              </w:rPr>
              <w:t>Phase 1</w:t>
            </w:r>
          </w:p>
        </w:tc>
        <w:tc>
          <w:tcPr>
            <w:tcW w:w="2260" w:type="dxa"/>
            <w:vAlign w:val="bottom"/>
            <w:gridSpan w:val="2"/>
          </w:tcPr>
          <w:p>
            <w:pPr>
              <w:ind w:left="320"/>
              <w:spacing w:after="0"/>
              <w:rPr>
                <w:sz w:val="20"/>
                <w:szCs w:val="20"/>
                <w:color w:val="auto"/>
              </w:rPr>
            </w:pPr>
            <w:r>
              <w:rPr>
                <w:rFonts w:ascii="Arial" w:cs="Arial" w:eastAsia="Arial" w:hAnsi="Arial"/>
                <w:sz w:val="18"/>
                <w:szCs w:val="18"/>
                <w:color w:val="auto"/>
              </w:rPr>
              <w:t>NCI (CRADA)</w:t>
            </w:r>
          </w:p>
        </w:tc>
      </w:tr>
    </w:tbl>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each take five years or more and for total development costs to exceed $100 million for each product candidate. We estimate that clinical trials of the type we generally conduct are typically completed over the following timelines: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Completion</w:t>
            </w:r>
          </w:p>
        </w:tc>
        <w:tc>
          <w:tcPr>
            <w:tcW w:w="0" w:type="dxa"/>
            <w:vAlign w:val="bottom"/>
          </w:tcPr>
          <w:p>
            <w:pPr>
              <w:spacing w:after="0"/>
              <w:rPr>
                <w:sz w:val="1"/>
                <w:szCs w:val="1"/>
                <w:color w:val="auto"/>
              </w:rPr>
            </w:pPr>
          </w:p>
        </w:tc>
      </w:tr>
      <w:tr>
        <w:trPr>
          <w:trHeight w:val="171"/>
        </w:trPr>
        <w:tc>
          <w:tcPr>
            <w:tcW w:w="9940" w:type="dxa"/>
            <w:vAlign w:val="bottom"/>
            <w:gridSpan w:val="2"/>
            <w:vMerge w:val="continue"/>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1 - 2 Years</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ectPr>
          <w:pgSz w:w="11900" w:h="16838" w:orient="portrait"/>
          <w:cols w:equalWidth="0" w:num="1">
            <w:col w:w="11420"/>
          </w:cols>
          <w:pgMar w:left="240" w:top="341" w:right="239" w:bottom="167" w:gutter="0" w:footer="0" w:header="0"/>
        </w:sectPr>
      </w:pPr>
    </w:p>
    <w:bookmarkStart w:id="12" w:name="page13"/>
    <w:bookmarkEnd w:id="12"/>
    <w:p>
      <w:pPr>
        <w:ind w:right="80" w:firstLine="648"/>
        <w:spacing w:after="0" w:line="264"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To the extent we are unable to maintain a broad range of product candidates, our dependence on the success of one or a few product candidates increases.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the past five years through December 31, 2016, we incurred an aggregate of $422.1 million in research and development expenses. The following table indicates the amount incurred for each of our significant research programs and for other identified research and development activities during the nine months ended September 30, 2017 and 2016. The amounts disclosed in the following table reflect direct research and development costs, license fees associated with the underlying technology and an allocation of indirect research and development costs to each program.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9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6"/>
              </w:rPr>
              <w:t>Nine Months Ended September 30,</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40" w:type="dxa"/>
            <w:vAlign w:val="bottom"/>
            <w:tcBorders>
              <w:bottom w:val="single" w:sz="8" w:color="auto"/>
            </w:tcBorders>
          </w:tcPr>
          <w:p>
            <w:pPr>
              <w:ind w:left="660"/>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9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60" w:type="dxa"/>
            <w:vAlign w:val="bottom"/>
            <w:gridSpan w:val="4"/>
          </w:tcPr>
          <w:p>
            <w:pPr>
              <w:jc w:val="right"/>
              <w:ind w:right="67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Glembatumumab vedotin</w:t>
            </w:r>
          </w:p>
        </w:tc>
        <w:tc>
          <w:tcPr>
            <w:tcW w:w="3940" w:type="dxa"/>
            <w:vAlign w:val="bottom"/>
            <w:gridSpan w:val="2"/>
            <w:shd w:val="clear" w:color="auto" w:fill="CCEEFF"/>
          </w:tcPr>
          <w:p>
            <w:pPr>
              <w:jc w:val="right"/>
              <w:ind w:right="86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26,240</w:t>
            </w:r>
          </w:p>
        </w:tc>
        <w:tc>
          <w:tcPr>
            <w:tcW w:w="1000" w:type="dxa"/>
            <w:vAlign w:val="bottom"/>
            <w:gridSpan w:val="2"/>
            <w:shd w:val="clear" w:color="auto" w:fill="CCEEFF"/>
          </w:tcPr>
          <w:p>
            <w:pPr>
              <w:jc w:val="right"/>
              <w:ind w:right="870"/>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20,577</w:t>
            </w:r>
          </w:p>
        </w:tc>
        <w:tc>
          <w:tcPr>
            <w:tcW w:w="80" w:type="dxa"/>
            <w:vAlign w:val="bottom"/>
            <w:shd w:val="clear" w:color="auto" w:fill="CCEEFF"/>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Varlilumab</w:t>
            </w:r>
          </w:p>
        </w:tc>
        <w:tc>
          <w:tcPr>
            <w:tcW w:w="2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11,956</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22,777</w:t>
            </w: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Anti-KIT Program</w:t>
            </w:r>
          </w:p>
        </w:tc>
        <w:tc>
          <w:tcPr>
            <w:tcW w:w="2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3,223</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CDX-3379</w:t>
            </w:r>
          </w:p>
        </w:tc>
        <w:tc>
          <w:tcPr>
            <w:tcW w:w="2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3,611</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CDX-014</w:t>
            </w:r>
          </w:p>
        </w:tc>
        <w:tc>
          <w:tcPr>
            <w:tcW w:w="2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1,925</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3,059</w:t>
            </w:r>
          </w:p>
        </w:tc>
        <w:tc>
          <w:tcPr>
            <w:tcW w:w="80" w:type="dxa"/>
            <w:vAlign w:val="bottom"/>
            <w:shd w:val="clear" w:color="auto" w:fill="CCEEFF"/>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CDX-1401</w:t>
            </w:r>
          </w:p>
        </w:tc>
        <w:tc>
          <w:tcPr>
            <w:tcW w:w="2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3,804</w:t>
            </w: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CDX-301</w:t>
            </w:r>
          </w:p>
        </w:tc>
        <w:tc>
          <w:tcPr>
            <w:tcW w:w="2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1,058</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3,402</w:t>
            </w:r>
          </w:p>
        </w:tc>
        <w:tc>
          <w:tcPr>
            <w:tcW w:w="80" w:type="dxa"/>
            <w:vAlign w:val="bottom"/>
            <w:shd w:val="clear" w:color="auto" w:fill="CCEEFF"/>
          </w:tcPr>
          <w:p>
            <w:pPr>
              <w:spacing w:after="0"/>
              <w:rPr>
                <w:sz w:val="18"/>
                <w:szCs w:val="18"/>
                <w:color w:val="auto"/>
              </w:rPr>
            </w:pP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CDX-1140</w:t>
            </w:r>
          </w:p>
        </w:tc>
        <w:tc>
          <w:tcPr>
            <w:tcW w:w="2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5,788</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1,642</w:t>
            </w: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TAM Program</w:t>
            </w:r>
          </w:p>
        </w:tc>
        <w:tc>
          <w:tcPr>
            <w:tcW w:w="2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3,914</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ind w:left="200"/>
              <w:spacing w:after="0"/>
              <w:rPr>
                <w:sz w:val="20"/>
                <w:szCs w:val="20"/>
                <w:color w:val="auto"/>
              </w:rPr>
            </w:pPr>
            <w:r>
              <w:rPr>
                <w:rFonts w:ascii="Arial" w:cs="Arial" w:eastAsia="Arial" w:hAnsi="Arial"/>
                <w:sz w:val="18"/>
                <w:szCs w:val="18"/>
                <w:color w:val="auto"/>
              </w:rPr>
              <w:t>Rintega</w:t>
            </w:r>
          </w:p>
        </w:tc>
        <w:tc>
          <w:tcPr>
            <w:tcW w:w="2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1,429</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14,624</w:t>
            </w:r>
          </w:p>
        </w:tc>
        <w:tc>
          <w:tcPr>
            <w:tcW w:w="80" w:type="dxa"/>
            <w:vAlign w:val="bottom"/>
          </w:tcPr>
          <w:p>
            <w:pPr>
              <w:spacing w:after="0"/>
              <w:rPr>
                <w:sz w:val="18"/>
                <w:szCs w:val="18"/>
                <w:color w:val="auto"/>
              </w:rPr>
            </w:pPr>
          </w:p>
        </w:tc>
      </w:tr>
      <w:tr>
        <w:trPr>
          <w:trHeight w:val="216"/>
        </w:trPr>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Programs</w:t>
            </w:r>
          </w:p>
        </w:tc>
        <w:tc>
          <w:tcPr>
            <w:tcW w:w="2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12,946</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8,283</w:t>
            </w:r>
          </w:p>
        </w:tc>
        <w:tc>
          <w:tcPr>
            <w:tcW w:w="80" w:type="dxa"/>
            <w:vAlign w:val="bottom"/>
            <w:shd w:val="clear" w:color="auto" w:fill="CCEEFF"/>
          </w:tcPr>
          <w:p>
            <w:pPr>
              <w:spacing w:after="0"/>
              <w:rPr>
                <w:sz w:val="18"/>
                <w:szCs w:val="18"/>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Total R&amp;D Expense</w:t>
            </w:r>
          </w:p>
        </w:tc>
        <w:tc>
          <w:tcPr>
            <w:tcW w:w="29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72,707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ind w:firstLine="648"/>
        <w:spacing w:after="0" w:line="245" w:lineRule="auto"/>
        <w:rPr>
          <w:sz w:val="20"/>
          <w:szCs w:val="20"/>
          <w:color w:val="auto"/>
        </w:rPr>
      </w:pPr>
      <w:r>
        <w:rPr>
          <w:rFonts w:ascii="Arial" w:cs="Arial" w:eastAsia="Arial" w:hAnsi="Arial"/>
          <w:sz w:val="17"/>
          <w:szCs w:val="17"/>
          <w:color w:val="auto"/>
        </w:rPr>
        <w:t>Glembatumumab vedotin is an antibody-drug conjugate, or ADC, that consists of a fully human monoclonal antibody, CR011, linked to a potent cell-killing drug, monomethyl auristatin E, or MMAE. The CR011 antibody specifically targets glycoprotein NMB, referred to as gpNMB, that is over-expressed in a variety of cancers including breast cancer, melanoma, non-small cell lung cancer, uveal melanoma and osteosarcoma, among others. The ADC technology, comprised of MMAE and a stable linker system for attaching it to CR011, was licensed from Seattle Genetics, Inc. and is the same as that used in the marketed product Adcetris</w:t>
      </w:r>
      <w:r>
        <w:rPr>
          <w:rFonts w:ascii="Arial" w:cs="Arial" w:eastAsia="Arial" w:hAnsi="Arial"/>
          <w:sz w:val="34"/>
          <w:szCs w:val="34"/>
          <w:color w:val="auto"/>
          <w:vertAlign w:val="superscript"/>
        </w:rPr>
        <w:t>®</w:t>
      </w:r>
      <w:r>
        <w:rPr>
          <w:rFonts w:ascii="Arial" w:cs="Arial" w:eastAsia="Arial" w:hAnsi="Arial"/>
          <w:sz w:val="17"/>
          <w:szCs w:val="17"/>
          <w:color w:val="auto"/>
        </w:rPr>
        <w:t>.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Glembatumumab vedotin is being studied across multiple indications in company-sponsored trials and in collaborative studies with external parties. The U.S. Food and Drug Administration, or FDA, has granted Fast Track designation to glembatumumab vedotin for the treatment of advanced, refractory/resistant gpNMB-expressing breast cancer. A companion diagnostic is in development for certain indications, and we expect that, if necessary, such a companion diagnostic must be approved by the FDA or certain other foreign regulatory agencies before glembatumumab vedotin may be commercialized in those indications.</w:t>
      </w:r>
    </w:p>
    <w:p>
      <w:pPr>
        <w:spacing w:after="0" w:line="194" w:lineRule="exact"/>
        <w:rPr>
          <w:sz w:val="20"/>
          <w:szCs w:val="20"/>
          <w:color w:val="auto"/>
        </w:rPr>
      </w:pPr>
    </w:p>
    <w:p>
      <w:pPr>
        <w:ind w:right="200" w:firstLine="648"/>
        <w:spacing w:after="0" w:line="295" w:lineRule="auto"/>
        <w:rPr>
          <w:sz w:val="20"/>
          <w:szCs w:val="20"/>
          <w:color w:val="auto"/>
        </w:rPr>
      </w:pPr>
      <w:r>
        <w:rPr>
          <w:rFonts w:ascii="Arial" w:cs="Arial" w:eastAsia="Arial" w:hAnsi="Arial"/>
          <w:sz w:val="16"/>
          <w:szCs w:val="16"/>
          <w:b w:val="1"/>
          <w:bCs w:val="1"/>
          <w:color w:val="auto"/>
        </w:rPr>
        <w:t xml:space="preserve">Treatment of Metastatic Breast Cancer: </w:t>
      </w:r>
      <w:r>
        <w:rPr>
          <w:rFonts w:ascii="Arial" w:cs="Arial" w:eastAsia="Arial" w:hAnsi="Arial"/>
          <w:sz w:val="16"/>
          <w:szCs w:val="16"/>
          <w:color w:val="auto"/>
        </w:rPr>
        <w:t>The Phase 1/2 study of glembatumumab vedotin administered intravenously once every three weeks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evaluated patients with locally advanced or metastatic breast cancer (MBC) who had received prior therapy (median of seven prior regimens). Results were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September 2014. The study began with a bridging phase to confirm the maximum tolerated dose, or MTD, and then expanded into a Phase 2 open-label, multi-center study. The study supported an acceptable safety profile of glembatumumab vedotin at the pre-defined maximum dose level (1.88 mg/kg) in 6 patients. An additional 28 patients with MBC were enrolled in an expanded Phase 2 cohort (for a total of 34 treated patients at 1.88 mg/kg, the Phase 2 dose) to evaluate the progression-free survival (PFS) rate at 12 weeks. The 1.88 mg/kg dose exhibited an</w:t>
      </w:r>
    </w:p>
    <w:p>
      <w:pPr>
        <w:sectPr>
          <w:pgSz w:w="11900" w:h="16838" w:orient="portrait"/>
          <w:cols w:equalWidth="0" w:num="1">
            <w:col w:w="11420"/>
          </w:cols>
          <w:pgMar w:left="240" w:top="125" w:right="239" w:bottom="0" w:gutter="0" w:footer="0" w:header="0"/>
        </w:sectPr>
      </w:pPr>
    </w:p>
    <w:bookmarkStart w:id="13" w:name="page14"/>
    <w:bookmarkEnd w:id="13"/>
    <w:p>
      <w:pPr>
        <w:spacing w:after="0" w:line="7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acceptable safety profile in this patient population with the most common adverse events being rash, neuropathy and fatigue. The primary anti-cancer activity endpoint, which called for at least 5 of 25 (20%) patients in the Phase 2 study portion to be progression-free at 12 weeks, was met as 9 of 27 (33%) evaluable patients were progression-free at 12 weeks. For all patients treated at the Phase 2 dose, median PFS was 9.1 weeks.</w:t>
      </w:r>
    </w:p>
    <w:p>
      <w:pPr>
        <w:spacing w:after="0" w:line="16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 subset of 10 patients had “triple negative disease,” a more aggressive metastatic breast cancer subtype that carries a high risk of relapse and reduced survival as well as limited therapeutic options. In these patients, the 12-week PFS rate was 60% (6/10), and median PFS was 17.9 weeks. Tumor samples from a subset of patients across all dose groups were analyzed for gpNMB expression. The tumor samples from most patients showed evidence of stromal and/or tumor cell expression of gpNMB.</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The subsequent EMERGE study was a randomized, multi-center Phase 2b study of glembatumumab vedotin in 124 patients with heavily pre-treated, advanced, gpNMB-positive breast cancer. Results from EMERGE were published in the </w:t>
      </w:r>
      <w:r>
        <w:rPr>
          <w:rFonts w:ascii="Arial" w:cs="Arial" w:eastAsia="Arial" w:hAnsi="Arial"/>
          <w:sz w:val="16"/>
          <w:szCs w:val="16"/>
          <w:i w:val="1"/>
          <w:iCs w:val="1"/>
          <w:color w:val="auto"/>
        </w:rPr>
        <w:t>Journal of Clinical Oncology</w:t>
      </w:r>
      <w:r>
        <w:rPr>
          <w:rFonts w:ascii="Arial" w:cs="Arial" w:eastAsia="Arial" w:hAnsi="Arial"/>
          <w:sz w:val="16"/>
          <w:szCs w:val="16"/>
          <w:color w:val="auto"/>
        </w:rPr>
        <w:t xml:space="preserve"> in April 2015. Patients were randomized (2:1) to receive either glembatumumab vedotin or single-agent Investigator’s Choice chemotherapy. Patients randomized to receive Investigator’s Choice were allowed to cross over to receive glembatumumab vedotin following disease progression. Activity endpoints included response rate, PFS and overall survival (OS). The final study results, as shown below, suggested that glembatumumab vedotin induced significant response rates compared to currently available therapies in patient subsets with advanced, refractory breast cancers with high gpNMB expression (expression in at least 25% of tumor cells) and in patients with triple negative breast cancer. The OS and PFS of patients treated with glembatumumab vedotin were also observed to be greatest in patients with high gpNMB expression and, in particular, in patients with triple negative breast cancer who also had high gpNMB expression.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Overall Response Rate and Disease Control Data (Intent-to-Treat Population)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Triple Negative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3300" w:type="dxa"/>
            <w:vAlign w:val="bottom"/>
            <w:gridSpan w:val="4"/>
            <w:vMerge w:val="restart"/>
          </w:tcPr>
          <w:p>
            <w:pPr>
              <w:jc w:val="right"/>
              <w:ind w:right="1020"/>
              <w:spacing w:after="0"/>
              <w:rPr>
                <w:sz w:val="20"/>
                <w:szCs w:val="20"/>
                <w:color w:val="auto"/>
              </w:rPr>
            </w:pPr>
            <w:r>
              <w:rPr>
                <w:rFonts w:ascii="Arial" w:cs="Arial" w:eastAsia="Arial" w:hAnsi="Arial"/>
                <w:sz w:val="14"/>
                <w:szCs w:val="14"/>
                <w:b w:val="1"/>
                <w:bCs w:val="1"/>
                <w:color w:val="auto"/>
              </w:rPr>
              <w:t>High gpNMB Expression</w:t>
            </w:r>
          </w:p>
        </w:tc>
        <w:tc>
          <w:tcPr>
            <w:tcW w:w="1840" w:type="dxa"/>
            <w:vAlign w:val="bottom"/>
            <w:gridSpan w:val="3"/>
          </w:tcPr>
          <w:p>
            <w:pPr>
              <w:jc w:val="center"/>
              <w:ind w:left="964"/>
              <w:spacing w:after="0" w:line="149" w:lineRule="exact"/>
              <w:rPr>
                <w:sz w:val="20"/>
                <w:szCs w:val="20"/>
                <w:color w:val="auto"/>
              </w:rPr>
            </w:pPr>
            <w:r>
              <w:rPr>
                <w:rFonts w:ascii="Arial" w:cs="Arial" w:eastAsia="Arial" w:hAnsi="Arial"/>
                <w:sz w:val="14"/>
                <w:szCs w:val="14"/>
                <w:b w:val="1"/>
                <w:bCs w:val="1"/>
                <w:color w:val="auto"/>
                <w:w w:val="97"/>
              </w:rPr>
              <w:t>and gpNMB</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3300" w:type="dxa"/>
            <w:vAlign w:val="bottom"/>
            <w:gridSpan w:val="4"/>
            <w:vMerge w:val="continue"/>
          </w:tcPr>
          <w:p>
            <w:pPr>
              <w:spacing w:after="0"/>
              <w:rPr>
                <w:sz w:val="14"/>
                <w:szCs w:val="14"/>
                <w:color w:val="auto"/>
              </w:rPr>
            </w:pPr>
          </w:p>
        </w:tc>
        <w:tc>
          <w:tcPr>
            <w:tcW w:w="3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Over-Expression</w:t>
            </w: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Glembatumumab</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Investigator’s</w:t>
            </w:r>
          </w:p>
        </w:tc>
        <w:tc>
          <w:tcPr>
            <w:tcW w:w="280" w:type="dxa"/>
            <w:vAlign w:val="bottom"/>
          </w:tcPr>
          <w:p>
            <w:pPr>
              <w:spacing w:after="0"/>
              <w:rPr>
                <w:sz w:val="10"/>
                <w:szCs w:val="10"/>
                <w:color w:val="auto"/>
              </w:rPr>
            </w:pPr>
          </w:p>
        </w:tc>
        <w:tc>
          <w:tcPr>
            <w:tcW w:w="1840" w:type="dxa"/>
            <w:vAlign w:val="bottom"/>
            <w:tcBorders>
              <w:top w:val="single" w:sz="8" w:color="auto"/>
            </w:tcBorders>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Glembatumumab</w:t>
            </w:r>
          </w:p>
        </w:tc>
        <w:tc>
          <w:tcPr>
            <w:tcW w:w="1060" w:type="dxa"/>
            <w:vAlign w:val="bottom"/>
            <w:tcBorders>
              <w:top w:val="single" w:sz="8" w:color="auto"/>
            </w:tcBorders>
          </w:tcPr>
          <w:p>
            <w:pPr>
              <w:jc w:val="center"/>
              <w:ind w:right="122"/>
              <w:spacing w:after="0" w:line="119" w:lineRule="exact"/>
              <w:rPr>
                <w:sz w:val="20"/>
                <w:szCs w:val="20"/>
                <w:color w:val="auto"/>
              </w:rPr>
            </w:pPr>
            <w:r>
              <w:rPr>
                <w:rFonts w:ascii="Arial" w:cs="Arial" w:eastAsia="Arial" w:hAnsi="Arial"/>
                <w:sz w:val="13"/>
                <w:szCs w:val="13"/>
                <w:b w:val="1"/>
                <w:bCs w:val="1"/>
                <w:color w:val="auto"/>
              </w:rPr>
              <w:t>Investigator’s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Vedotin</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Choice</w:t>
            </w:r>
          </w:p>
        </w:tc>
        <w:tc>
          <w:tcPr>
            <w:tcW w:w="18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Vedotin</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(n=23)</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(n=11)</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(n=10)</w:t>
            </w:r>
          </w:p>
        </w:tc>
        <w:tc>
          <w:tcPr>
            <w:tcW w:w="2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122"/>
              <w:spacing w:after="0" w:line="142" w:lineRule="exact"/>
              <w:rPr>
                <w:sz w:val="20"/>
                <w:szCs w:val="20"/>
                <w:color w:val="auto"/>
              </w:rPr>
            </w:pPr>
            <w:r>
              <w:rPr>
                <w:rFonts w:ascii="Arial" w:cs="Arial" w:eastAsia="Arial" w:hAnsi="Arial"/>
                <w:sz w:val="14"/>
                <w:szCs w:val="14"/>
                <w:b w:val="1"/>
                <w:bCs w:val="1"/>
                <w:color w:val="auto"/>
              </w:rPr>
              <w:t>(n=6)</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Response Rate</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Disease Control Rate</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Tumor response assessed by RECIST 1.1, inclusive of response observed at a single time point.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 Progression Free Survival (PFS) and Overall Survival (OS)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Triple Negative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78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High gpNMB Expression</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3"/>
          </w:tcPr>
          <w:p>
            <w:pPr>
              <w:jc w:val="center"/>
              <w:ind w:left="1021"/>
              <w:spacing w:after="0" w:line="149" w:lineRule="exact"/>
              <w:rPr>
                <w:sz w:val="20"/>
                <w:szCs w:val="20"/>
                <w:color w:val="auto"/>
              </w:rPr>
            </w:pPr>
            <w:r>
              <w:rPr>
                <w:rFonts w:ascii="Arial" w:cs="Arial" w:eastAsia="Arial" w:hAnsi="Arial"/>
                <w:sz w:val="14"/>
                <w:szCs w:val="14"/>
                <w:b w:val="1"/>
                <w:bCs w:val="1"/>
                <w:color w:val="auto"/>
                <w:w w:val="97"/>
              </w:rPr>
              <w:t>and gpNMB</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7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Over-Expression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Glembatumumab</w:t>
            </w:r>
          </w:p>
        </w:tc>
        <w:tc>
          <w:tcPr>
            <w:tcW w:w="1120" w:type="dxa"/>
            <w:vAlign w:val="bottom"/>
            <w:tcBorders>
              <w:top w:val="single" w:sz="8" w:color="auto"/>
            </w:tcBorders>
          </w:tcPr>
          <w:p>
            <w:pPr>
              <w:jc w:val="center"/>
              <w:ind w:left="171"/>
              <w:spacing w:after="0" w:line="119" w:lineRule="exact"/>
              <w:rPr>
                <w:sz w:val="20"/>
                <w:szCs w:val="20"/>
                <w:color w:val="auto"/>
              </w:rPr>
            </w:pPr>
            <w:r>
              <w:rPr>
                <w:rFonts w:ascii="Arial" w:cs="Arial" w:eastAsia="Arial" w:hAnsi="Arial"/>
                <w:sz w:val="13"/>
                <w:szCs w:val="13"/>
                <w:b w:val="1"/>
                <w:bCs w:val="1"/>
                <w:color w:val="auto"/>
                <w:w w:val="99"/>
              </w:rPr>
              <w:t>Investigator’s</w:t>
            </w:r>
          </w:p>
        </w:tc>
        <w:tc>
          <w:tcPr>
            <w:tcW w:w="2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rPr>
              <w:t>Glembatumumab</w:t>
            </w:r>
          </w:p>
        </w:tc>
        <w:tc>
          <w:tcPr>
            <w:tcW w:w="1120" w:type="dxa"/>
            <w:vAlign w:val="bottom"/>
            <w:tcBorders>
              <w:top w:val="single" w:sz="8" w:color="auto"/>
            </w:tcBorders>
          </w:tcPr>
          <w:p>
            <w:pPr>
              <w:jc w:val="center"/>
              <w:ind w:right="180"/>
              <w:spacing w:after="0" w:line="119" w:lineRule="exact"/>
              <w:rPr>
                <w:sz w:val="20"/>
                <w:szCs w:val="20"/>
                <w:color w:val="auto"/>
              </w:rPr>
            </w:pPr>
            <w:r>
              <w:rPr>
                <w:rFonts w:ascii="Arial" w:cs="Arial" w:eastAsia="Arial" w:hAnsi="Arial"/>
                <w:sz w:val="13"/>
                <w:szCs w:val="13"/>
                <w:b w:val="1"/>
                <w:bCs w:val="1"/>
                <w:color w:val="auto"/>
              </w:rPr>
              <w:t>Investigator’s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Vedotin</w:t>
            </w:r>
          </w:p>
        </w:tc>
        <w:tc>
          <w:tcPr>
            <w:tcW w:w="1120" w:type="dxa"/>
            <w:vAlign w:val="bottom"/>
          </w:tcPr>
          <w:p>
            <w:pPr>
              <w:jc w:val="center"/>
              <w:ind w:left="151"/>
              <w:spacing w:after="0"/>
              <w:rPr>
                <w:sz w:val="20"/>
                <w:szCs w:val="20"/>
                <w:color w:val="auto"/>
              </w:rPr>
            </w:pPr>
            <w:r>
              <w:rPr>
                <w:rFonts w:ascii="Arial" w:cs="Arial" w:eastAsia="Arial" w:hAnsi="Arial"/>
                <w:sz w:val="14"/>
                <w:szCs w:val="14"/>
                <w:b w:val="1"/>
                <w:bCs w:val="1"/>
                <w:color w:val="auto"/>
                <w:w w:val="89"/>
              </w:rPr>
              <w:t>Choice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3"/>
              </w:rPr>
              <w:t>Vedotin</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Choice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2.8</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p=0.18</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3"/>
          </w:tcPr>
          <w:p>
            <w:pPr>
              <w:jc w:val="center"/>
              <w:ind w:right="540"/>
              <w:spacing w:after="0"/>
              <w:rPr>
                <w:sz w:val="20"/>
                <w:szCs w:val="20"/>
                <w:color w:val="auto"/>
              </w:rPr>
            </w:pPr>
            <w:r>
              <w:rPr>
                <w:rFonts w:ascii="Arial" w:cs="Arial" w:eastAsia="Arial" w:hAnsi="Arial"/>
                <w:sz w:val="18"/>
                <w:szCs w:val="18"/>
                <w:color w:val="auto"/>
                <w:w w:val="89"/>
              </w:rPr>
              <w:t>p=0.0017</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Median OS (months)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5.7</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p=0.31</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center"/>
              <w:ind w:right="540"/>
              <w:spacing w:after="0"/>
              <w:rPr>
                <w:sz w:val="20"/>
                <w:szCs w:val="20"/>
                <w:color w:val="auto"/>
              </w:rPr>
            </w:pPr>
            <w:r>
              <w:rPr>
                <w:rFonts w:ascii="Arial" w:cs="Arial" w:eastAsia="Arial" w:hAnsi="Arial"/>
                <w:sz w:val="18"/>
                <w:szCs w:val="18"/>
                <w:color w:val="auto"/>
                <w:w w:val="91"/>
              </w:rPr>
              <w:t>p=0.003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December 2013, we initiated METRIC, a randomized, controlled Phase 2b study of glembatumumab vedotin in patients with triple negative breast cancer that over-expresses gpNMB. Clinical trial study sites were opened to enrollment across the U.S., Canada, Australia and the European Union. The METRIC protocol was amended in late 2014 based on feedback from clinical investigators conducting the study that the eligibility criteria for study entry were limiting their ability to enroll patients they felt were clinically appropriate. In addition, we had spoken to country-specific members of the European Medicines Agency, or EMA, and believed an opportunity existed to expand the study into the EU. The amendment expanded patient entry criteria to position it for the possibility of full marketing approval with global regulators, including the EMA, and to support improved enrollment in the study. The primary endpoint of the study is PFS, defined as the time from randomization to the earlier of disease progression or death due to any cause. PFS is an established endpoint for full approval registration studies in this patient population in both the U.S. and the EU. The sample size (n=300) and the secondary endpoint of OS remained unchanged. Since implementation of these changes, both the FDA and central European regulatory authorities have reviewed the protocol design, and we believe the METRIC study could potentially support marketing approval in both the U.S. and Europe dependent upon data results and review.</w:t>
      </w:r>
    </w:p>
    <w:p>
      <w:pPr>
        <w:spacing w:after="0" w:line="16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Enrollment (n=327) in METRIC was completed in August 2017. The study calls for 203 progression events for evaluation of the primary endpoint, which will be assessed based on an independent, central reading of patient scans. The sum of the data, including the secondary endpoints of response rate, overall survival, duration of response and safety, will be important in assessing clinical benefit. Based on the current rate of progression events in the study, the Company projects that topline primary endpoint data should be available in the second quarter of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Efforts to ensure delivery of manufactured drug that is ready for commercialization and a companion diagnostic, including partnering with a diagnostic company, are underway. While we have made and continue to make progress on these fronts, we have made the decision to stage some of the more costly work in these areas to begin after we have received results from the study. While this step will extend the timeline to complete our regulatory filings, we believe this is the most prudent use of our funds as we seek to advance our pipeline overall.</w:t>
      </w:r>
    </w:p>
    <w:p>
      <w:pPr>
        <w:spacing w:after="0" w:line="183" w:lineRule="exact"/>
        <w:rPr>
          <w:sz w:val="20"/>
          <w:szCs w:val="20"/>
          <w:color w:val="auto"/>
        </w:rPr>
      </w:pPr>
    </w:p>
    <w:p>
      <w:pPr>
        <w:ind w:right="380" w:firstLine="648"/>
        <w:spacing w:after="0" w:line="303"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The Phase 1/2 open-label, multi-center, dose escalation study evaluated the safety, tolerability and</w:t>
      </w:r>
      <w:r>
        <w:rPr>
          <w:rFonts w:ascii="Arial" w:cs="Arial" w:eastAsia="Arial" w:hAnsi="Arial"/>
          <w:sz w:val="16"/>
          <w:szCs w:val="16"/>
          <w:b w:val="1"/>
          <w:bCs w:val="1"/>
          <w:color w:val="auto"/>
        </w:rPr>
        <w:t xml:space="preserve"> </w:t>
      </w:r>
      <w:r>
        <w:rPr>
          <w:rFonts w:ascii="Arial" w:cs="Arial" w:eastAsia="Arial" w:hAnsi="Arial"/>
          <w:sz w:val="16"/>
          <w:szCs w:val="16"/>
          <w:color w:val="auto"/>
        </w:rPr>
        <w:t>pharmacokinetics of glembatumumab vedotin in 117 patients with unresectable stage III or IV melanoma who had failed no more than one prior line of cytotoxic therapy. The MTD and resulting Phase 2 dose was determined to be 1.88 mg/kg administered intravenously once every three weeks. The study achieved its primary activity objective with an overall response rate (ORR) in the Phase 2 cohort of 15% (5/34). Median PFS was 3.3 months for patients</w:t>
      </w:r>
    </w:p>
    <w:p>
      <w:pPr>
        <w:sectPr>
          <w:pgSz w:w="11900" w:h="16917" w:orient="portrait"/>
          <w:cols w:equalWidth="0" w:num="1">
            <w:col w:w="11420"/>
          </w:cols>
          <w:pgMar w:left="240" w:top="125" w:right="239" w:bottom="0" w:gutter="0" w:footer="0" w:header="0"/>
        </w:sectPr>
      </w:pPr>
    </w:p>
    <w:bookmarkStart w:id="14" w:name="page15"/>
    <w:bookmarkEnd w:id="14"/>
    <w:p>
      <w:pPr>
        <w:ind w:right="200"/>
        <w:spacing w:after="0" w:line="264" w:lineRule="auto"/>
        <w:rPr>
          <w:sz w:val="20"/>
          <w:szCs w:val="20"/>
          <w:color w:val="auto"/>
        </w:rPr>
      </w:pPr>
      <w:r>
        <w:rPr>
          <w:rFonts w:ascii="Arial" w:cs="Arial" w:eastAsia="Arial" w:hAnsi="Arial"/>
          <w:sz w:val="18"/>
          <w:szCs w:val="18"/>
          <w:color w:val="auto"/>
        </w:rPr>
        <w:t>treated with the Phase 2 dose. Glembatumumab vedotin was generally well tolerated, with the most frequent treatment-related adverse events being rash, fatigue, alopecia, pruritus, diarrhea and nausea. The development of rash, which may be associated with the presence of gpNMB in the skin, also seemed to correlate with greater PFS.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December 2014, we initiated a single arm, single-agent, open-label Phase 2 study of glembatumumab vedotin in patients with unresectable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stage III or IV melanoma, and enrollment has been completed. In May 2016, we amended the protocol to add a second cohort of patients to a glembatumumab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vedotin and varlilumab combination arm to assess the potential clinical benefit of the combination and to explore varlilumab’s potential biologic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immunologic effect when combined with an ADC, and enrollment has been completed. In November 2016, we amended the protocol to add a third cohort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patients evaluating glembatumumab vedotin in combination with an approved checkpoint inhibitor (i.e., nivolumab or pembrolizumab) following progression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checkpoint inhibitor alone, and enrollment is ongoing. In September 2017, we amended the protocol again to add a fourth cohort of patients evaluating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glembatumumab vedotin in combination with CDX-301 to assess the safety, tolerability and biologic activity of the combination. Following completion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this cohort and evaluation of available data, the protocol amendment also allows for the exploration of additional cohorts. The primary endpoint for each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cohort is ORR, except the fourth cohort which is assessing safety and tolerability. Secondary endpoints include analyses of PFS, duration of response, 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retrospective investigation of whether the anti-cancer activity of glembatumumab vedotin is dependent upon the degree of gpNMB expression in tumor tissue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safety of both the monotherapy and combination regimens.</w:t>
      </w:r>
    </w:p>
    <w:p>
      <w:pPr>
        <w:spacing w:after="0" w:line="21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presented mature data from the single-agent cohort in an oral presentation at the 2017 American Society of Clinical Oncology Annual Meeting in June. The cohort enrolled 62 evaluable patients with unresectable stage IV melanoma. All patients had been heavily pre-treated (median prior therapies = 3; range 1-8) and had progressed during or after checkpoint inhibitor therapy, and almost all patients had received both ipilimumab (n=58; 94%) and anti-PD-1/anti-PD-L1 (n=58; 94%) therapy. Twelve patients presented with BRAF mutation, and fifteen had prior treatment with BRAF or BRAF/MEK targeted agents. Median overall survival (OS) for all patients was 9.0 months (95% CI: 6.1, 13.0). As previously reported in October 2016, the primary endpoint of the cohort (threshold of 6 or more objective responses in 52 evaluable patients) was exceeded. 7 of 62 (11%) patients experienced a confirmed response, and an additional three patients also experienced single timepoint partial responses. Since data were reported in October 2016, one patient converted from a confirmed partial response to a confirmed complete response. The median duration of response was 6.0 months. A 52% disease control rate (patients without progression for greater than three months) was demonstrated, and median progression free survival (PFS) for all patients was 4.4 months. Consistent with previous studies in melanoma and breast cancer, rash was associated with greater clinical benefit. Patients who experienced rash in Cycle 1 experienced a 21% confirmed response rate, a more prolonged PFS with a median of 5.5 months (p=0.006; HR=0.39) and a more prolonged OS with a median of 15.8 months (p=0.026, HR=0.44). The safety profile was consistent with prior studies of glembatumumab vedotin with rash, neutropenia and neuropathy experienced as the most significant adverse events. Pre-treatment tumor tissue was available for 59 patients. All samples were gpNMB positive, and 78% of patients had tumors with 100% of their epithelial cells expressing gpNMB. Given both the high level of expression and the intensity of expression across this patient population, identifying a potential population for gpNMB enrichment is not feasible; therefore, all patients with metastatic melanoma could be evaluated as potential candidates for treatment with glembatumumab vedotin in future studies. We intend to conduct exploratory analyses of pre-entry skin biopsies in future patients to investigate potential predictors of response to glembatumumab vedotin, given the association of rash and outcome.</w:t>
      </w:r>
    </w:p>
    <w:p>
      <w:pPr>
        <w:spacing w:after="0" w:line="17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Data from the second cohort, combining glembatumumab vedotin and varlilumab, were accepted for presentation at the Society for Immunotherapy of Cancer’s (SITC) 32nd Annual Meeting in November 2017. The cohort enrolled 34 patients with unresectable stage IV melanoma. All patients had been heavily pre-treated (median prior therapies = 3; range 1-8) and had progressed during or after checkpoint inhibitor (CPI) therapy (median prior CPI therapies</w:t>
      </w:r>
    </w:p>
    <w:p>
      <w:pPr>
        <w:jc w:val="both"/>
        <w:ind w:right="160" w:firstLine="8"/>
        <w:spacing w:after="0" w:line="323" w:lineRule="auto"/>
        <w:tabs>
          <w:tab w:leader="none" w:pos="147" w:val="left"/>
        </w:tabs>
        <w:numPr>
          <w:ilvl w:val="0"/>
          <w:numId w:val="7"/>
        </w:numPr>
        <w:rPr>
          <w:rFonts w:ascii="Arial" w:cs="Arial" w:eastAsia="Arial" w:hAnsi="Arial"/>
          <w:sz w:val="16"/>
          <w:szCs w:val="16"/>
          <w:color w:val="auto"/>
        </w:rPr>
      </w:pPr>
      <w:r>
        <w:rPr>
          <w:rFonts w:ascii="Arial" w:cs="Arial" w:eastAsia="Arial" w:hAnsi="Arial"/>
          <w:sz w:val="16"/>
          <w:szCs w:val="16"/>
          <w:color w:val="auto"/>
        </w:rPr>
        <w:t>2; range 1-4). Almost all patients had received ipilimumab (n=26; 76%) and/or anti-PD-1/anti-PD-L1 (n=34; 100%) therapy. Nine patients presented with BRAF mutation, and eleven had prior treatment with BRAF or BRAF/MEK targeted agents. Median PFS for all patients was 2.6 months (95% CI: 1.4, 2.8),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and median overall survival (OS) for all patients was 6.4 months (95% CI: 3.2, 8.3). One of 31 patients eligible for response evaluation experienced a confirmed partial response (3%) and an additional two patients also experienced single timepoint partial responses. 52% of patients experienced stable disease (minimum of six or more weeks). A 19% disease control rate (patients without progression for greater than three months) was demonstrated. The safety profile was consistent with prior studies of glembatumumab vedotin and there was no evidence of additive toxicity associated with the combination. Biological effects of varlilumab were consistent with prior observations and did not appear to be impacted by the addition of an antibody-drug conjugate (ADC). Modest clinical benefit in the combination could be due to multiple factors, including potential lack of sensitivity to immunotherapy in patients with checkpoint refractory disease, many of whom progressed so rapidly that they experienced a very short duration of varlilumab treatment (median 2 doses); a possible dearth of antigen presenting cells in tumors; and the potential for immune checkpoint molecules to remain unblocked without checkpoint inhibitor therapy. Planned future cohorts are designed to address some of these potential factors. No significant correlation between rash and outcome was observed, but will continue to be monitored in future cohorts.</w:t>
      </w:r>
    </w:p>
    <w:p>
      <w:pPr>
        <w:spacing w:after="0" w:line="17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color w:val="auto"/>
        </w:rPr>
        <w:t xml:space="preserve">Treatment of Other Indications: </w:t>
      </w:r>
      <w:r>
        <w:rPr>
          <w:rFonts w:ascii="Arial" w:cs="Arial" w:eastAsia="Arial" w:hAnsi="Arial"/>
          <w:sz w:val="16"/>
          <w:szCs w:val="16"/>
          <w:color w:val="auto"/>
        </w:rPr>
        <w:t>We have entered into a collaborative relationship with PrECOG, LLC, which represents a research network</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established by the Eastern Cooperative Oncology Group (ECOG), under which PrECOG, LLC, is conducting an open-label Phase 1/2 study in patients with unresectable stage IIIB or IV, gpNMB-expressing, advanced or metastatic squamous cell carcinoma (SCC) of the lung, who have progressed on prior platinum-based chemotherapy. This study opened to enrollment in April 2016 and is ongoing. The study includes a dose-escalation phase followed by a two-stage Phase 2 portion (Simon two-stage design). The Phase 1, dose-escalation portion of the study is designed to assess the safety and tolerability of glembatumumab vedotin at varying dose levels. The first stage of the Phase 2 portion plans to enroll approximately 20 patients, and if at least two patients achieve a partial response or complete response, a second stage may enroll an additional 15 patients. The primary objective of the Phase 2 portion of the study is to assess the anti-tumor activity of glembatumumab vedotin in squamous cell lung cancer as measured by ORR. Secondary objectives of the study include analyses of safety and tolerability and further assessment of anti-tumor activity across a broad range of endpoints.</w:t>
      </w:r>
    </w:p>
    <w:p>
      <w:pPr>
        <w:spacing w:after="0" w:line="164" w:lineRule="exact"/>
        <w:rPr>
          <w:sz w:val="20"/>
          <w:szCs w:val="20"/>
          <w:color w:val="auto"/>
        </w:rPr>
      </w:pPr>
    </w:p>
    <w:p>
      <w:pPr>
        <w:ind w:right="120" w:firstLine="648"/>
        <w:spacing w:after="0" w:line="280" w:lineRule="auto"/>
        <w:rPr>
          <w:sz w:val="20"/>
          <w:szCs w:val="20"/>
          <w:color w:val="auto"/>
        </w:rPr>
      </w:pPr>
      <w:r>
        <w:rPr>
          <w:rFonts w:ascii="Arial" w:cs="Arial" w:eastAsia="Arial" w:hAnsi="Arial"/>
          <w:sz w:val="16"/>
          <w:szCs w:val="16"/>
          <w:color w:val="auto"/>
        </w:rPr>
        <w:t>We have also entered into a Cooperative Research and Development Agreement, or CRADA, with the National Cancer Institute, or NCI, under which NCI is sponsoring a Phase 2 study of glembatumumab vedotin in uveal melanoma. The study is a single-arm, open-label study in patients with locally recurrent or metastatic uveal melanoma. The study has a two stage design with a pre-specified activity threshold necessary in the first stage to progress enrollment to the second stage. The primary outcome measure is ORR. Secondary outcome measures include change in gpNMB expression on tumor tissue via immunohistochemistry, safety, OS and PFS. Data from this study were presented at 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World Congress of Melanoma in October of 2017. Two (6%) objective responses were observed in 31 patients to date and 35% of patients experienced stable disease greater than 100 days (median 5.5 months). The disease control rate (response rate + stable disease) for all patients on study was noteworthy at 61%. Median PFS was 3.2 months and median OS was 11.8 months. For patients who experienced either a partial response or stable disease, median PFS was 5.5 months and median OS has not yet been reached. The NCI is conducting exploratory immune correlates to provide insight into target saturation, antigen release and potential combination strategies.</w:t>
      </w:r>
    </w:p>
    <w:p>
      <w:pPr>
        <w:sectPr>
          <w:pgSz w:w="11900" w:h="16838" w:orient="portrait"/>
          <w:cols w:equalWidth="0" w:num="1">
            <w:col w:w="11420"/>
          </w:cols>
          <w:pgMar w:left="240" w:top="125" w:right="239" w:bottom="0" w:gutter="0" w:footer="0" w:header="0"/>
        </w:sectPr>
      </w:pPr>
    </w:p>
    <w:bookmarkStart w:id="15" w:name="page16"/>
    <w:bookmarkEnd w:id="15"/>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Varlilumab is a fully human monoclonal agonist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We have entered into license agreements with the University of Southampton, UK for intellectual property to use anti-CD27 antibodies and with Medarex (acquired by Bristol-Myers Squibb Company, or BMS) for access to the UltiMab technology to develop and commercialize human antibodies to CD27. Varlilumab was initially studied as a single-agent to establish a safety profile and assess immunologic and clinical activity in patients with cancer, but we believe the greatest opportunity for varlilumab is as an immune activator in combination with other agents. Currently, we are focusing our efforts on a Phase 1/2 clinical trial being conducted in collaboration with BMS and their PD-1 immune checkpoint inhibitor, Opdivo. Varlilumab is also being explored in combination studies, including with glembatumumab vedotin, and in ongoing and planned investigator-sponsored studies.</w:t>
      </w:r>
    </w:p>
    <w:p>
      <w:pPr>
        <w:spacing w:after="0" w:line="189"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 xml:space="preserve">Single-Agent Phase 1 Study: </w:t>
      </w:r>
      <w:r>
        <w:rPr>
          <w:rFonts w:ascii="Arial" w:cs="Arial" w:eastAsia="Arial" w:hAnsi="Arial"/>
          <w:sz w:val="16"/>
          <w:szCs w:val="16"/>
          <w:color w:val="auto"/>
        </w:rPr>
        <w:t>Data from the completed, open-label Phase 1 study of varlilumab in patients with selected malignant solid tumors or</w:t>
      </w:r>
      <w:r>
        <w:rPr>
          <w:rFonts w:ascii="Arial" w:cs="Arial" w:eastAsia="Arial" w:hAnsi="Arial"/>
          <w:sz w:val="16"/>
          <w:szCs w:val="16"/>
          <w:b w:val="1"/>
          <w:bCs w:val="1"/>
          <w:color w:val="auto"/>
        </w:rPr>
        <w:t xml:space="preserve"> </w:t>
      </w:r>
      <w:r>
        <w:rPr>
          <w:rFonts w:ascii="Arial" w:cs="Arial" w:eastAsia="Arial" w:hAnsi="Arial"/>
          <w:sz w:val="16"/>
          <w:szCs w:val="16"/>
          <w:color w:val="auto"/>
        </w:rPr>
        <w:t>hematologic cancers were presented at the Annual Meeting of the American Society of Clinical Oncology in June 2014. Varlilumab demonstrated an acceptable safety profile and induced immunologic activity in patients that is consistent with both its proposed mechanism of action and data in preclinical models. A total of 90 patients were dosed in the study at multiple clinical sites in the U.S. of which 55 patients were dosed in dose escalation cohorts (various solid and hematologic B- and T-cell tumors), and 35 patients were dosed in the expansion cohorts (melanoma, renal cell carcinoma and Hodgkin lymphoma) at 3 mg/kg. In both the solid tumor and hematologic dose-escalations, the pre-specified maximum dose level (10 mg/kg) was reached without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identification of a maximum tolerated dose. The majority of adverse events, or AEs, related to treatment have been mild to moderate (Grade 1/2) in severity, with only three serious AEs related to treatment reported. No significant immune-mediated adverse events (colitis, hepatitis, etc.) typically associated with checkpoint blockade have been observed to date. Two patients initially experienced significant objective responses including a complete response in Hodgkin lymphoma (patient remains in remission at 2.8+ years without further anticancer therapy as of September 2016; patient no longer on study) and a partial response in renal cell carcinoma (continued at 2.5+ years without further anticancer therapy as of June 2017). A patient with renal cell carcinoma that experienced significant stable disease (4+ years) has achieved a single-time point partial response at 4.2+ years without additional anticancer therapy. Twelve patients experienced stable disease up to 14 months. As of June 2017, there are two patients continuing in long term follow-up. Final results from the study in patients with solid tumors were published in the </w:t>
      </w:r>
      <w:r>
        <w:rPr>
          <w:rFonts w:ascii="Arial" w:cs="Arial" w:eastAsia="Arial" w:hAnsi="Arial"/>
          <w:sz w:val="17"/>
          <w:szCs w:val="17"/>
          <w:i w:val="1"/>
          <w:iCs w:val="1"/>
          <w:color w:val="auto"/>
        </w:rPr>
        <w:t>Journal of Clinical Oncology</w:t>
      </w:r>
      <w:r>
        <w:rPr>
          <w:rFonts w:ascii="Arial" w:cs="Arial" w:eastAsia="Arial" w:hAnsi="Arial"/>
          <w:sz w:val="17"/>
          <w:szCs w:val="17"/>
          <w:color w:val="auto"/>
        </w:rPr>
        <w:t xml:space="preserve"> in April 2017.</w:t>
      </w:r>
    </w:p>
    <w:p>
      <w:pPr>
        <w:spacing w:after="0" w:line="121" w:lineRule="exact"/>
        <w:rPr>
          <w:sz w:val="20"/>
          <w:szCs w:val="20"/>
          <w:color w:val="auto"/>
        </w:rPr>
      </w:pPr>
    </w:p>
    <w:p>
      <w:pPr>
        <w:ind w:right="20" w:firstLine="648"/>
        <w:spacing w:after="0" w:line="246" w:lineRule="auto"/>
        <w:rPr>
          <w:sz w:val="20"/>
          <w:szCs w:val="20"/>
          <w:color w:val="auto"/>
        </w:rPr>
      </w:pPr>
      <w:r>
        <w:rPr>
          <w:rFonts w:ascii="Arial" w:cs="Arial" w:eastAsia="Arial" w:hAnsi="Arial"/>
          <w:sz w:val="17"/>
          <w:szCs w:val="17"/>
          <w:b w:val="1"/>
          <w:bCs w:val="1"/>
          <w:color w:val="auto"/>
        </w:rPr>
        <w:t>Phase 1/2 Varlilumab/Opdivo</w:t>
      </w:r>
      <w:r>
        <w:rPr>
          <w:rFonts w:ascii="Arial" w:cs="Arial" w:eastAsia="Arial" w:hAnsi="Arial"/>
          <w:sz w:val="34"/>
          <w:szCs w:val="34"/>
          <w:b w:val="1"/>
          <w:bCs w:val="1"/>
          <w:color w:val="auto"/>
          <w:vertAlign w:val="superscript"/>
        </w:rPr>
        <w:t>®</w:t>
      </w:r>
      <w:r>
        <w:rPr>
          <w:rFonts w:ascii="Arial" w:cs="Arial" w:eastAsia="Arial" w:hAnsi="Arial"/>
          <w:sz w:val="17"/>
          <w:szCs w:val="17"/>
          <w:b w:val="1"/>
          <w:bCs w:val="1"/>
          <w:color w:val="auto"/>
        </w:rPr>
        <w:t xml:space="preserve"> Combination Study: </w:t>
      </w:r>
      <w:r>
        <w:rPr>
          <w:rFonts w:ascii="Arial" w:cs="Arial" w:eastAsia="Arial" w:hAnsi="Arial"/>
          <w:sz w:val="17"/>
          <w:szCs w:val="17"/>
          <w:color w:val="auto"/>
        </w:rPr>
        <w:t>In 2014, we entered into a clinical trial collaboration with Bristol-Myers Squibb to evaluate</w:t>
      </w:r>
      <w:r>
        <w:rPr>
          <w:rFonts w:ascii="Arial" w:cs="Arial" w:eastAsia="Arial" w:hAnsi="Arial"/>
          <w:sz w:val="17"/>
          <w:szCs w:val="17"/>
          <w:b w:val="1"/>
          <w:bCs w:val="1"/>
          <w:color w:val="auto"/>
        </w:rPr>
        <w:t xml:space="preserve"> </w:t>
      </w:r>
      <w:r>
        <w:rPr>
          <w:rFonts w:ascii="Arial" w:cs="Arial" w:eastAsia="Arial" w:hAnsi="Arial"/>
          <w:sz w:val="17"/>
          <w:szCs w:val="17"/>
          <w:color w:val="auto"/>
        </w:rPr>
        <w:t>the safety, tolerability and preliminary efficacy of varlilumab and Opdivo, Bristol-Myers Squibb’s PD-1 immune checkpoint inhibitor, in a Phase 1/2 study. Under the terms of this clinical trial collaboration, Bristol-Myers Squibb made a one-time payment to us of $5.0 million, and the companies amended the terms of our existing license agreement with Medarex (acquired by Bristol-Myers Squibb) related to our CD27 program whereby certain future milestone payments were waived and future royalty rates were reduced that may have been due from us to Medarex. In return, Bristol-Myers Squibb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20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Phase 1/2 study was initiated in January 2015 and is being conducted in adult patients with multiple solid tumors to assess the safety and tolerability of varlilumab at varying doses when administered with Opdivo, followed by a Phase 2 expansion to evaluate the activity of the combination in disease specific cohorts.</w:t>
      </w:r>
    </w:p>
    <w:p>
      <w:pPr>
        <w:spacing w:after="0" w:line="18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Data (n=36) from the Phase 1 dose escalation portion of the study were presented in an oral presentation at the American Society of Clinical Oncology Annual Meeting in June 2017. The majority of patients had PD-L1 negative tumor at baseline and presented with stage IV, heavily-pretreated disease. 80% of patients enrolled presented with refractory or recurrent colorectal (n=21) or ovarian cancer (n=8), a population expected to have minimal response to checkpoint blockade. The primary objective of the Phase 1 portion of the study was to evaluate the safety and tolerability of the combination. The combination was well tolerated at all varlilumab dose levels tested without any evidence of increased autoimmunity or inappropriate immune activation. Marked changes in the tumor microenvironment including increased infiltrating CD8+ T cells and increased PD-L1 expression, which have been shown to correlate with a greater magnitude of treatment effect from checkpoint inhibitors in other clinical studies, were observed. Additional evidence of immune activity, such as increase in inflammatory chemokines and decrease in T regulatory cells, was also noted. Notable disease control was also observed (stable disease or better for at least 3 months), considering the stage IV patient population contained mostly colorectal and ovarian cases (80%): 0.1 mg/kg varlilumab + 240 mg Opdivo: 1/5 (20%), 1 mg/kg varlilumab + 240 mg Opdivo: 5/15 (33%) and 10 mg/kg varlilumab + 240 mg Opdivo: 6/15 (40%).</w:t>
      </w:r>
    </w:p>
    <w:p>
      <w:pPr>
        <w:spacing w:after="0" w:line="16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Three partial responses (PR) were observed. A patient with PD-L1 negative, MMR proficient colorectal cancer, typically unlikely to respond to checkpoint blockade monotherapy, achieved a confirmed PR (95% decrease in target lesions) and, following completion of combination treatment, continues to receive treatment with Opdivo monotherapy at 22+ months. A patient with low PD-L1 (5% expression) squamous cell head and neck cancer achieved a confirmed PR (59% shrinkage) and experienced progression free survival of 6.7 months. A patient with PD-L1 negative ovarian cancer experienced a single timepoint PR (49% shrinkage) but discontinued treatment to a dose-limiting toxicity (immune hepatitis, an event known to be associated with checkpoint inhibition therapy). A subgroup analysis was conducted in patients with ovarian cancer based on an observed increase of PD-L1 and tumor-infiltrating lymphocytes in this patient population. In patients with paired baseline and on-treatment biopsies (n=13), only 15% were PD-L1 positive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1% tumor cells) at baseline compared to 77% during treatment (p=0.015). Patients with increased tumor PD-L1 expression and tumor CD8 T cells correlated with better clinical outcome with treatment (stable disease or better).</w:t>
      </w:r>
    </w:p>
    <w:p>
      <w:pPr>
        <w:spacing w:after="0" w:line="18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Phase 2 portion of the study opened to enrollment in April 2016 and includes cohorts in colorectal cancer (n=18), ovarian cancer (n=54), head and neck squamous cell carcinoma (n=54), renal cell carcinoma (n=25) and glioblastoma (n=20). Additional dosing schedules are being explored in ovarian cancer and in head and neck squamous cell carcinoma, increasing the overall size of the study compared to the original study design. The primary objective of the Phase 2 cohorts is ORR, except glioblastoma, where the primary objective is the rate of 12-month overall survival. Secondary objectives include pharmacokinetic assessments, determining the immunogenicity of varlilumab when given in combination with Opdivo and further assessing the anti-tumor activity of combination treatment. We plan to complete enrollment across all cohorts in the Phase 2 portion of the study in the first quarter of 2018 and expect to work with BMS to present data from the study at a future medical meeting.</w:t>
      </w:r>
    </w:p>
    <w:p>
      <w:pPr>
        <w:sectPr>
          <w:pgSz w:w="11900" w:h="16854" w:orient="portrait"/>
          <w:cols w:equalWidth="0" w:num="1">
            <w:col w:w="11420"/>
          </w:cols>
          <w:pgMar w:left="240" w:top="125" w:right="239" w:bottom="0" w:gutter="0" w:footer="0" w:header="0"/>
        </w:sectPr>
      </w:pPr>
    </w:p>
    <w:bookmarkStart w:id="16" w:name="page17"/>
    <w:bookmarkEnd w:id="16"/>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Anti-Kit Program: CDX-0158 and CDX-0159</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KIT activation is implicated in many disease processes including some cancers, neurofibromatosis and mast cell-related diseases, including autoimmune disease. CDX-0158, a humanized monoclonal antibody, is a potent inhibitor of wildtype KIT in mast cells and has demonstrated preclinical activity versus the most common oncogenic KIT mutations found in human gastrointestinal stromal tumors (GIST) in model cell lines and in spontaneous canine mast cell tumors (an established model for mastocytoma). A Phase 1 dose escalation study in patients with advanced refractory GIST and other KIT positive tumors opened to enrollment in December 2015 to determine the maximum tolerated dose, recommend a dose for further study and characterize the safety profile. A total of 28 patients have been treated with doses up to 15 mg/kg with one patient currently continuing on treatment. Importantly, no evidence of myelosuppression (an effect commonly associated with KIT inhibition) was observed in this study. Approximately two-thirds of the patients on study had infusion reactions that were manageable with pre-medication and longer infusion times. The biomarker data showed evidence of dose-related KIT engagement, and two patients experienced partial metabolic responses on fluorodeoxyglucose (FDG)-PET scan; however, these PET responses were not associated with tumor shrinkage.</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The infusion reactions are believed to be the result of CDX-0158 acting as an agonist on mast cells </w:t>
      </w:r>
      <w:r>
        <w:rPr>
          <w:rFonts w:ascii="Arial" w:cs="Arial" w:eastAsia="Arial" w:hAnsi="Arial"/>
          <w:sz w:val="17"/>
          <w:szCs w:val="17"/>
          <w:i w:val="1"/>
          <w:iCs w:val="1"/>
          <w:color w:val="auto"/>
        </w:rPr>
        <w:t>in vivo</w:t>
      </w:r>
      <w:r>
        <w:rPr>
          <w:rFonts w:ascii="Arial" w:cs="Arial" w:eastAsia="Arial" w:hAnsi="Arial"/>
          <w:sz w:val="17"/>
          <w:szCs w:val="17"/>
          <w:color w:val="auto"/>
        </w:rPr>
        <w:t>, where the antibody can be cross-linked by Fc receptors and cause mast cell degranulation. Given the infusion reactions, modifications have been introduced into the Fc portion of the CDX-0158 antibody to prevent these interactions, which should eliminate the potential for Fc receptor mediated agonist activity. This second-generation version, called CDX-0159, also includes modifications to increase the half-life of the antibody, giving it additional benefits over CDX-0158. Preclinical data to date with CDX-0159 have demonstrated equivalent KIT inhibition to CDX-0158, but unlike CDX-0158, CDX-0159 does not induce KIT activation when Fc receptors are used to cross-link the antibodies. CDX-0159 is being fully developed in-house with the intention of replacing CDX-0158 in clinical development. We expect manufacturing and IND-enabling efforts for CDX-0159 will be completed in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CDX-3379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w:t>
      </w:r>
    </w:p>
    <w:p>
      <w:pPr>
        <w:spacing w:after="0" w:line="179"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A Phase 1a/1b study was conducted, including a single-agent, dose-escalation portion and combination expansion cohorts. Data from the dose-escalation portion, which completed enrollment in September 2015, and initial data from the expansion cohorts (enrollment ongoing at the time) were presented at the American Society of Clinical Oncology Annual Meeting in June 2016. The single-agent, dose-escalation portion of the study did not identify an MTD, and there were no dose limiting toxicities. The most common adverse events included rash and diarrhea and were predominantly grade 1 or 2. Four combination arms across multiple tumor types were added to evaluate CDX-3379 with several drugs that target EGFR, HER2 or BRAF. They include combinations with Erbitux</w:t>
      </w:r>
      <w:r>
        <w:rPr>
          <w:rFonts w:ascii="Arial" w:cs="Arial" w:eastAsia="Arial" w:hAnsi="Arial"/>
          <w:sz w:val="31"/>
          <w:szCs w:val="31"/>
          <w:color w:val="auto"/>
          <w:vertAlign w:val="superscript"/>
        </w:rPr>
        <w:t>®</w:t>
      </w:r>
      <w:r>
        <w:rPr>
          <w:rFonts w:ascii="Arial" w:cs="Arial" w:eastAsia="Arial" w:hAnsi="Arial"/>
          <w:sz w:val="16"/>
          <w:szCs w:val="16"/>
          <w:color w:val="auto"/>
        </w:rPr>
        <w:t xml:space="preserve"> (n=16), Tarceva</w:t>
      </w:r>
      <w:r>
        <w:rPr>
          <w:rFonts w:ascii="Arial" w:cs="Arial" w:eastAsia="Arial" w:hAnsi="Arial"/>
          <w:sz w:val="31"/>
          <w:szCs w:val="31"/>
          <w:color w:val="auto"/>
          <w:vertAlign w:val="superscript"/>
        </w:rPr>
        <w:t>®</w:t>
      </w:r>
      <w:r>
        <w:rPr>
          <w:rFonts w:ascii="Arial" w:cs="Arial" w:eastAsia="Arial" w:hAnsi="Arial"/>
          <w:sz w:val="16"/>
          <w:szCs w:val="16"/>
          <w:color w:val="auto"/>
        </w:rPr>
        <w:t xml:space="preserve"> (n=8), Zelboraf</w:t>
      </w:r>
      <w:r>
        <w:rPr>
          <w:rFonts w:ascii="Arial" w:cs="Arial" w:eastAsia="Arial" w:hAnsi="Arial"/>
          <w:sz w:val="31"/>
          <w:szCs w:val="31"/>
          <w:color w:val="auto"/>
          <w:vertAlign w:val="superscript"/>
        </w:rPr>
        <w:t>®</w:t>
      </w:r>
      <w:r>
        <w:rPr>
          <w:rFonts w:ascii="Arial" w:cs="Arial" w:eastAsia="Arial" w:hAnsi="Arial"/>
          <w:sz w:val="16"/>
          <w:szCs w:val="16"/>
          <w:color w:val="auto"/>
        </w:rPr>
        <w:t xml:space="preserve"> (n=4) and Herceptin</w:t>
      </w:r>
      <w:r>
        <w:rPr>
          <w:rFonts w:ascii="Arial" w:cs="Arial" w:eastAsia="Arial" w:hAnsi="Arial"/>
          <w:sz w:val="31"/>
          <w:szCs w:val="31"/>
          <w:color w:val="auto"/>
          <w:vertAlign w:val="superscript"/>
        </w:rPr>
        <w:t>®</w:t>
      </w:r>
      <w:r>
        <w:rPr>
          <w:rFonts w:ascii="Arial" w:cs="Arial" w:eastAsia="Arial" w:hAnsi="Arial"/>
          <w:sz w:val="16"/>
          <w:szCs w:val="16"/>
          <w:color w:val="auto"/>
        </w:rPr>
        <w:t xml:space="preserve">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complete response in a patient with head and neck cancer, who had been previously treated with Erbitux and was refractory. In the Zelboraf arm, there were two partial responses in patients who had lung cancer, one of whom had been previously treated with Tafinlar</w:t>
      </w:r>
      <w:r>
        <w:rPr>
          <w:rFonts w:ascii="Arial" w:cs="Arial" w:eastAsia="Arial" w:hAnsi="Arial"/>
          <w:sz w:val="31"/>
          <w:szCs w:val="31"/>
          <w:color w:val="auto"/>
          <w:vertAlign w:val="superscript"/>
        </w:rPr>
        <w:t>®</w:t>
      </w:r>
      <w:r>
        <w:rPr>
          <w:rFonts w:ascii="Arial" w:cs="Arial" w:eastAsia="Arial" w:hAnsi="Arial"/>
          <w:sz w:val="16"/>
          <w:szCs w:val="16"/>
          <w:color w:val="auto"/>
        </w:rPr>
        <w:t xml:space="preserve"> and was considered refractory. We have finalized plans for advancement into an open-label Phase 2 study in approximately 30 patients with recurrent/metastatic head and neck squamous cell cancer who are refractory to Erbitux (cetuximab). We anticipate initiating this study in the fourth quarter of 2017. The primary objective of the study is objective response rate. Second objectives include assessments of clinical benefit response (CBR), duration of response (DOR), PFS and OS, and safety and pharmacokinetics associated with the combination.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CDX-1401, developed from our APC Targeting Technology, is an NY-ESO-1-antibody fusion protein for immunotherapy in multiple solid tumors. CDX-1401, which is administered with an adjuvant, is composed of the cancer-specific antigen NY-ESO-1 fused to a fully human antibody that binds to DEC-205 for efficient delivery to dendritic cells. Delivery of tumor-specific proteins directly to dendritic cells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elicits potent, broad, anti-tumor immune responses across populations with different genetic</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backgrounds. In humans, NY-ESO-1 has been detected in 20% to 30% of melanoma, lung, esophageal, liver, gastric, ovarian and bladder cancers, and up to 70% of synovial sarcomas, thus representing a broad opportunity. CDX-1401 is being developed for the treatment of malignant melanoma and a variety of solid tumors which express the cancer antigen NY-ESO-1. Preclinical studies have shown that CDX-1401 treatment results in activation of human T cell responses against NY-ESO-1.</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We have completed a Phase 1 study of CDX-1401 which assessed the safety, immunogenicity and clinical activity of escalating doses of CDX-1401 with TLR agonists (resiquimod and/or poly-ICLC) in 45 patients with advanced malignancies refractory to all available therapies. Results were published in </w:t>
      </w:r>
      <w:r>
        <w:rPr>
          <w:rFonts w:ascii="Arial" w:cs="Arial" w:eastAsia="Arial" w:hAnsi="Arial"/>
          <w:sz w:val="16"/>
          <w:szCs w:val="16"/>
          <w:i w:val="1"/>
          <w:iCs w:val="1"/>
          <w:color w:val="auto"/>
        </w:rPr>
        <w:t xml:space="preserve">Science Translational Medicine </w:t>
      </w:r>
      <w:r>
        <w:rPr>
          <w:rFonts w:ascii="Arial" w:cs="Arial" w:eastAsia="Arial" w:hAnsi="Arial"/>
          <w:sz w:val="16"/>
          <w:szCs w:val="16"/>
          <w:color w:val="auto"/>
        </w:rPr>
        <w:t>in April 2014. Sixty percent of patients had confirmed NY-ESO expression in archived tumor samples. Thirteen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maintained stable disease for up to 13.4 months with a median of 6.7 months. Treatment indicates an acceptable safety profile to date, and there were no dose limiting toxicities. A variety of immune activation parameters were observed. Humoral responses were elicited in both NY-ESO-1 positive and negative patients. NY-ESO-1-specific T cell responses were absent or low at baseline, but increased post-vaccination in 56% of evaluable patients, including both CD4 and/or CD8 T cell responses. Robust immune responses were observed with CDX-1401 with resiquimod and poly-ICLC alone and in combination. Long-</w:t>
      </w:r>
    </w:p>
    <w:p>
      <w:pPr>
        <w:sectPr>
          <w:pgSz w:w="11900" w:h="16932" w:orient="portrait"/>
          <w:cols w:equalWidth="0" w:num="1">
            <w:col w:w="11420"/>
          </w:cols>
          <w:pgMar w:left="240" w:top="341" w:right="239" w:bottom="0" w:gutter="0" w:footer="0" w:header="0"/>
        </w:sectPr>
      </w:pPr>
    </w:p>
    <w:bookmarkStart w:id="17" w:name="page18"/>
    <w:bookmarkEnd w:id="17"/>
    <w:p>
      <w:pPr>
        <w:spacing w:after="0" w:line="69" w:lineRule="exact"/>
        <w:rPr>
          <w:sz w:val="20"/>
          <w:szCs w:val="20"/>
          <w:color w:val="auto"/>
        </w:rPr>
      </w:pPr>
    </w:p>
    <w:p>
      <w:pPr>
        <w:ind w:right="20"/>
        <w:spacing w:after="0" w:line="202" w:lineRule="auto"/>
        <w:rPr>
          <w:sz w:val="20"/>
          <w:szCs w:val="20"/>
          <w:color w:val="auto"/>
        </w:rPr>
      </w:pPr>
      <w:r>
        <w:rPr>
          <w:rFonts w:ascii="Arial" w:cs="Arial" w:eastAsia="Arial" w:hAnsi="Arial"/>
          <w:sz w:val="18"/>
          <w:szCs w:val="18"/>
          <w:color w:val="auto"/>
        </w:rPr>
        <w:t>term patient follow up suggested that treatment with CDX-1401 may predispose patients to better outcomes on subsequent therapy with checkpoint inhibitors. Of the 45 patients in the Phase 1 study, eight went on to receive subsequent therapy of either Yervoy</w:t>
      </w:r>
      <w:r>
        <w:rPr>
          <w:rFonts w:ascii="Arial" w:cs="Arial" w:eastAsia="Arial" w:hAnsi="Arial"/>
          <w:sz w:val="36"/>
          <w:szCs w:val="36"/>
          <w:color w:val="auto"/>
          <w:vertAlign w:val="superscript"/>
        </w:rPr>
        <w:t>®</w:t>
      </w:r>
      <w:r>
        <w:rPr>
          <w:rFonts w:ascii="Arial" w:cs="Arial" w:eastAsia="Arial" w:hAnsi="Arial"/>
          <w:sz w:val="18"/>
          <w:szCs w:val="18"/>
          <w:color w:val="auto"/>
        </w:rPr>
        <w:t xml:space="preserve"> or an investigational checkpoint inhibitor within 3 months of CDX-1401, and six of these patients had objective tumor regression. Six patients with melanoma received Yervoy within three months of treatment with CDX-1401, and four (67%) had objective tumor responses, including one complete response, which compares favorably to the overall response rate of 11% previously reported in metastatic melanoma patients treated with single-agent Yervoy. In addition, two patients with non-small cell lung cancer received an investigational checkpoint blockade within two months of completing treatment with CDX-1401, and both achieved partial responses. Together with Roche, we are supporting an investigator initiated study of CDX-1401 in combination with Tecentriq</w:t>
      </w:r>
      <w:r>
        <w:rPr>
          <w:rFonts w:ascii="Arial" w:cs="Arial" w:eastAsia="Arial" w:hAnsi="Arial"/>
          <w:sz w:val="36"/>
          <w:szCs w:val="36"/>
          <w:color w:val="auto"/>
          <w:vertAlign w:val="superscript"/>
        </w:rPr>
        <w:t>®</w:t>
      </w:r>
      <w:r>
        <w:rPr>
          <w:rFonts w:ascii="Arial" w:cs="Arial" w:eastAsia="Arial" w:hAnsi="Arial"/>
          <w:sz w:val="18"/>
          <w:szCs w:val="18"/>
          <w:color w:val="auto"/>
        </w:rPr>
        <w:t xml:space="preserve"> (atezolizumab; anti-PD-L1) in patients with lung cancer.</w:t>
      </w:r>
    </w:p>
    <w:p>
      <w:pPr>
        <w:spacing w:after="0" w:line="20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CDX-1401’s potential activity is being explored in investigator sponsored and collaborative studies. A Phase 2 study of CDX-1401 in combination with CDX-301 is being conducted in malignant melanoma by the Cancer Immunotherapy Trials Network (CITN) under a CRADA with the Cancer Therapy Evaluation Program of the NCI. This study was designed to determine the activity of CDX-1401 with or without CDX-301 in melanoma. The primary outcome measure of the study is immune response to NY-ESO-1. Secondary outcome measures include analysis and characterization of peripheral blood mononuclear cells (dendritic cells, T cells, natural killer cells, etc.), additional immune monitoring, safety and clinical outcomes (survival and time to tumor recurrence). Enrollment is complete, and initial results were presented at the 2016 American Society of Clinical Oncology (ASCO) Annual Meeting. The data confirmed that CDX-1401 is capable of driving NY-ESO-1 immunity and further demonstrated the potential of CDX-301 as a combination agent for enhancing tumor specific immune responses. The NCI and CITN are planning to enroll additional cohorts to investigate alternative regimens of CDX-301.</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September 2017, a randomized, open-label Phase 1/2 study of CDX-1401 in combination with atezolizumab and SGI-110 opened to enrollment in recurrent ovarian, fallopian tube, or primary peritoneal cancer. This study is being conducted under a CRADA with the NCI Division of Cancer Treatment and Diagnosis and is designed to determine the activity of atezolizumab alone, atezolizumab plus SGI-110 and atezolizumab plus SGI-110 plus CDX-1401. The primary outcome of the Phase 1 dose escalation study is safety and only evaluates atezolizumab alone and in combination with SGI-110. The Phase 2 portion of the study is expected to add CDX-1401. The primary outcome of the Phase 2 portion of the study is a comparison of PFS between the three cohorts.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studies are being considered through investigator-sponsored and collaborative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CDX-301, a recombinant FMS-like tyrosine kinase 3 ligand, or Flt3L, is a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 licensed CDX-301 from Amgen Inc. in March 2009 and believe CDX-301 may hold significant opportunity for synergistic development in combination with other proprietary molecules in our portfolio.</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hematopoietic stem cell (HSC) populations in healthy volunteers.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At the 2016 ASCO Annual Meeting, initial results from a Phase 2 study of CDX-1401 in combination with CDX-301 in malignant melanoma were presented that further demonstrated the value of CDX-301 as a combination agent for enhancing tumor specific immune responses. The Phase 2 study was conducted by the Cancer Immunotherapy Trials Network, or CITN, under a CRADA with the Cancer Therapy Evaluation Program of the NCI. Based on these results the CITN is planning to enroll additional cohorts to investigate alternative regimens of CDX-301. Other studies are being considered through investigator-sponsored and collaborative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CDX-014 is a human monoclonal ADC that targets T cell immunoglobulin and mucin domain 1, or TIM-1. TIM-1 expression is upregulated in several cancers, most notably renal cell and ovarian carcinomas, and is associated with a more malignant phenotype of renal cell carcinoma (RCC) and tumor progression. TIM-1 has restricted expression in healthy tissues, making it potentially amenable to an ADC approach. The TIM-1 antibody is linked to MMAE using Seattle Genetics’ proprietary technology. The ADC is designed to be stable in the bloodstream but to release MMAE upon internalization into TIM-1-expressing tumor cells, resulting in a targeted cell-killing effect. CDX-014 has shown anti-tumor activity in preclinical models of ovarian and renal cancers.</w:t>
      </w:r>
    </w:p>
    <w:p>
      <w:pPr>
        <w:spacing w:after="0" w:line="158"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In July 2016, we announced that enrollment had opened in a Phase 1/2 study of CDX-014 to patients with both clear cell and papillary RCC. The Phase 1 dose-escalation portion of the study is evaluating cohorts of patients receiving increasing doses of CDX-014 to determine the maximum tolerated dose and a recommended dose for Phase 2 study. We anticipate expanding the Phase 1 study to encompass additional TIM-1 expressing tumor types and alternate dosing regimens. The Phase 2 portion of the study plans to enroll approximately 25 patients to assess the anti-tumor activity of CDX-014 at the recommended dose in advanced renal cell carcinoma as measured by objective response rate. Secondary objectives include safety and tolerability, pharmacokinetics, immunogenicity and additional measures of anti-tumor activity.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CDX-1140 is a fully human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w:t>
      </w:r>
    </w:p>
    <w:p>
      <w:pPr>
        <w:spacing w:after="0" w:line="16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Preclinical data, including the IND-enabling toxicology study of CDX-1140, were accepted for presentation at the Society for Immunotherapy of Cancer’s (SITC) 32nd Annual Meeting in November 2017. This toxicology study of CDX-1140 clearly demonstrates strong immune activation effects and</w:t>
      </w:r>
    </w:p>
    <w:p>
      <w:pPr>
        <w:sectPr>
          <w:pgSz w:w="11900" w:h="16908" w:orient="portrait"/>
          <w:cols w:equalWidth="0" w:num="1">
            <w:col w:w="11420"/>
          </w:cols>
          <w:pgMar w:left="240" w:top="125" w:right="239" w:bottom="0" w:gutter="0" w:footer="0" w:header="0"/>
        </w:sectPr>
      </w:pPr>
    </w:p>
    <w:bookmarkStart w:id="18" w:name="page19"/>
    <w:bookmarkEnd w:id="18"/>
    <w:p>
      <w:pPr>
        <w:ind w:right="40"/>
        <w:spacing w:after="0" w:line="286" w:lineRule="auto"/>
        <w:rPr>
          <w:sz w:val="20"/>
          <w:szCs w:val="20"/>
          <w:color w:val="auto"/>
        </w:rPr>
      </w:pPr>
      <w:r>
        <w:rPr>
          <w:rFonts w:ascii="Arial" w:cs="Arial" w:eastAsia="Arial" w:hAnsi="Arial"/>
          <w:sz w:val="17"/>
          <w:szCs w:val="17"/>
          <w:color w:val="auto"/>
        </w:rPr>
        <w:t>low systemic toxicity. The No Observable Adverse Effect Level (NOAEL) for CDX-1140 was determined to be 10 mg/kg in this study. The data support the design of the Phase 1 study of CDX-1140 to rapidly identify the dose for characterizing single-agent and combination activity. The Company believes that the potential for CDX-1140 will be best defined in combination studies with other immunotherapies or conventional cancer treatments.</w:t>
      </w:r>
    </w:p>
    <w:p>
      <w:pPr>
        <w:spacing w:after="0" w:line="166"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We plan to initiate a Phase 1 study of CDX-1140 by year-end 2017. This study, which is expected to enroll up to approximately 105 patients with recurrent, locally advanced or metastatic solid tumors, is designed to determine the maximum tolerated dose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See Note 2 to the unaudited condensed consolidated financial statements included elsewhere in this Quarterly Report on Form 10-Q for information regarding newly-adopted and recent accounting pronouncements. See also Note 2 to our financial statements included in our Annual Report on Form 10-K for the year ended December 31, 2016 for a discussion of our critical accounting policies. There have been no material changes to such critical accounting policies. We believe our most critical accounting policies include accounting for revenue recognition, impairment of long-lived assets, research and development expenses and stock-based compensation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Compared with Three Months Ended September 30,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Increase/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5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142"/>
        </w:trPr>
        <w:tc>
          <w:tcPr>
            <w:tcW w:w="5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gridSpan w:val="6"/>
          </w:tcPr>
          <w:p>
            <w:pPr>
              <w:jc w:val="right"/>
              <w:ind w:right="1120"/>
              <w:spacing w:after="0" w:line="142"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7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1,238</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2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50"/>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4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3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3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77%</w:t>
            </w:r>
          </w:p>
        </w:tc>
      </w:tr>
      <w:tr>
        <w:trPr>
          <w:trHeight w:val="170"/>
        </w:trPr>
        <w:tc>
          <w:tcPr>
            <w:tcW w:w="53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21,915</w:t>
            </w: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25,009</w:t>
            </w:r>
          </w:p>
        </w:tc>
        <w:tc>
          <w:tcPr>
            <w:tcW w:w="16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(3,094)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6,950</w:t>
            </w: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(1,604)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In-Process Research and Development Impairment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13,000</w:t>
            </w: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Gain on Fair Value Remeasurement of Contingent Consideration</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35,885</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Operating Loss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(31,961)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0"/>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Before Income Tax Benefit</w:t>
            </w:r>
          </w:p>
        </w:tc>
        <w:tc>
          <w:tcPr>
            <w:tcW w:w="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(31,563)</w:t>
            </w:r>
          </w:p>
        </w:tc>
        <w:tc>
          <w:tcPr>
            <w:tcW w:w="3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(29,598)</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(26,363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(29,598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(3,235</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$3.2 million decrease in net loss for the three months ended September 30, 2017, as compared to the three months ended September 30, 2016, was primarily the result of a decrease in research and development and general and administrative expenses, the gain on fair value remeasurement of contingent consideration and the income tax benefit recognized offset by the in-process research and development impairment.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The $0.7 million increase in product development and licensing agreements revenue for the three months ended September 30, 2017, as compared to the three months ended September 30, 2016, was primarily due to an increase in reimburseable clinical trial expenses from BMS associated with the Phase 1/2 study of varlilumab and Opdivo</w:t>
      </w:r>
      <w:r>
        <w:rPr>
          <w:rFonts w:ascii="Arial" w:cs="Arial" w:eastAsia="Arial" w:hAnsi="Arial"/>
          <w:sz w:val="36"/>
          <w:szCs w:val="36"/>
          <w:color w:val="auto"/>
          <w:vertAlign w:val="superscript"/>
        </w:rPr>
        <w:t>®</w:t>
      </w:r>
      <w:r>
        <w:rPr>
          <w:rFonts w:ascii="Arial" w:cs="Arial" w:eastAsia="Arial" w:hAnsi="Arial"/>
          <w:sz w:val="18"/>
          <w:szCs w:val="18"/>
          <w:color w:val="auto"/>
        </w:rPr>
        <w:t>, BMS’s PD-1 immune checkpoint inhibitor. The $1.0 million increase in contracts and grants revenue for the three months ended September 30, 2017, compared to the three months ended September 30, 2016, was primarily related to our IAVI and Frontier agreements pursuant to which we perform manufacturing and R&amp;D services for IAVI and Frontier.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(iv) license fees and (v) product development expenses associated with our product candidates as follows:</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center"/>
              <w:ind w:right="497"/>
              <w:spacing w:after="0"/>
              <w:rPr>
                <w:sz w:val="20"/>
                <w:szCs w:val="20"/>
                <w:color w:val="auto"/>
              </w:rPr>
            </w:pPr>
            <w:r>
              <w:rPr>
                <w:rFonts w:ascii="Arial" w:cs="Arial" w:eastAsia="Arial" w:hAnsi="Arial"/>
                <w:sz w:val="14"/>
                <w:szCs w:val="14"/>
                <w:b w:val="1"/>
                <w:bCs w:val="1"/>
                <w:color w:val="auto"/>
                <w:w w:val="92"/>
              </w:rPr>
              <w:t>Increase/</w:t>
            </w: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Increase/</w:t>
            </w:r>
          </w:p>
        </w:tc>
      </w:tr>
      <w:tr>
        <w:trPr>
          <w:trHeight w:val="171"/>
        </w:trPr>
        <w:tc>
          <w:tcPr>
            <w:tcW w:w="4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center"/>
              <w:ind w:right="497"/>
              <w:spacing w:after="0"/>
              <w:rPr>
                <w:sz w:val="20"/>
                <w:szCs w:val="20"/>
                <w:color w:val="auto"/>
              </w:rPr>
            </w:pPr>
            <w:r>
              <w:rPr>
                <w:rFonts w:ascii="Arial" w:cs="Arial" w:eastAsia="Arial" w:hAnsi="Arial"/>
                <w:sz w:val="14"/>
                <w:szCs w:val="14"/>
                <w:b w:val="1"/>
                <w:bCs w:val="1"/>
                <w:color w:val="auto"/>
                <w:w w:val="89"/>
              </w:rPr>
              <w:t>(Decrease)</w:t>
            </w: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42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497"/>
              <w:spacing w:after="0" w:line="142" w:lineRule="exact"/>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8,933</w:t>
            </w:r>
          </w:p>
        </w:tc>
        <w:tc>
          <w:tcPr>
            <w:tcW w:w="6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8,940</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(7)</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Laboratory Supplies</w:t>
            </w:r>
          </w:p>
        </w:tc>
        <w:tc>
          <w:tcPr>
            <w:tcW w:w="84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1,230</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1,114</w:t>
            </w:r>
          </w:p>
        </w:tc>
        <w:tc>
          <w:tcPr>
            <w:tcW w:w="420" w:type="dxa"/>
            <w:vAlign w:val="bottom"/>
          </w:tcPr>
          <w:p>
            <w:pPr>
              <w:spacing w:after="0"/>
              <w:rPr>
                <w:sz w:val="18"/>
                <w:szCs w:val="18"/>
                <w:color w:val="auto"/>
              </w:rPr>
            </w:pPr>
          </w:p>
        </w:tc>
        <w:tc>
          <w:tcPr>
            <w:tcW w:w="1380" w:type="dxa"/>
            <w:vAlign w:val="bottom"/>
          </w:tcPr>
          <w:p>
            <w:pPr>
              <w:jc w:val="right"/>
              <w:ind w:right="217"/>
              <w:spacing w:after="0"/>
              <w:rPr>
                <w:sz w:val="20"/>
                <w:szCs w:val="20"/>
                <w:color w:val="auto"/>
              </w:rPr>
            </w:pPr>
            <w:r>
              <w:rPr>
                <w:rFonts w:ascii="Arial" w:cs="Arial" w:eastAsia="Arial" w:hAnsi="Arial"/>
                <w:sz w:val="18"/>
                <w:szCs w:val="18"/>
                <w:color w:val="auto"/>
              </w:rPr>
              <w:t>116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2,056</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1,537</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519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License Fees</w:t>
            </w:r>
          </w:p>
        </w:tc>
        <w:tc>
          <w:tcPr>
            <w:tcW w:w="84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8"/>
                <w:szCs w:val="18"/>
                <w:color w:val="auto"/>
              </w:rPr>
              <w:t>162</w:t>
            </w:r>
          </w:p>
        </w:tc>
        <w:tc>
          <w:tcPr>
            <w:tcW w:w="6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942</w:t>
            </w:r>
          </w:p>
        </w:tc>
        <w:tc>
          <w:tcPr>
            <w:tcW w:w="420" w:type="dxa"/>
            <w:vAlign w:val="bottom"/>
          </w:tcPr>
          <w:p>
            <w:pPr>
              <w:spacing w:after="0"/>
              <w:rPr>
                <w:sz w:val="18"/>
                <w:szCs w:val="18"/>
                <w:color w:val="auto"/>
              </w:rPr>
            </w:pPr>
          </w:p>
        </w:tc>
        <w:tc>
          <w:tcPr>
            <w:tcW w:w="1380" w:type="dxa"/>
            <w:vAlign w:val="bottom"/>
          </w:tcPr>
          <w:p>
            <w:pPr>
              <w:jc w:val="right"/>
              <w:ind w:right="157"/>
              <w:spacing w:after="0"/>
              <w:rPr>
                <w:sz w:val="20"/>
                <w:szCs w:val="20"/>
                <w:color w:val="auto"/>
              </w:rPr>
            </w:pPr>
            <w:r>
              <w:rPr>
                <w:rFonts w:ascii="Arial" w:cs="Arial" w:eastAsia="Arial" w:hAnsi="Arial"/>
                <w:sz w:val="18"/>
                <w:szCs w:val="18"/>
                <w:color w:val="auto"/>
              </w:rPr>
              <w:t>(780)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7,316</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10,697</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(3,381)</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125" w:right="239" w:bottom="0" w:gutter="0" w:footer="0" w:header="0"/>
        </w:sectPr>
      </w:pPr>
    </w:p>
    <w:bookmarkStart w:id="19" w:name="page20"/>
    <w:bookmarkEnd w:id="19"/>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and were relatively consistent for the three months ended September 30, 2017, as compared to the three months ended September 30, 2016. Increases in salary expenses were offset by lower stock based compensation expense. We expect personnel expenses to remain relatively consistent over the next twelve months, although there may be fluctuations on a quarterly basis.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$0.1 million increase in laboratory supplies expense for the three months ended September 30, 2017, as compared to the three months ended September 30, 2016, was primarily due to higher laboratory services expenses. We expect laboratory supplies expense to remain relatively consistent over the next twelve months, although there may be fluctuations on a quarterly basis.</w:t>
      </w:r>
    </w:p>
    <w:p>
      <w:pPr>
        <w:spacing w:after="0" w:line="187"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Facility expenses include depreciation, amortization, utilities, rent, maintenance, and other related expenses incurred at our facilities. The $0.5 million increase in facility expenses for the three months ended September 30, 2017, as compared to the three months ended September 30, 2016, was primarily due to the addition of the New Haven facility that we acquired with the Kolltan Acquisition and higher depreciation expense of $0.3 million. We expect facility expenses to remain relatively consistent over the next twelve months, although there may be fluctuations on a quarterly basis.</w:t>
      </w:r>
    </w:p>
    <w:p>
      <w:pPr>
        <w:spacing w:after="0" w:line="15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License fees expense includes annual license maintenance fees and milestone payments due upon the achievement of certain development, regulatory and/or commercial milestones. The $0.8 million decrease in license fee expenses for the three months ended September 30, 2017, as compared to the three months ended September 30, 2016, was due to the timing of certain development and/or regulatory milestones achieved by our drug candidates. We expect license fees expense to remain relatively consistent over the next twelve months, although there may be fluctuations on a quarterly basis.</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$3.4 million decrease in product development expenses for the three months ended September 30, 2017, as compared to the three months ended September 30, 2016, was primarily the result of decreases in varlilumab contract manufacturing and clinical trials expenses of $1.7 million and $1.0 million, respectively. We expect product development expenses to remain relatively consistent over the next twelve months, although there may be fluctuations on a quarterly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$1.6 million decrease in general and administrative expenses for the three months ended September 30, 2017, as compared to the three months ended September 30, 2016, was primarily due to lower commercial planning costs of $0.7 million and lower stock-based compensation of $0.6 million. We expect general and administrative expense to remain relatively consistent over the next twelve months, although there may be fluctuations on a quarterly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Impairment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recorded a non-cash impairment charge of $13.0 million on the anti-KIT program IPR&amp;D assets acquired from Kolltan during the three months ended September 30, 2017. This impairment charge was related to changes in projected development and regulatory timelines regarding the anti-KIT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$4.6 million gain on fair value remeasurement of contingent consideration for the three months ended September 30, 2017 was primarily due to a reduction in fair value attributed to milestones related to our anti-KIT program. This gain was partially offset by losses related to changes in discount rates and the passage of time affecting remaining milestones. See Note 3 to the financial statements included herein for a discussion of the contingent consideration that may be payable related to the Kolltan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expenses for the three months ended September 30, 2017 were relatively consistent with the three months ended September 30,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amortization expense of acquired intangible assets to remain consistent over the next twelve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Investment and other income, net for the three months ended September 30, 2017 was consistent with the three months ended September 30,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anticipate investment income to decrease over the next twelve months primarily due to lower levels of cash and investment balances.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income tax benefit relates to a $5.2 million decrease in deferred tax liabilities, net during the three months ended September 30, 2017. This decrease was due to the partial impairment of the anti-KIT program IPR&amp;D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Compared with Nine Months Ended September 30, 2016</w:t>
      </w:r>
    </w:p>
    <w:p>
      <w:pPr>
        <w:spacing w:after="0" w:line="204" w:lineRule="exact"/>
        <w:rPr>
          <w:sz w:val="20"/>
          <w:szCs w:val="20"/>
          <w:color w:val="auto"/>
        </w:rPr>
      </w:pPr>
    </w:p>
    <w:tbl>
      <w:tblPr>
        <w:tblLayout w:type="fixed"/>
        <w:tblInd w:w="6520" w:type="dxa"/>
        <w:tblCellMar>
          <w:top w:w="0" w:type="dxa"/>
          <w:left w:w="0" w:type="dxa"/>
          <w:bottom w:w="0" w:type="dxa"/>
          <w:right w:w="0" w:type="dxa"/>
        </w:tblCellMar>
      </w:tblPr>
      <w:tr>
        <w:trPr>
          <w:trHeight w:val="161"/>
        </w:trPr>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w:t>
            </w:r>
          </w:p>
        </w:tc>
        <w:tc>
          <w:tcPr>
            <w:tcW w:w="90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49"/>
        </w:trPr>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9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3"/>
        </w:trPr>
        <w:tc>
          <w:tcPr>
            <w:tcW w:w="2260" w:type="dxa"/>
            <w:vAlign w:val="bottom"/>
            <w:tcBorders>
              <w:bottom w:val="single" w:sz="8" w:color="auto"/>
            </w:tcBorders>
          </w:tcPr>
          <w:p>
            <w:pPr>
              <w:spacing w:after="0" w:line="20" w:lineRule="exact"/>
              <w:rPr>
                <w:sz w:val="1"/>
                <w:szCs w:val="1"/>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926" w:orient="portrait"/>
          <w:cols w:equalWidth="0" w:num="1">
            <w:col w:w="11420"/>
          </w:cols>
          <w:pgMar w:left="240" w:top="341" w:right="239" w:bottom="0" w:gutter="0" w:footer="0" w:header="0"/>
        </w:sectPr>
      </w:pPr>
    </w:p>
    <w:bookmarkStart w:id="20" w:name="page21"/>
    <w:bookmarkEnd w:id="20"/>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tcPr>
          <w:p>
            <w:pPr>
              <w:jc w:val="center"/>
              <w:ind w:left="252"/>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Product Development and Licensing Agreements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2,488</w:t>
            </w: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1,551</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4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Grants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3,362</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r>
      <w:tr>
        <w:trPr>
          <w:trHeight w:val="25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9,287</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6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4,374</w:t>
            </w:r>
          </w:p>
        </w:tc>
        <w:tc>
          <w:tcPr>
            <w:tcW w:w="2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89%</w:t>
            </w:r>
          </w:p>
        </w:tc>
      </w:tr>
      <w:tr>
        <w:trPr>
          <w:trHeight w:val="170"/>
        </w:trPr>
        <w:tc>
          <w:tcPr>
            <w:tcW w:w="65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72,707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78,168</w:t>
            </w:r>
          </w:p>
        </w:tc>
        <w:tc>
          <w:tcPr>
            <w:tcW w:w="42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(5,461)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24,049</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(4,940)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In-Process Research and Development Impairment</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4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Fair Value Remeasurement of Contingent Consideration</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760</w:t>
            </w:r>
          </w:p>
        </w:tc>
        <w:tc>
          <w:tcPr>
            <w:tcW w:w="42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(88)</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105,288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102,977</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(96,001)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(98,064)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(2,063)</w:t>
            </w:r>
          </w:p>
        </w:tc>
        <w:tc>
          <w:tcPr>
            <w:tcW w:w="500" w:type="dxa"/>
            <w:vAlign w:val="bottom"/>
            <w:gridSpan w:val="2"/>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1,841</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r>
      <w:tr>
        <w:trPr>
          <w:trHeight w:val="21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Before Income Tax Benefit</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(94,390)</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(96,223)</w:t>
            </w:r>
          </w:p>
        </w:tc>
        <w:tc>
          <w:tcPr>
            <w:tcW w:w="1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(1,833)</w:t>
            </w:r>
          </w:p>
        </w:tc>
        <w:tc>
          <w:tcPr>
            <w:tcW w:w="500" w:type="dxa"/>
            <w:vAlign w:val="bottom"/>
            <w:tcBorders>
              <w:bottom w:val="single" w:sz="8" w:color="CCEEFF"/>
            </w:tcBorders>
            <w:gridSpan w:val="2"/>
          </w:tcPr>
          <w:p>
            <w:pPr>
              <w:spacing w:after="0"/>
              <w:rPr>
                <w:sz w:val="18"/>
                <w:szCs w:val="18"/>
                <w:color w:val="auto"/>
              </w:rPr>
            </w:pPr>
          </w:p>
        </w:tc>
        <w:tc>
          <w:tcPr>
            <w:tcW w:w="9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(89,190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(96,223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(7,033</w:t>
            </w:r>
          </w:p>
        </w:tc>
        <w:tc>
          <w:tcPr>
            <w:tcW w:w="500" w:type="dxa"/>
            <w:vAlign w:val="bottom"/>
            <w:gridSpan w:val="2"/>
          </w:tcPr>
          <w:p>
            <w:pPr>
              <w:jc w:val="right"/>
              <w:ind w:right="440"/>
              <w:spacing w:after="0"/>
              <w:rPr>
                <w:sz w:val="20"/>
                <w:szCs w:val="20"/>
                <w:color w:val="auto"/>
              </w:rPr>
            </w:pPr>
            <w:r>
              <w:rPr>
                <w:rFonts w:ascii="Arial" w:cs="Arial" w:eastAsia="Arial" w:hAnsi="Arial"/>
                <w:sz w:val="16"/>
                <w:szCs w:val="16"/>
                <w:color w:val="auto"/>
                <w:w w:val="74"/>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0"/>
        </w:trPr>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$7.0 million decrease in net loss for the nine months ended September 30, 2017, as compared to the nine months ended September 30, 2016, was primarily the result of an increase in contracts and grants revenue, a decrease in general and administrative and research and development expenses and the income tax benefit recognized offset by the in-process research and development impairment.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$0.9 million increase in product development and licensing agreements revenue for the nine months ended September 30, 2017, as compared to the nine months ended September 30, 2016, was primarily due to an increase in reimburseable clinical trial expenses related to our BMS agreement. The $3.4 million increase in contracts and grants revenue for the nine months ended September 30, 2017, as compared to the nine months ended September 30, 2016, was primarily related to our IAVI and Frontier agreements executed in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92"/>
              </w:rPr>
              <w:t>Increase/</w:t>
            </w: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2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right="577"/>
              <w:spacing w:after="0"/>
              <w:rPr>
                <w:sz w:val="20"/>
                <w:szCs w:val="20"/>
                <w:color w:val="auto"/>
              </w:rPr>
            </w:pPr>
            <w:r>
              <w:rPr>
                <w:rFonts w:ascii="Arial" w:cs="Arial" w:eastAsia="Arial" w:hAnsi="Arial"/>
                <w:sz w:val="14"/>
                <w:szCs w:val="14"/>
                <w:b w:val="1"/>
                <w:bCs w:val="1"/>
                <w:color w:val="auto"/>
                <w:w w:val="89"/>
              </w:rPr>
              <w:t>(Decrease)</w:t>
            </w: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(Decrease)</w:t>
            </w: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center"/>
              <w:ind w:right="577"/>
              <w:spacing w:after="0" w:line="142" w:lineRule="exact"/>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0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0"/>
              </w:rPr>
              <w:t>28,079</w:t>
            </w:r>
          </w:p>
        </w:tc>
        <w:tc>
          <w:tcPr>
            <w:tcW w:w="6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26,551</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1,528</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Laboratory Supplies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3,541</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right"/>
              <w:ind w:right="277"/>
              <w:spacing w:after="0"/>
              <w:rPr>
                <w:sz w:val="20"/>
                <w:szCs w:val="20"/>
                <w:color w:val="auto"/>
              </w:rPr>
            </w:pPr>
            <w:r>
              <w:rPr>
                <w:rFonts w:ascii="Arial" w:cs="Arial" w:eastAsia="Arial" w:hAnsi="Arial"/>
                <w:sz w:val="18"/>
                <w:szCs w:val="18"/>
                <w:color w:val="auto"/>
              </w:rPr>
              <w:t>767</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6,649</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2,228</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License Fees</w:t>
            </w:r>
          </w:p>
        </w:tc>
        <w:tc>
          <w:tcPr>
            <w:tcW w:w="1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jc w:val="right"/>
              <w:ind w:right="75"/>
              <w:spacing w:after="0"/>
              <w:rPr>
                <w:sz w:val="20"/>
                <w:szCs w:val="20"/>
                <w:color w:val="auto"/>
              </w:rPr>
            </w:pPr>
            <w:r>
              <w:rPr>
                <w:rFonts w:ascii="Arial" w:cs="Arial" w:eastAsia="Arial" w:hAnsi="Arial"/>
                <w:sz w:val="18"/>
                <w:szCs w:val="18"/>
                <w:color w:val="auto"/>
              </w:rPr>
              <w:t>479</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right"/>
              <w:ind w:right="217"/>
              <w:spacing w:after="0"/>
              <w:rPr>
                <w:sz w:val="20"/>
                <w:szCs w:val="20"/>
                <w:color w:val="auto"/>
              </w:rPr>
            </w:pPr>
            <w:r>
              <w:rPr>
                <w:rFonts w:ascii="Arial" w:cs="Arial" w:eastAsia="Arial" w:hAnsi="Arial"/>
                <w:sz w:val="18"/>
                <w:szCs w:val="18"/>
                <w:color w:val="auto"/>
              </w:rPr>
              <w:t>(902)</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0"/>
              </w:rPr>
              <w:t>26,965</w:t>
            </w:r>
          </w:p>
        </w:tc>
        <w:tc>
          <w:tcPr>
            <w:tcW w:w="6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36,950</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(9,985)</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ind w:right="1040" w:firstLine="648"/>
        <w:spacing w:after="0" w:line="308" w:lineRule="auto"/>
        <w:rPr>
          <w:sz w:val="20"/>
          <w:szCs w:val="20"/>
          <w:color w:val="auto"/>
        </w:rPr>
      </w:pPr>
      <w:r>
        <w:rPr>
          <w:rFonts w:ascii="Arial" w:cs="Arial" w:eastAsia="Arial" w:hAnsi="Arial"/>
          <w:sz w:val="17"/>
          <w:szCs w:val="17"/>
          <w:color w:val="auto"/>
        </w:rPr>
        <w:t>The $1.5 million increase in personnel expenses for the nine months ended September 30, 2017, as compared to the nine months ended September 30, 2016, was primarily due to an increase in salaries expense and headcount related to the Kolltan acquisition.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$0.8 million increase in laboratory supplies expense for the nine months ended September 30, 2017, as compared to the nine months ended September 30, 2016, was primarily due to higher manufacturing supply purchases.</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$2.2 million increase in facility expenses for the nine months ended September 30, 2017, as compared to the nine months ended September 30, 2016, was primarily due to the addition of our New Haven facility that we acquired with the Kolltan acquisition and higher depreciation expense of $1.3 million. In March 2017, the Company terminated its lease in Branford, CT and consolidated its Connecticut operations in its New Haven facility.</w:t>
      </w:r>
    </w:p>
    <w:p>
      <w:pPr>
        <w:spacing w:after="0" w:line="147" w:lineRule="exact"/>
        <w:rPr>
          <w:sz w:val="20"/>
          <w:szCs w:val="20"/>
          <w:color w:val="auto"/>
        </w:rPr>
      </w:pPr>
    </w:p>
    <w:p>
      <w:pPr>
        <w:ind w:right="940" w:firstLine="648"/>
        <w:spacing w:after="0" w:line="342" w:lineRule="auto"/>
        <w:rPr>
          <w:sz w:val="20"/>
          <w:szCs w:val="20"/>
          <w:color w:val="auto"/>
        </w:rPr>
      </w:pPr>
      <w:r>
        <w:rPr>
          <w:rFonts w:ascii="Arial" w:cs="Arial" w:eastAsia="Arial" w:hAnsi="Arial"/>
          <w:sz w:val="16"/>
          <w:szCs w:val="16"/>
          <w:color w:val="auto"/>
        </w:rPr>
        <w:t>The $0.9 million decrease in license fees expense for the nine months ended September 30, 2017, as compared to the nine months ended September 30, 2016, was due to the timing of certain development and/or regulatory milestones achieved by our drug candidates.</w:t>
      </w:r>
    </w:p>
    <w:p>
      <w:pPr>
        <w:spacing w:after="0" w:line="1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$10.0 million decrease in product development expenses for the nine months ended September 30, 2017, as compared to the nine months ended September 30, 2016, was primarily the result of (i) decreases in varlilumab and Rintega contract manufacturing expenses of $6.8 million and $2.5 million, respectively, partially offset by an increase in glembatumumab vedotin contract manufacturing expenses of $2.6 million and (ii) decreases in Rintega and varlilumab clinical trial costs of $5.1 million and $1.9 million, respectively, partially offset by increases in glembatumumab vedotin, anti-KIT and CDX-3379 clinical trial costs of $3.3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$4.9 million decrease in general and administrative expenses for the nine months ended September 30, 2017, as compared to the nine months ended September 30, 2016, was primarily due to lower commercial planning costs of $3.1 million and lower stock-based compensation of $1.4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Impairment</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recorded a non-cash impairment charge of $13.0 million on the anti-KIT program IPR&amp;D assets acquired from Kolltan during the nine months ended September 30, 2017. This impairment charge was related to changes in projected development and regulatory timelines regarding the anti-KIT</w:t>
      </w:r>
    </w:p>
    <w:p>
      <w:pPr>
        <w:sectPr>
          <w:pgSz w:w="11900" w:h="16908" w:orient="portrait"/>
          <w:cols w:equalWidth="0" w:num="1">
            <w:col w:w="11420"/>
          </w:cols>
          <w:pgMar w:left="240" w:top="118" w:right="239" w:bottom="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$0.2 million gain on fair value remeasurement of contingent consideration for the nine months ended September 30, 2017 was due to a reduction in fair value attributed to the milestones related to our anti-KIT program, partially offset by losses related to changes in discount rates and the passage of time affecting remaining milestones.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1000" w:firstLine="648"/>
        <w:spacing w:after="0" w:line="277" w:lineRule="auto"/>
        <w:rPr>
          <w:sz w:val="20"/>
          <w:szCs w:val="20"/>
          <w:color w:val="auto"/>
        </w:rPr>
      </w:pPr>
      <w:r>
        <w:rPr>
          <w:rFonts w:ascii="Arial" w:cs="Arial" w:eastAsia="Arial" w:hAnsi="Arial"/>
          <w:sz w:val="18"/>
          <w:szCs w:val="18"/>
          <w:color w:val="auto"/>
        </w:rPr>
        <w:t>Amortization expenses for the nine months ended September 30, 2017 were relatively consistent as compared to the nine months ended September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$0.2 million decrease in investment and other income, net for the nine months ended September 30, 2017, as compared to the nine months ended September 30, 2016, was primarily due to lower levels of cash and investment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deferred income tax benefit relates to a $5.2 million decrease in deferred tax liabilities, net during the nine months ended September 30,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due to the partial impairment of the anti-KIT program IPR&amp;D assets.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58" w:lineRule="exact"/>
        <w:rPr>
          <w:sz w:val="20"/>
          <w:szCs w:val="20"/>
          <w:color w:val="auto"/>
        </w:rPr>
      </w:pPr>
    </w:p>
    <w:p>
      <w:pPr>
        <w:jc w:val="both"/>
        <w:ind w:right="80" w:firstLine="648"/>
        <w:spacing w:after="0" w:line="297"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58"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color w:val="auto"/>
        </w:rPr>
        <w:t>At September 30, 2017, our principal sources of liquidity consisted of cash, cash equivalents and marketable securities of $140.5 million. We have had recurring losses and incurred a net loss of $89.2 million for the nine months ended September 30, 2017. Net cash used in operations for the nine months ended September 30, 2017 was $80.4 million. We believe that the cash, cash equivalents and marketable securities at September 30, 2017, combined with the $11.3 million in net proceeds from sales of common stock under the Cantor agreement during October 2017, are sufficient to meet estimated working capital requirements and fund planned operations through 2018; however, this could be impacted if we elected to pay contingent consideration related to the Kolltan acquisition, if any, in cash.</w:t>
      </w:r>
    </w:p>
    <w:p>
      <w:pPr>
        <w:spacing w:after="0" w:line="193"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During the next twelve months, we will take further steps to raise additional capital to meet our liquidity needs. Our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Net cash used in operating activities was $80.4 million for the nine months ended September 30, 2017 as compared to $92.7 million for the nine months ended September 30, 2016. The decrease in net cash used in operating activities was primarily due to a decrease in net loss of $7.0 million and changes in operating assets and liabilities. We expect that cash used in operating activities will decrease over the next twelve months, although there may be fluctuations on a quarterly basis.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ectPr>
          <w:pgSz w:w="11900" w:h="16838" w:orient="portrait"/>
          <w:cols w:equalWidth="0" w:num="1">
            <w:col w:w="11420"/>
          </w:cols>
          <w:pgMar w:left="240" w:top="125" w:right="239" w:bottom="0" w:gutter="0" w:footer="0" w:header="0"/>
          <w:type w:val="continuous"/>
        </w:sectPr>
      </w:pPr>
    </w:p>
    <w:bookmarkStart w:id="22" w:name="page23"/>
    <w:bookmarkEnd w:id="22"/>
    <w:p>
      <w:pPr>
        <w:spacing w:after="0" w:line="3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Net cash provided by investing activities was $59.9 million for the nine months ended September 30, 2017 as compared to $41.1 million for the nine months ended September 30, 2016. The increase in net cash provided by investing activities was primarily due to net sales and maturities of marketable securities for the nine months ended September 30, 2017 of $61.4 million as compared to $45.0 million for the nine months ended September 30, 2016.</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Net cash provided by financing activities was $32.8 million for the nine months ended September 30, 2017 as compared to $11.2 million for the nine months ended September 30, 2016. Net proceeds from stock issuances pursuant to employee benefit plans were $0.2 million during the nine months ended September 30, 2017 as compared to $0.5 million for the nine months ended September 30, 2016.</w:t>
      </w:r>
    </w:p>
    <w:p>
      <w:pPr>
        <w:spacing w:after="0" w:line="18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May 2016, we entered into a controlled equity offering sales agreement with Cantor Fitzgerald &amp; Co. to allow us to issue and sell shares of our common stock having an aggregate offering price of up to $60.0 million from time to time through Cantor, acting as agent. During the nine months ended September 30, 2017 and 2016, we issued 11,326,363 and 2,395,949 shares, respectively, of our common stock under this agreement with Cantor resulting in net proceeds to us of $32.6 million and $10.7 million, respectively, after deducting commission and offering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2016 which was filed with the SEC on March 14, 2017 have not materially changed since we filed that report.</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92"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September 30, 2017 due to the short-term maturities of these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of September 30, 2017,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September 30, 2017.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2017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2016,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14, 2017.</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ectPr>
          <w:pgSz w:w="11900" w:h="16870" w:orient="portrait"/>
          <w:cols w:equalWidth="0" w:num="1">
            <w:col w:w="11420"/>
          </w:cols>
          <w:pgMar w:left="240" w:top="341" w:right="239" w:bottom="0" w:gutter="0" w:footer="0" w:header="0"/>
        </w:sectPr>
      </w:pPr>
    </w:p>
    <w:bookmarkStart w:id="23" w:name="page24"/>
    <w:bookmarkEnd w:id="23"/>
    <w:p>
      <w:pPr>
        <w:ind w:right="40" w:firstLine="648"/>
        <w:spacing w:after="0" w:line="255" w:lineRule="auto"/>
        <w:rPr>
          <w:sz w:val="20"/>
          <w:szCs w:val="20"/>
          <w:color w:val="auto"/>
        </w:rPr>
      </w:pPr>
      <w:r>
        <w:rPr>
          <w:rFonts w:ascii="Arial" w:cs="Arial" w:eastAsia="Arial" w:hAnsi="Arial"/>
          <w:sz w:val="18"/>
          <w:szCs w:val="18"/>
          <w:color w:val="auto"/>
        </w:rPr>
        <w:t>On November 1, 2017, we determined that we should record a non-cash partial impairment charge of $13.0 million for the three months ended September 30, 2017 related to our anti-KIT program. The anti-KIT program was acquired as part of our acquisition of Kolltan Pharmaceuticals, Inc.in the fourth quarter of 2016. We determined that changes in projected development and regulatory timelines related to the anti-KIT program constituted a triggering event that required us to evaluate the intangible asset for impairment. The time periods to receive approvals from the FDA and other regulatory agencies are subject to uncertainty and therefore we will continue to evaluate the development progress for the anti-KIT program and monitor the remaining $27.0 million intangible asset for further impairment. See Note 5 to the consolidated financial statements included elsewhere in this quarterly report on Form 10-Q for further discussion of this impairment charge.</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preceding the exhibits and are incorporated by reference herein.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80" w:type="dxa"/>
            <w:vAlign w:val="bottom"/>
            <w:gridSpan w:val="7"/>
          </w:tcPr>
          <w:p>
            <w:pPr>
              <w:jc w:val="right"/>
              <w:ind w:right="128"/>
              <w:spacing w:after="0"/>
              <w:rPr>
                <w:sz w:val="20"/>
                <w:szCs w:val="20"/>
                <w:color w:val="auto"/>
              </w:rPr>
            </w:pPr>
            <w:r>
              <w:rPr>
                <w:rFonts w:ascii="Arial" w:cs="Arial" w:eastAsia="Arial" w:hAnsi="Arial"/>
                <w:sz w:val="18"/>
                <w:szCs w:val="18"/>
                <w:color w:val="auto"/>
              </w:rPr>
              <w:t>33</w:t>
            </w:r>
          </w:p>
        </w:tc>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34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146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20" w:type="dxa"/>
            <w:vAlign w:val="bottom"/>
            <w:gridSpan w:val="18"/>
          </w:tcPr>
          <w:p>
            <w:pPr>
              <w:jc w:val="center"/>
              <w:ind w:right="3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300" w:type="dxa"/>
            <w:vAlign w:val="bottom"/>
            <w:gridSpan w:val="17"/>
            <w:vMerge w:val="restart"/>
          </w:tcPr>
          <w:p>
            <w:pPr>
              <w:ind w:left="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30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60" w:type="dxa"/>
            <w:vAlign w:val="bottom"/>
            <w:tcBorders>
              <w:top w:val="single" w:sz="8" w:color="auto"/>
            </w:tcBorders>
            <w:gridSpan w:val="20"/>
          </w:tcPr>
          <w:p>
            <w:pPr>
              <w:spacing w:after="0" w:line="170" w:lineRule="exact"/>
              <w:rPr>
                <w:rFonts w:ascii="Arial" w:cs="Arial" w:eastAsia="Arial" w:hAnsi="Arial"/>
                <w:sz w:val="18"/>
                <w:szCs w:val="18"/>
                <w:color w:val="0000EE"/>
                <w:w w:val="97"/>
              </w:rPr>
            </w:pPr>
            <w:hyperlink r:id="rId61">
              <w:r>
                <w:rPr>
                  <w:rFonts w:ascii="Arial" w:cs="Arial" w:eastAsia="Arial" w:hAnsi="Arial"/>
                  <w:sz w:val="18"/>
                  <w:szCs w:val="18"/>
                  <w:color w:val="0000EE"/>
                  <w:w w:val="97"/>
                </w:rPr>
                <w:t>Third Restated Certificate of Incorporation of the Company, incorporated by reference to Exhibit 3.1 of the Company’s Registration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Statement on Form S-4 (Reg. No. 333-59215), filed July 16, 1998 with the Securities and Exchange Commission.</w:t>
              </w:r>
            </w:hyperlink>
          </w:p>
        </w:tc>
        <w:tc>
          <w:tcPr>
            <w:tcW w:w="1300" w:type="dxa"/>
            <w:vAlign w:val="bottom"/>
            <w:tcBorders>
              <w:top w:val="single" w:sz="8" w:color="0000EE"/>
            </w:tcBorders>
            <w:gridSpan w:val="6"/>
          </w:tcPr>
          <w:p>
            <w:pPr>
              <w:spacing w:after="0"/>
              <w:rPr>
                <w:sz w:val="17"/>
                <w:szCs w:val="17"/>
                <w:color w:val="auto"/>
              </w:rPr>
            </w:pPr>
          </w:p>
        </w:tc>
        <w:tc>
          <w:tcPr>
            <w:tcW w:w="7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00" w:type="dxa"/>
            <w:vAlign w:val="bottom"/>
            <w:gridSpan w:val="22"/>
          </w:tcPr>
          <w:p>
            <w:pPr>
              <w:spacing w:after="0"/>
              <w:rPr>
                <w:rFonts w:ascii="Arial" w:cs="Arial" w:eastAsia="Arial" w:hAnsi="Arial"/>
                <w:sz w:val="18"/>
                <w:szCs w:val="18"/>
                <w:color w:val="0000EE"/>
                <w:w w:val="95"/>
              </w:rPr>
            </w:pPr>
            <w:hyperlink r:id="rId61">
              <w:r>
                <w:rPr>
                  <w:rFonts w:ascii="Arial" w:cs="Arial" w:eastAsia="Arial" w:hAnsi="Arial"/>
                  <w:sz w:val="18"/>
                  <w:szCs w:val="18"/>
                  <w:color w:val="0000EE"/>
                  <w:w w:val="95"/>
                </w:rPr>
                <w:t>Certificate of Amendment of Third Restated Certificate of Incorporation of the Company, incorporated by reference to Exhibit 3.1 of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Company’s Registration Statement on Form S-4 (Reg. No. 333-59215), filed July 16, 1998 with the Securities and Exchange Commission.</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0160" w:type="dxa"/>
            <w:vAlign w:val="bottom"/>
            <w:tcBorders>
              <w:bottom w:val="single" w:sz="8" w:color="0000EE"/>
            </w:tcBorders>
            <w:gridSpan w:val="20"/>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Second Certificate of Amendment of Third Restated Certificate of Incorporation of the Company, incorporated by reference to Exhibit 3.2 of</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the Company’s Registration Statement on Form S-4 (Reg. No. 333-59215), filed July 16, 1998 with the Securities and Exchange</w:t>
              </w:r>
            </w:hyperlink>
          </w:p>
        </w:tc>
        <w:tc>
          <w:tcPr>
            <w:tcW w:w="9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Commission.</w:t>
              </w:r>
            </w:hyperlink>
          </w:p>
        </w:tc>
        <w:tc>
          <w:tcPr>
            <w:tcW w:w="92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10200" w:type="dxa"/>
            <w:vAlign w:val="bottom"/>
            <w:gridSpan w:val="22"/>
          </w:tcPr>
          <w:p>
            <w:pPr>
              <w:spacing w:after="0"/>
              <w:rPr>
                <w:rFonts w:ascii="Arial" w:cs="Arial" w:eastAsia="Arial" w:hAnsi="Arial"/>
                <w:sz w:val="18"/>
                <w:szCs w:val="18"/>
                <w:color w:val="0000EE"/>
                <w:w w:val="93"/>
              </w:rPr>
            </w:pPr>
            <w:hyperlink r:id="rId62">
              <w:r>
                <w:rPr>
                  <w:rFonts w:ascii="Arial" w:cs="Arial" w:eastAsia="Arial" w:hAnsi="Arial"/>
                  <w:sz w:val="18"/>
                  <w:szCs w:val="18"/>
                  <w:color w:val="0000EE"/>
                  <w:w w:val="93"/>
                </w:rPr>
                <w:t>Third Certificate of Amendment of Third Restated Certificate of Incorporation of the Company, incorporated by reference to Exhibit 3.1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the Company’s Quarterly Report on Form 10-Q, filed May 10, 2002 with the Securities and Exchange Commission.</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10200" w:type="dxa"/>
            <w:vAlign w:val="bottom"/>
            <w:gridSpan w:val="22"/>
          </w:tcPr>
          <w:p>
            <w:pPr>
              <w:spacing w:after="0"/>
              <w:rPr>
                <w:rFonts w:ascii="Arial" w:cs="Arial" w:eastAsia="Arial" w:hAnsi="Arial"/>
                <w:sz w:val="18"/>
                <w:szCs w:val="18"/>
                <w:color w:val="0000EE"/>
                <w:w w:val="92"/>
              </w:rPr>
            </w:pPr>
            <w:hyperlink r:id="rId63">
              <w:r>
                <w:rPr>
                  <w:rFonts w:ascii="Arial" w:cs="Arial" w:eastAsia="Arial" w:hAnsi="Arial"/>
                  <w:sz w:val="18"/>
                  <w:szCs w:val="18"/>
                  <w:color w:val="0000EE"/>
                  <w:w w:val="92"/>
                </w:rPr>
                <w:t>Fourth Certificate of Amendment of Third Restated Certificate of Incorporation of the Company, incorporated by reference to Exhibit 3.1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the Company’s Current Report on Form 8-K, filed on March 11, 2008 with the Securities and Exchange Commission.</w:t>
              </w:r>
            </w:hyperlink>
          </w:p>
        </w:tc>
        <w:tc>
          <w:tcPr>
            <w:tcW w:w="1600" w:type="dxa"/>
            <w:vAlign w:val="bottom"/>
            <w:tcBorders>
              <w:top w:val="single" w:sz="8" w:color="0000EE"/>
            </w:tcBorders>
            <w:gridSpan w:val="9"/>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9980" w:type="dxa"/>
            <w:vAlign w:val="bottom"/>
            <w:tcBorders>
              <w:bottom w:val="single" w:sz="8" w:color="0000EE"/>
            </w:tcBorders>
            <w:gridSpan w:val="16"/>
          </w:tcPr>
          <w:p>
            <w:pPr>
              <w:spacing w:after="0"/>
              <w:rPr>
                <w:rFonts w:ascii="Arial" w:cs="Arial" w:eastAsia="Arial" w:hAnsi="Arial"/>
                <w:sz w:val="18"/>
                <w:szCs w:val="18"/>
                <w:color w:val="0000EE"/>
                <w:w w:val="92"/>
              </w:rPr>
            </w:pPr>
            <w:hyperlink r:id="rId64">
              <w:r>
                <w:rPr>
                  <w:rFonts w:ascii="Arial" w:cs="Arial" w:eastAsia="Arial" w:hAnsi="Arial"/>
                  <w:sz w:val="18"/>
                  <w:szCs w:val="18"/>
                  <w:color w:val="0000EE"/>
                  <w:w w:val="92"/>
                </w:rPr>
                <w:t>Fifth Certificate of Amendment of Third Restated Certificate of Incorporation of the Company, incorporated by reference to Exhibit 3.2 of</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the Company’s Current Report on Form 8-K, filed on March 11, 2008 with the Securities and Exchange Commission.</w:t>
              </w:r>
            </w:hyperlink>
          </w:p>
        </w:tc>
        <w:tc>
          <w:tcPr>
            <w:tcW w:w="17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10200" w:type="dxa"/>
            <w:vAlign w:val="bottom"/>
            <w:gridSpan w:val="22"/>
          </w:tcPr>
          <w:p>
            <w:pPr>
              <w:spacing w:after="0"/>
              <w:rPr>
                <w:rFonts w:ascii="Arial" w:cs="Arial" w:eastAsia="Arial" w:hAnsi="Arial"/>
                <w:sz w:val="18"/>
                <w:szCs w:val="18"/>
                <w:color w:val="0000EE"/>
                <w:w w:val="93"/>
              </w:rPr>
            </w:pPr>
            <w:hyperlink r:id="rId65">
              <w:r>
                <w:rPr>
                  <w:rFonts w:ascii="Arial" w:cs="Arial" w:eastAsia="Arial" w:hAnsi="Arial"/>
                  <w:sz w:val="18"/>
                  <w:szCs w:val="18"/>
                  <w:color w:val="0000EE"/>
                  <w:w w:val="93"/>
                </w:rPr>
                <w:t>Sixth Certificate of Amendment of Third Restated Certificate of Incorporation of the Company, incorporated by reference to Exhibit 3.7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65">
              <w:r>
                <w:rPr>
                  <w:rFonts w:ascii="Arial" w:cs="Arial" w:eastAsia="Arial" w:hAnsi="Arial"/>
                  <w:sz w:val="18"/>
                  <w:szCs w:val="18"/>
                  <w:color w:val="0000EE"/>
                  <w:w w:val="91"/>
                </w:rPr>
                <w:t>the Company’s Quarterly Report on Form 10-Q, filed November 10, 2008 with the Securities and Exchange Commission.</w:t>
              </w:r>
            </w:hyperlink>
          </w:p>
        </w:tc>
        <w:tc>
          <w:tcPr>
            <w:tcW w:w="1220" w:type="dxa"/>
            <w:vAlign w:val="bottom"/>
            <w:tcBorders>
              <w:top w:val="single" w:sz="8" w:color="0000EE"/>
            </w:tcBorders>
            <w:gridSpan w:val="6"/>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00" w:type="dxa"/>
            <w:vAlign w:val="bottom"/>
            <w:gridSpan w:val="22"/>
          </w:tcPr>
          <w:p>
            <w:pPr>
              <w:spacing w:after="0"/>
              <w:rPr>
                <w:rFonts w:ascii="Arial" w:cs="Arial" w:eastAsia="Arial" w:hAnsi="Arial"/>
                <w:sz w:val="18"/>
                <w:szCs w:val="18"/>
                <w:color w:val="0000EE"/>
                <w:w w:val="94"/>
              </w:rPr>
            </w:pPr>
            <w:hyperlink r:id="rId66">
              <w:r>
                <w:rPr>
                  <w:rFonts w:ascii="Arial" w:cs="Arial" w:eastAsia="Arial" w:hAnsi="Arial"/>
                  <w:sz w:val="18"/>
                  <w:szCs w:val="18"/>
                  <w:color w:val="0000EE"/>
                  <w:w w:val="94"/>
                </w:rPr>
                <w:t>Employment Agreement, dated October 3, 2017, by and between Margo Heath-Chiozzi and Celldex Therapeutics., Inc.,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reference to Exhibit 10.1 of the Company’s Current Report on Form 8-K, filed on October 3, 2017 with the Securities and Exchange</w:t>
              </w:r>
            </w:hyperlink>
          </w:p>
        </w:tc>
        <w:tc>
          <w:tcPr>
            <w:tcW w:w="300" w:type="dxa"/>
            <w:vAlign w:val="bottom"/>
            <w:tcBorders>
              <w:top w:val="single" w:sz="8" w:color="0000EE"/>
            </w:tcBorders>
          </w:tcPr>
          <w:p>
            <w:pPr>
              <w:spacing w:after="0"/>
              <w:rPr>
                <w:sz w:val="17"/>
                <w:szCs w:val="17"/>
                <w:color w:val="auto"/>
              </w:rPr>
            </w:pPr>
          </w:p>
        </w:tc>
        <w:tc>
          <w:tcPr>
            <w:tcW w:w="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Commission.</w:t>
              </w:r>
            </w:hyperlink>
          </w:p>
        </w:tc>
        <w:tc>
          <w:tcPr>
            <w:tcW w:w="92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39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Certification of President and Chief Executive Officer</w:t>
              </w:r>
            </w:hyperlink>
          </w:p>
        </w:tc>
        <w:tc>
          <w:tcPr>
            <w:tcW w:w="63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7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Certification of Senior Vice President and Chief Financial Officer</w:t>
              </w:r>
            </w:hyperlink>
          </w:p>
        </w:tc>
        <w:tc>
          <w:tcPr>
            <w:tcW w:w="54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20" w:type="dxa"/>
            <w:vAlign w:val="bottom"/>
            <w:gridSpan w:val="2"/>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Section 1350 Certifications</w:t>
              </w:r>
            </w:hyperlink>
          </w:p>
        </w:tc>
        <w:tc>
          <w:tcPr>
            <w:tcW w:w="82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0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0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0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0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0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0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-6896100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-6896100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60" w:hanging="993"/>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993"/>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41" w:right="199" w:bottom="0" w:gutter="0" w:footer="0" w:header="0"/>
        </w:sectPr>
      </w:pPr>
    </w:p>
    <w:bookmarkStart w:id="24" w:name="page25"/>
    <w:bookmarkEnd w:id="24"/>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ANTHONY S. MARUCCI</w:t>
      </w:r>
    </w:p>
    <w:p>
      <w:pPr>
        <w:spacing w:after="0" w:line="23"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Dated: November 7, 2017</w:t>
      </w:r>
      <w:r>
        <w:rPr>
          <w:sz w:val="20"/>
          <w:szCs w:val="20"/>
          <w:color w:val="auto"/>
        </w:rPr>
        <w:tab/>
      </w:r>
      <w:r>
        <w:rPr>
          <w:rFonts w:ascii="Arial" w:cs="Arial" w:eastAsia="Arial" w:hAnsi="Arial"/>
          <w:sz w:val="16"/>
          <w:szCs w:val="16"/>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SAM MARTIN</w:t>
      </w:r>
    </w:p>
    <w:p>
      <w:pPr>
        <w:spacing w:after="0" w:line="23"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Dated: November 7, 2017</w:t>
      </w:r>
      <w:r>
        <w:rPr>
          <w:sz w:val="20"/>
          <w:szCs w:val="20"/>
          <w:color w:val="auto"/>
        </w:rPr>
        <w:tab/>
      </w:r>
      <w:r>
        <w:rPr>
          <w:rFonts w:ascii="Arial" w:cs="Arial" w:eastAsia="Arial" w:hAnsi="Arial"/>
          <w:sz w:val="16"/>
          <w:szCs w:val="16"/>
          <w:color w:val="auto"/>
        </w:rPr>
        <w:t>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121" w:right="719" w:bottom="1440" w:gutter="0" w:footer="0" w:header="0"/>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7, 2017</w:t>
            </w:r>
          </w:p>
        </w:tc>
        <w:tc>
          <w:tcPr>
            <w:tcW w:w="2720" w:type="dxa"/>
            <w:vAlign w:val="bottom"/>
          </w:tcPr>
          <w:p>
            <w:pPr>
              <w:ind w:left="20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c>
          <w:tcPr>
            <w:tcW w:w="40" w:type="dxa"/>
            <w:vAlign w:val="bottom"/>
          </w:tcPr>
          <w:p>
            <w:pPr>
              <w:spacing w:after="0"/>
              <w:rPr>
                <w:sz w:val="20"/>
                <w:szCs w:val="20"/>
                <w:color w:val="auto"/>
              </w:rPr>
            </w:pPr>
          </w:p>
        </w:tc>
      </w:tr>
      <w:tr>
        <w:trPr>
          <w:trHeight w:val="195"/>
        </w:trPr>
        <w:tc>
          <w:tcPr>
            <w:tcW w:w="3780" w:type="dxa"/>
            <w:vAlign w:val="bottom"/>
          </w:tcPr>
          <w:p>
            <w:pPr>
              <w:spacing w:after="0"/>
              <w:rPr>
                <w:sz w:val="16"/>
                <w:szCs w:val="16"/>
                <w:color w:val="auto"/>
              </w:rPr>
            </w:pPr>
          </w:p>
        </w:tc>
        <w:tc>
          <w:tcPr>
            <w:tcW w:w="272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720" w:type="dxa"/>
            <w:vAlign w:val="bottom"/>
          </w:tcPr>
          <w:p>
            <w:pPr>
              <w:ind w:left="200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r>
      <w:tr>
        <w:trPr>
          <w:trHeight w:val="348"/>
        </w:trPr>
        <w:tc>
          <w:tcPr>
            <w:tcW w:w="378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6" w:name="page27"/>
    <w:bookmarkEnd w:id="26"/>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88"/>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260" w:hanging="388"/>
        <w:spacing w:after="0" w:line="264" w:lineRule="auto"/>
        <w:tabs>
          <w:tab w:leader="none" w:pos="7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20" w:right="220" w:hanging="388"/>
        <w:spacing w:after="0" w:line="308" w:lineRule="auto"/>
        <w:tabs>
          <w:tab w:leader="none" w:pos="7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260" w:hanging="388"/>
        <w:spacing w:after="0" w:line="264" w:lineRule="auto"/>
        <w:tabs>
          <w:tab w:leader="none" w:pos="7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60" w:right="60" w:hanging="639"/>
        <w:spacing w:after="0" w:line="264" w:lineRule="auto"/>
        <w:tabs>
          <w:tab w:leader="none" w:pos="13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60" w:right="200" w:hanging="639"/>
        <w:spacing w:after="0" w:line="264" w:lineRule="auto"/>
        <w:tabs>
          <w:tab w:leader="none" w:pos="13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60" w:hanging="639"/>
        <w:spacing w:after="0" w:line="342" w:lineRule="auto"/>
        <w:tabs>
          <w:tab w:leader="none" w:pos="137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60" w:hanging="639"/>
        <w:spacing w:after="0" w:line="264" w:lineRule="auto"/>
        <w:tabs>
          <w:tab w:leader="none" w:pos="13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20" w:right="160" w:hanging="388"/>
        <w:spacing w:after="0" w:line="308" w:lineRule="auto"/>
        <w:tabs>
          <w:tab w:leader="none" w:pos="7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60" w:right="600" w:hanging="639"/>
        <w:spacing w:after="0" w:line="342" w:lineRule="auto"/>
        <w:tabs>
          <w:tab w:leader="none" w:pos="135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80" w:hanging="639"/>
        <w:spacing w:after="0" w:line="277" w:lineRule="auto"/>
        <w:tabs>
          <w:tab w:leader="none" w:pos="13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Date: November 7, 2017</w:t>
            </w:r>
          </w:p>
        </w:tc>
        <w:tc>
          <w:tcPr>
            <w:tcW w:w="2800" w:type="dxa"/>
            <w:vAlign w:val="bottom"/>
          </w:tcPr>
          <w:p>
            <w:pPr>
              <w:ind w:left="200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c>
          <w:tcPr>
            <w:tcW w:w="40" w:type="dxa"/>
            <w:vAlign w:val="bottom"/>
          </w:tcPr>
          <w:p>
            <w:pPr>
              <w:spacing w:after="0"/>
              <w:rPr>
                <w:sz w:val="20"/>
                <w:szCs w:val="20"/>
                <w:color w:val="auto"/>
              </w:rPr>
            </w:pPr>
          </w:p>
        </w:tc>
      </w:tr>
      <w:tr>
        <w:trPr>
          <w:trHeight w:val="195"/>
        </w:trPr>
        <w:tc>
          <w:tcPr>
            <w:tcW w:w="3800" w:type="dxa"/>
            <w:vAlign w:val="bottom"/>
          </w:tcPr>
          <w:p>
            <w:pPr>
              <w:spacing w:after="0"/>
              <w:rPr>
                <w:sz w:val="16"/>
                <w:szCs w:val="16"/>
                <w:color w:val="auto"/>
              </w:rPr>
            </w:pPr>
          </w:p>
        </w:tc>
        <w:tc>
          <w:tcPr>
            <w:tcW w:w="280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Sam Martin</w:t>
            </w:r>
          </w:p>
        </w:tc>
        <w:tc>
          <w:tcPr>
            <w:tcW w:w="40" w:type="dxa"/>
            <w:vAlign w:val="bottom"/>
          </w:tcPr>
          <w:p>
            <w:pPr>
              <w:spacing w:after="0"/>
              <w:rPr>
                <w:sz w:val="16"/>
                <w:szCs w:val="16"/>
                <w:color w:val="auto"/>
              </w:rPr>
            </w:pPr>
          </w:p>
        </w:tc>
      </w:tr>
      <w:tr>
        <w:trPr>
          <w:trHeight w:val="230"/>
        </w:trPr>
        <w:tc>
          <w:tcPr>
            <w:tcW w:w="3800" w:type="dxa"/>
            <w:vAlign w:val="bottom"/>
          </w:tcPr>
          <w:p>
            <w:pPr>
              <w:spacing w:after="0"/>
              <w:rPr>
                <w:sz w:val="20"/>
                <w:szCs w:val="20"/>
                <w:color w:val="auto"/>
              </w:rPr>
            </w:pPr>
          </w:p>
        </w:tc>
        <w:tc>
          <w:tcPr>
            <w:tcW w:w="2800" w:type="dxa"/>
            <w:vAlign w:val="bottom"/>
          </w:tcPr>
          <w:p>
            <w:pPr>
              <w:ind w:left="200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348"/>
        </w:trPr>
        <w:tc>
          <w:tcPr>
            <w:tcW w:w="380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7, 2017</w:t>
            </w:r>
          </w:p>
        </w:tc>
        <w:tc>
          <w:tcPr>
            <w:tcW w:w="2720" w:type="dxa"/>
            <w:vAlign w:val="bottom"/>
          </w:tcPr>
          <w:p>
            <w:pPr>
              <w:ind w:left="20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780" w:type="dxa"/>
            <w:vAlign w:val="bottom"/>
          </w:tcPr>
          <w:p>
            <w:pPr>
              <w:spacing w:after="0"/>
              <w:rPr>
                <w:sz w:val="16"/>
                <w:szCs w:val="16"/>
                <w:color w:val="auto"/>
              </w:rPr>
            </w:pPr>
          </w:p>
        </w:tc>
        <w:tc>
          <w:tcPr>
            <w:tcW w:w="272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780" w:type="dxa"/>
            <w:vAlign w:val="bottom"/>
          </w:tcPr>
          <w:p>
            <w:pPr>
              <w:spacing w:after="0"/>
              <w:rPr>
                <w:sz w:val="20"/>
                <w:szCs w:val="20"/>
                <w:color w:val="auto"/>
              </w:rPr>
            </w:pPr>
          </w:p>
        </w:tc>
        <w:tc>
          <w:tcPr>
            <w:tcW w:w="2720" w:type="dxa"/>
            <w:vAlign w:val="bottom"/>
          </w:tcPr>
          <w:p>
            <w:pPr>
              <w:ind w:left="200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November 7, 2017</w:t>
            </w:r>
          </w:p>
        </w:tc>
        <w:tc>
          <w:tcPr>
            <w:tcW w:w="2720" w:type="dxa"/>
            <w:vAlign w:val="bottom"/>
          </w:tcPr>
          <w:p>
            <w:pPr>
              <w:ind w:left="20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780" w:type="dxa"/>
            <w:vAlign w:val="bottom"/>
          </w:tcPr>
          <w:p>
            <w:pPr>
              <w:spacing w:after="0"/>
              <w:rPr>
                <w:sz w:val="16"/>
                <w:szCs w:val="16"/>
                <w:color w:val="auto"/>
              </w:rPr>
            </w:pPr>
          </w:p>
        </w:tc>
        <w:tc>
          <w:tcPr>
            <w:tcW w:w="272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780" w:type="dxa"/>
            <w:vAlign w:val="bottom"/>
          </w:tcPr>
          <w:p>
            <w:pPr>
              <w:spacing w:after="0"/>
              <w:rPr>
                <w:sz w:val="20"/>
                <w:szCs w:val="20"/>
                <w:color w:val="auto"/>
              </w:rPr>
            </w:pPr>
          </w:p>
        </w:tc>
        <w:tc>
          <w:tcPr>
            <w:tcW w:w="2720" w:type="dxa"/>
            <w:vAlign w:val="bottom"/>
          </w:tcPr>
          <w:p>
            <w:pPr>
              <w:ind w:left="200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61" Type="http://schemas.openxmlformats.org/officeDocument/2006/relationships/hyperlink" Target="http://www.sec.gov/Archives/edgar/data/744218/0001029869-98-000936-index.html" TargetMode="External"/><Relationship Id="rId62" Type="http://schemas.openxmlformats.org/officeDocument/2006/relationships/hyperlink" Target="http://www.sec.gov/Archives/edgar/data/744218/000110465902001892/j3484_ex3d1.htm" TargetMode="External"/><Relationship Id="rId63" Type="http://schemas.openxmlformats.org/officeDocument/2006/relationships/hyperlink" Target="http://www.sec.gov/Archives/edgar/data/744218/000110465908016816/a08-7923_1ex3d1.htm" TargetMode="External"/><Relationship Id="rId64" Type="http://schemas.openxmlformats.org/officeDocument/2006/relationships/hyperlink" Target="http://www.sec.gov/Archives/edgar/data/744218/000110465908016816/a08-7923_1ex3d2.htm" TargetMode="External"/><Relationship Id="rId65" Type="http://schemas.openxmlformats.org/officeDocument/2006/relationships/hyperlink" Target="http://www.sec.gov/Archives/edgar/data/744218/000110465908069812/a08-25757_1ex3d7.htm" TargetMode="External"/><Relationship Id="rId66" Type="http://schemas.openxmlformats.org/officeDocument/2006/relationships/hyperlink" Target="http://www.sec.gov/Archives/edgar/data/744218/000110465917060390/a17-22695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2019-12-29T03:20:29Z</dcterms:created>
  <dcterms:modified xsi:type="dcterms:W3CDTF">2019-12-29T03:20:29Z</dcterms:modified>
</cp:coreProperties>
</file>