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660" w:right="32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280" w:hanging="328"/>
        <w:spacing w:after="0" w:line="262" w:lineRule="auto"/>
        <w:tabs>
          <w:tab w:leader="none" w:pos="552"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000-15006</w:t>
      </w:r>
    </w:p>
    <w:p>
      <w:pPr>
        <w:spacing w:after="0" w:line="2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CELLDEX THERAPEUTICS, INC.</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40"/>
          </w:cols>
          <w:pgMar w:left="240" w:top="229" w:right="319" w:bottom="0" w:gutter="0" w:footer="0" w:header="0"/>
        </w:sectPr>
      </w:pP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No. 13-3191702</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6" w:lineRule="exact"/>
        <w:rPr>
          <w:sz w:val="24"/>
          <w:szCs w:val="24"/>
          <w:color w:val="auto"/>
        </w:rPr>
      </w:pPr>
    </w:p>
    <w:p>
      <w:pPr>
        <w:sectPr>
          <w:pgSz w:w="11900" w:h="16838" w:orient="portrait"/>
          <w:cols w:equalWidth="0" w:num="2">
            <w:col w:w="6600" w:space="720"/>
            <w:col w:w="4020"/>
          </w:cols>
          <w:pgMar w:left="240" w:top="229" w:right="319" w:bottom="0" w:gutter="0" w:footer="0" w:header="0"/>
          <w:type w:val="continuous"/>
        </w:sectPr>
      </w:pP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Perryville III Building, 53 Frontage Road, Suite 220, Hampton, New Jersey 08827</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(908) 200-7500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29" w:right="319" w:bottom="0" w:gutter="0" w:footer="0" w:header="0"/>
          <w:type w:val="continuous"/>
        </w:sectPr>
      </w:pPr>
    </w:p>
    <w:p>
      <w:pPr>
        <w:spacing w:after="0" w:line="16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7240" w:space="720"/>
            <w:col w:w="3380"/>
          </w:cols>
          <w:pgMar w:left="240" w:top="229" w:right="319" w:bottom="0" w:gutter="0" w:footer="0" w:header="0"/>
          <w:type w:val="continuous"/>
        </w:sectPr>
      </w:pPr>
    </w:p>
    <w:p>
      <w:pPr>
        <w:spacing w:after="0" w:line="2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34" w:lineRule="exact"/>
        <w:rPr>
          <w:sz w:val="24"/>
          <w:szCs w:val="24"/>
          <w:color w:val="auto"/>
        </w:rPr>
      </w:pPr>
    </w:p>
    <w:p>
      <w:pPr>
        <w:sectPr>
          <w:pgSz w:w="11900" w:h="16838" w:orient="portrait"/>
          <w:cols w:equalWidth="0" w:num="2">
            <w:col w:w="6860" w:space="720"/>
            <w:col w:w="3760"/>
          </w:cols>
          <w:pgMar w:left="240" w:top="229" w:right="319" w:bottom="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22, 2015, 98,480,819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 Ended March 31, 2015</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4"/>
          <w:szCs w:val="24"/>
          <w:color w:val="auto"/>
        </w:rPr>
      </w:pPr>
    </w:p>
    <w:p>
      <w:pPr>
        <w:ind w:left="1088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6754495</wp:posOffset>
            </wp:positionH>
            <wp:positionV relativeFrom="paragraph">
              <wp:posOffset>7620</wp:posOffset>
            </wp:positionV>
            <wp:extent cx="497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1">
            <w:col w:w="11340"/>
          </w:cols>
          <w:pgMar w:left="240" w:top="229"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17"/>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I—Financial Information</w:t>
              </w:r>
            </w:hyperlink>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Item 1. Unaudited Financial Statements</w:t>
              </w:r>
            </w:hyperlink>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Condensed Balance Sheets at March 31, 2015 and December 31, 2014</w:t>
              </w:r>
            </w:hyperlink>
          </w:p>
        </w:tc>
        <w:tc>
          <w:tcPr>
            <w:tcW w:w="274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Statements of Operations and Comprehensive Loss for the Three Months Ended March 31, 2015 and 2014</w:t>
              </w:r>
            </w:hyperlink>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Statements of Cash Flows for the Three Months Ended March 31, 2015 and 2014</w:t>
              </w:r>
            </w:hyperlink>
          </w:p>
        </w:tc>
        <w:tc>
          <w:tcPr>
            <w:tcW w:w="1100" w:type="dxa"/>
            <w:vAlign w:val="bottom"/>
            <w:tcBorders>
              <w:top w:val="single" w:sz="8" w:color="0000EE"/>
            </w:tcBorders>
            <w:gridSpan w:val="2"/>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Notes to Unaudited Condensed Financial Statements</w:t>
              </w:r>
            </w:hyperlink>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3. Quantitative and Qualitative Disclosures About Market Risk</w:t>
              </w:r>
            </w:hyperlink>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290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8000" w:type="dxa"/>
            <w:vAlign w:val="bottom"/>
            <w:gridSpan w:val="17"/>
          </w:tcPr>
          <w:p>
            <w:pPr>
              <w:spacing w:after="0"/>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Part II — Other Information</w:t>
              </w:r>
            </w:hyperlink>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Item 1A. Risk Factors</w:t>
              </w:r>
            </w:hyperlink>
          </w:p>
        </w:tc>
        <w:tc>
          <w:tcPr>
            <w:tcW w:w="460" w:type="dxa"/>
            <w:vAlign w:val="bottom"/>
            <w:tcBorders>
              <w:top w:val="single" w:sz="8" w:color="0000EE"/>
            </w:tcBorders>
          </w:tcPr>
          <w:p>
            <w:pPr>
              <w:spacing w:after="0"/>
              <w:rPr>
                <w:sz w:val="24"/>
                <w:szCs w:val="24"/>
                <w:color w:val="auto"/>
              </w:rPr>
            </w:pPr>
          </w:p>
        </w:tc>
        <w:tc>
          <w:tcPr>
            <w:tcW w:w="576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5"/>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6. Exhibits</w:t>
              </w:r>
            </w:hyperlink>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Signatures</w:t>
              </w:r>
            </w:hyperlink>
          </w:p>
        </w:tc>
        <w:tc>
          <w:tcPr>
            <w:tcW w:w="666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5"/>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Exhibit Index</w:t>
              </w:r>
            </w:hyperlink>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2"/>
          </w:tcPr>
          <w:p>
            <w:pPr>
              <w:spacing w:after="0"/>
              <w:rPr>
                <w:sz w:val="24"/>
                <w:szCs w:val="24"/>
                <w:color w:val="auto"/>
              </w:rPr>
            </w:pPr>
          </w:p>
        </w:tc>
        <w:tc>
          <w:tcPr>
            <w:tcW w:w="5720" w:type="dxa"/>
            <w:vAlign w:val="bottom"/>
            <w:gridSpan w:val="11"/>
          </w:tcPr>
          <w:p>
            <w:pPr>
              <w:jc w:val="center"/>
              <w:ind w:left="32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00" w:type="dxa"/>
            <w:vAlign w:val="bottom"/>
            <w:gridSpan w:val="17"/>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CELLDEX THERAPEUTICS, INC.</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900" w:type="dxa"/>
            <w:vAlign w:val="bottom"/>
            <w:gridSpan w:val="4"/>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60" w:type="dxa"/>
            <w:vAlign w:val="bottom"/>
            <w:gridSpan w:val="6"/>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24"/>
                <w:szCs w:val="24"/>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Borders>
              <w:top w:val="single" w:sz="8" w:color="CCEEFF"/>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122,170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237,603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800" w:type="dxa"/>
            <w:vAlign w:val="bottom"/>
            <w:tcBorders>
              <w:top w:val="single" w:sz="8" w:color="CCEEFF"/>
            </w:tcBorders>
            <w:gridSpan w:val="1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21,554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800" w:type="dxa"/>
            <w:vAlign w:val="bottom"/>
            <w:tcBorders>
              <w:bottom w:val="single" w:sz="8" w:color="CCEEFF"/>
            </w:tcBorders>
            <w:gridSpan w:val="15"/>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407,700</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248,014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15,420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Current Portion of Long-Term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800" w:type="dxa"/>
            <w:vAlign w:val="bottom"/>
            <w:tcBorders>
              <w:top w:val="single" w:sz="8" w:color="CCEEFF"/>
            </w:tcBorders>
            <w:gridSpan w:val="1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gridSpan w:val="16"/>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0" w:type="dxa"/>
            <w:vAlign w:val="bottom"/>
            <w:gridSpan w:val="1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gridSpan w:val="15"/>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 Issued and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0" w:type="dxa"/>
            <w:vAlign w:val="bottom"/>
            <w:gridSpan w:val="15"/>
          </w:tcPr>
          <w:p>
            <w:pPr>
              <w:ind w:left="160"/>
              <w:spacing w:after="0"/>
              <w:rPr>
                <w:sz w:val="20"/>
                <w:szCs w:val="20"/>
                <w:color w:val="auto"/>
              </w:rPr>
            </w:pPr>
            <w:r>
              <w:rPr>
                <w:rFonts w:ascii="Times New Roman" w:cs="Times New Roman" w:eastAsia="Times New Roman" w:hAnsi="Times New Roman"/>
                <w:sz w:val="18"/>
                <w:szCs w:val="18"/>
                <w:color w:val="auto"/>
              </w:rPr>
              <w:t>Outstanding at March 31, 2015 and December 31, 2014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297,000,000 Shares Authorized; 98,480,632 and 89,592,779 Shares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800" w:type="dxa"/>
            <w:vAlign w:val="bottom"/>
            <w:gridSpan w:val="1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 at March 31, 2015 and December 31, 2014, respectively</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866,771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(493,933)</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-6469380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-6469380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375,552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211,660</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407,700</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2015</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25,125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6,089</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(30,981)</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50"/>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w:t>
            </w: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Calculating Basic and Diluted Net Loss per Share</w:t>
            </w: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92,437</w:t>
            </w:r>
          </w:p>
        </w:tc>
        <w:tc>
          <w:tcPr>
            <w:tcW w:w="14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89,270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2015</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2014</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(29,903)</w:t>
            </w: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and Premium of Marketable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Expense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7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(1,669)</w:t>
            </w:r>
          </w:p>
        </w:tc>
      </w:tr>
      <w:tr>
        <w:trPr>
          <w:trHeight w:val="216"/>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Liabilities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10"/>
        </w:trPr>
        <w:tc>
          <w:tcPr>
            <w:tcW w:w="7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24"/>
        </w:trPr>
        <w:tc>
          <w:tcPr>
            <w:tcW w:w="7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pacing w:after="0" w:line="20" w:lineRule="exact"/>
        <w:rPr>
          <w:sz w:val="20"/>
          <w:szCs w:val="20"/>
          <w:color w:val="auto"/>
        </w:rPr>
      </w:pPr>
    </w:p>
    <w:p>
      <w:pPr>
        <w:sectPr>
          <w:pgSz w:w="11900" w:h="16900" w:orient="portrait"/>
          <w:cols w:equalWidth="0" w:num="1">
            <w:col w:w="11420"/>
          </w:cols>
          <w:pgMar w:left="240" w:top="14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57,067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(120,541)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(65,035)</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188,774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2,985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191,759</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94,150</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28,020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169,402</w:t>
            </w:r>
          </w:p>
        </w:tc>
        <w:tc>
          <w:tcPr>
            <w:tcW w:w="0" w:type="dxa"/>
            <w:vAlign w:val="bottom"/>
          </w:tcPr>
          <w:p>
            <w:pPr>
              <w:spacing w:after="0"/>
              <w:rPr>
                <w:sz w:val="1"/>
                <w:szCs w:val="1"/>
                <w:color w:val="auto"/>
              </w:rPr>
            </w:pPr>
          </w:p>
        </w:tc>
      </w:tr>
      <w:tr>
        <w:trPr>
          <w:trHeight w:val="25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122,170</w:t>
            </w:r>
          </w:p>
        </w:tc>
        <w:tc>
          <w:tcPr>
            <w:tcW w:w="2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Investing Activities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 included in Accounts Payable and Accrued Expenses</w:t>
            </w:r>
          </w:p>
        </w:tc>
        <w:tc>
          <w:tcPr>
            <w:tcW w:w="11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by Celldex Therapeutics, Inc. (the “Company” or “Celldex”) in accordance with accounting principles generally accepted in the United States of America (“U.S. GAAP”). On December 31, 2014, the Company’s wholly-owned subsidiary, Celldex Research Corporation, merged into Celldex Therapeutics, Inc. The unaudited condensed statement of operations and comprehensive loss and the statement of cash flows for the three months ended March 31, 2014 reflect the operations of the Company and its former wholly-owned subsidiary. All intercompany transactions have been eliminated in consolidation.</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2014, which are included in the Company’s Annual Report on Form 10-K filed with the Securities and Exchange Commission (“SEC”) on February 24, 2015. In the opinion of management, the interim financial statements reflect all normal recurring adjustments necessary to fairly state the Company’s financial position and results of operations for the interim periods presented. The year-end balance sheet data presented for comparative purposes was derived from audited financial statements, but does not include all disclosures required by U.S. GAAP.</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any future interim period or the fiscal year ending December 31, 2015.</w:t>
      </w:r>
    </w:p>
    <w:p>
      <w:pPr>
        <w:spacing w:after="0" w:line="16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At March 31, 2015, the Company had cash, cash equivalents and marketable securities of $359.8 million. The Company incurred a loss of $30.2 million for the three months ended March 31, 2015. Net cash used in operations for the three months ended March 31, 2015 was $32.6 million. The Company believes that the cash, cash equivalents and marketable securities at March 31, 2015 will be sufficient to meet estimated working capital requirements and fund planned operations for at least the next twelve months.</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right="240" w:firstLine="630"/>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financial statements for the three months ended March 31, 2015 are consistent with those discussed in Note 2 to the financial statements in our Annual Report on Form 10-K for the year ended December 31, 2014, except for the adoption of new accounting standards during the first three months of 2015 as discussed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ectPr>
          <w:pgSz w:w="11900" w:h="16838" w:orient="portrait"/>
          <w:cols w:equalWidth="0" w:num="1">
            <w:col w:w="11420"/>
          </w:cols>
          <w:pgMar w:left="240" w:top="140" w:right="239" w:bottom="0" w:gutter="0" w:footer="0" w:header="0"/>
        </w:sectPr>
      </w:pPr>
    </w:p>
    <w:bookmarkStart w:id="4" w:name="page5"/>
    <w:bookmarkEnd w:id="4"/>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In May 2014, the FASB issued a new U.S. GAAP accounting standard that creates modifications to various other revenue accounting standards for specialized transactions and industries. The new U.S. GAAP accounting standard is intended to conform revenue accounting principles with a concurrently issued new standard under International Financial Reporting Standards, as well as, to enhance disclosures related to disaggregated revenue information. The updated guidance is effective for annual reporting periods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beginning on or after December 15, 2016, and interim periods within those annual periods. Early adoption is not permitted. On April 1, 2015, the FASB proposed deferring the effective date by one year to December 15, 2017 for annual reporting periods beginning after that date. The FASB also proposed permitting early adoption of the standard, but not before the original effective date of December 15, 2016. The Company will further study the implications of this standard in order to evaluate the expected impact on the financial statements.</w:t>
      </w:r>
    </w:p>
    <w:p>
      <w:pPr>
        <w:spacing w:after="0" w:line="180"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August 2014, the FASB issued a new U.S. GAAP accounting standard that provides guidance about management’s responsibility to evaluate whether there is substantial doubt about an entity’s ability to continue as a going concern and to provide related footnote disclosures. The new accounting standard requires management to assess an entity’s ability to continue as a going concern by incorporating and expanding upon certain principles that are currently in U.S. auditing standards. The new accounting standard is effective for the annual period ending after December 15, 2016, and for annual periods and interim periods thereafter. Early application is permitted. The Company does not expect the adoption of this standard to have a material impact on the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21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6,538,920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5,667,953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6,542,920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5,670,953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Comprehensive Loss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by component for the three months ended March 31, 2015 and 2014 are summarized below. No amounts were reclassified out of accumulated other comprehensive income during the three months ended March 31, 2015 and 2014.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20" w:type="dxa"/>
            <w:vAlign w:val="bottom"/>
          </w:tcPr>
          <w:p>
            <w:pPr>
              <w:spacing w:after="0"/>
              <w:rPr>
                <w:sz w:val="12"/>
                <w:szCs w:val="12"/>
                <w:color w:val="auto"/>
              </w:rPr>
            </w:pPr>
          </w:p>
        </w:tc>
        <w:tc>
          <w:tcPr>
            <w:tcW w:w="15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Securities, net of tax</w:t>
            </w:r>
          </w:p>
        </w:tc>
        <w:tc>
          <w:tcPr>
            <w:tcW w:w="1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2,581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2015</w:t>
            </w:r>
          </w:p>
        </w:tc>
        <w:tc>
          <w:tcPr>
            <w:tcW w:w="17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7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2014</w:t>
            </w:r>
          </w:p>
        </w:tc>
        <w:tc>
          <w:tcPr>
            <w:tcW w:w="1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7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subject to fair value measurements: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9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109,288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237,603</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9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18,677</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18,677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337"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jc w:val="right"/>
              <w:ind w:right="3795"/>
              <w:spacing w:after="0"/>
              <w:rPr>
                <w:sz w:val="20"/>
                <w:szCs w:val="20"/>
                <w:color w:val="auto"/>
              </w:rPr>
            </w:pPr>
            <w:r>
              <w:rPr>
                <w:rFonts w:ascii="Times New Roman" w:cs="Times New Roman" w:eastAsia="Times New Roman" w:hAnsi="Times New Roman"/>
                <w:sz w:val="18"/>
                <w:szCs w:val="18"/>
                <w:color w:val="auto"/>
                <w:w w:val="99"/>
              </w:rPr>
              <w:t>Marketable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173,023</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173,023</w:t>
            </w:r>
          </w:p>
        </w:tc>
        <w:tc>
          <w:tcPr>
            <w:tcW w:w="640" w:type="dxa"/>
            <w:vAlign w:val="bottom"/>
          </w:tcPr>
          <w:p>
            <w:pPr>
              <w:spacing w:after="0"/>
              <w:rPr>
                <w:sz w:val="20"/>
                <w:szCs w:val="20"/>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financial statements at cost, which approximates fair value due to the short-term nature of these instruments.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marketable securities is shown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20" w:type="dxa"/>
            <w:vAlign w:val="bottom"/>
          </w:tcPr>
          <w:p>
            <w:pPr>
              <w:jc w:val="center"/>
              <w:ind w:left="27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20" w:type="dxa"/>
            <w:vAlign w:val="bottom"/>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51,907</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8,914</w:t>
            </w: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54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2"/>
              </w:rPr>
              <w:t>60,821</w:t>
            </w:r>
          </w:p>
        </w:tc>
        <w:tc>
          <w:tcPr>
            <w:tcW w:w="300" w:type="dxa"/>
            <w:vAlign w:val="bottom"/>
          </w:tcPr>
          <w:p>
            <w:pPr>
              <w:spacing w:after="0"/>
              <w:rPr>
                <w:sz w:val="18"/>
                <w:szCs w:val="18"/>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114,200</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62,562</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5"/>
              </w:rPr>
              <w:t>176,762</w:t>
            </w:r>
          </w:p>
        </w:tc>
        <w:tc>
          <w:tcPr>
            <w:tcW w:w="3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(95)</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176,720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237,583</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(98)</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44,580</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2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16,108</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2"/>
              </w:rPr>
              <w:t>60,688</w:t>
            </w:r>
          </w:p>
        </w:tc>
        <w:tc>
          <w:tcPr>
            <w:tcW w:w="300" w:type="dxa"/>
            <w:vAlign w:val="bottom"/>
            <w:vMerge w:val="continue"/>
          </w:tcPr>
          <w:p>
            <w:pPr>
              <w:spacing w:after="0"/>
              <w:rPr>
                <w:sz w:val="18"/>
                <w:szCs w:val="18"/>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60,760</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89,636</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22,690</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2"/>
              </w:rPr>
              <w:t>112,326</w:t>
            </w:r>
          </w:p>
        </w:tc>
        <w:tc>
          <w:tcPr>
            <w:tcW w:w="3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173,014</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173,023</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marketable securities held by the Company were high investment grade and there were no marketable securities that the Company considered to be other-than-temporarily impaired as of March 31, 2015. Marketable securities include $1.3 million and $1.4 million in accrued interest at March 31, 2015 and December 31, 2014,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of accumulated amortization, and goodwill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80" w:type="dxa"/>
            <w:vAlign w:val="bottom"/>
          </w:tcPr>
          <w:p>
            <w:pPr>
              <w:spacing w:after="0"/>
              <w:rPr>
                <w:sz w:val="10"/>
                <w:szCs w:val="10"/>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38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0"/>
                <w:szCs w:val="10"/>
                <w:color w:val="auto"/>
              </w:rPr>
            </w:pPr>
          </w:p>
        </w:tc>
        <w:tc>
          <w:tcPr>
            <w:tcW w:w="9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IPR&amp;D</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Amgen Amendment</w:t>
            </w: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 years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Technology</w:t>
            </w: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years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Indefinite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IPR&amp;D intangible asset was recorded in connection with the acquisition of CuraGen and relates to the development of glembatumumab vedotin. At the date of acquisition and at March 31, 2015, glembatumumab vedotin had not yet reached technological feasibility nor did it have any alternative future use. Glembatumumab vedotin is in a randomized, Phase 2b study for the treatment of triple negative breast cancer and a Phase 2 study for the treatment of metastatic melanoma.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p>
      <w:pPr>
        <w:sectPr>
          <w:pgSz w:w="11900" w:h="16838" w:orient="portrait"/>
          <w:cols w:equalWidth="0" w:num="1">
            <w:col w:w="11460"/>
          </w:cols>
          <w:pgMar w:left="240" w:top="121" w:right="199" w:bottom="0" w:gutter="0" w:footer="0" w:header="0"/>
        </w:sectPr>
      </w:pPr>
    </w:p>
    <w:p>
      <w:pPr>
        <w:spacing w:after="0" w:line="219" w:lineRule="exact"/>
        <w:rPr>
          <w:sz w:val="20"/>
          <w:szCs w:val="20"/>
          <w:color w:val="auto"/>
        </w:rPr>
      </w:pPr>
    </w:p>
    <w:p>
      <w:pPr>
        <w:ind w:left="8520"/>
        <w:spacing w:after="0"/>
        <w:tabs>
          <w:tab w:leader="none" w:pos="10040" w:val="left"/>
        </w:tabs>
        <w:rPr>
          <w:sz w:val="20"/>
          <w:szCs w:val="20"/>
          <w:color w:val="auto"/>
        </w:rPr>
      </w:pPr>
      <w:r>
        <w:rPr>
          <w:rFonts w:ascii="Times New Roman" w:cs="Times New Roman" w:eastAsia="Times New Roman" w:hAnsi="Times New Roman"/>
          <w:sz w:val="14"/>
          <w:szCs w:val="14"/>
          <w:b w:val="1"/>
          <w:bCs w:val="1"/>
          <w:color w:val="auto"/>
        </w:rPr>
        <w:t>March 31, 2015</w:t>
      </w:r>
      <w:r>
        <w:rPr>
          <w:sz w:val="20"/>
          <w:szCs w:val="20"/>
          <w:color w:val="auto"/>
        </w:rPr>
        <w:tab/>
      </w:r>
      <w:r>
        <w:rPr>
          <w:rFonts w:ascii="Times New Roman" w:cs="Times New Roman" w:eastAsia="Times New Roman" w:hAnsi="Times New Roman"/>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7620</wp:posOffset>
            </wp:positionV>
            <wp:extent cx="1912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93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95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588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30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related to IPR&amp;D</w:t>
            </w:r>
          </w:p>
        </w:tc>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4,661</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2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5,297</w:t>
            </w:r>
          </w:p>
        </w:tc>
      </w:tr>
      <w:tr>
        <w:trPr>
          <w:trHeight w:val="210"/>
        </w:trPr>
        <w:tc>
          <w:tcPr>
            <w:tcW w:w="5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(2,592)</w:t>
            </w:r>
          </w:p>
        </w:tc>
      </w:tr>
      <w:tr>
        <w:trPr>
          <w:trHeight w:val="210"/>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December 2014, January 2014, January 2013, January 2012 and January 2011, the Company received approval from the New Jersey Economic Development Authority and agreed to sell New Jersey tax benefits of $1.9 million, $1.1 million, $0.8 million, $0.8 million and $0.6 million to an independent third party for $1.8 million, $1.0 million, $0.8 million, $0.7 million and $0.5 million, respectively. Under the agreement, the Company must maintain a base of operations in New Jersey for five years or the tax benefits must be paid back on a pro-rata basis based on the number of years completed. During the three months ended March 31, 2015 and 2014, the Company recorded $0.6 million and $0.4 million to other income related to the sale of these tax benefits, respectively.</w:t>
      </w:r>
    </w:p>
    <w:p>
      <w:pPr>
        <w:spacing w:after="0" w:line="188"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In September 2013, the Company entered into an agreement with Rockefeller University pursuant to which the Company will perform research and development services for Rockefeller. The agreement includes an approved project plan for the development services of $4.8 million and a term of three years. The agreement included an upfront payment of $1.3 million which is being recognized as revenue over the term of the agreement. The Company bills Rockefeller quarterly for actual time and direct costs incurred and records those amounts to revenue in the quarter the services are performed. The Company recorded $0.1 million and $0.4 million in revenue related to the Rockefeller agreement during the three months ended March 31, 2015 and 2014, respectively.</w:t>
      </w:r>
    </w:p>
    <w:p>
      <w:pPr>
        <w:spacing w:after="0" w:line="168"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In May 2014, the Company entered into a clinical trial collaboration with Bristol-Myers Squibb Company (“BMS”) to evaluate the safety, tolerability and preliminary efficacy of varlilumab and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$0.3 million in revenue related to the BMS agreement during the three months ended March 31,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2015, the Company issued 8,337,500 shares of its common stock in an underwritten public offering resulting in net proceeds to the Company of $188.8 million, after deducting underwriting fees and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2015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cente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2014</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7,015,350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70,650</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25.54</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(545,867)</w:t>
            </w:r>
          </w:p>
        </w:tc>
        <w:tc>
          <w:tcPr>
            <w:tcW w:w="94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5.35</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(1,213)</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13.11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2015</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6,538,920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9.85</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2015</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vMerge w:val="restart"/>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9.82</w:t>
            </w:r>
          </w:p>
        </w:tc>
        <w:tc>
          <w:tcPr>
            <w:tcW w:w="1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6,506,078</w:t>
            </w: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March 31, 2015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3,752,500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2008 Plan</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605,722</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three months ended March 31, 2015 was $15.94. Stock-based compensation expense for the three months ended March 31, 2015 and 2014 was recorded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5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3"/>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1,269</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1,012</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employee stock options granted during the three months ended March 31, 2015 and 2014 were valued using the Black-Scholes option-pricing model with the following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1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5"/>
                <w:szCs w:val="15"/>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43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 Years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Years</w:t>
            </w: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32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None</w:t>
            </w:r>
          </w:p>
        </w:tc>
        <w:tc>
          <w:tcPr>
            <w:tcW w:w="40" w:type="dxa"/>
            <w:vAlign w:val="bottom"/>
          </w:tcPr>
          <w:p>
            <w:pPr>
              <w:spacing w:after="0"/>
              <w:rPr>
                <w:sz w:val="20"/>
                <w:szCs w:val="20"/>
                <w:color w:val="auto"/>
              </w:rPr>
            </w:pPr>
          </w:p>
        </w:tc>
      </w:tr>
      <w:tr>
        <w:trPr>
          <w:trHeight w:val="414"/>
        </w:trPr>
        <w:tc>
          <w:tcPr>
            <w:tcW w:w="3920" w:type="dxa"/>
            <w:vAlign w:val="bottom"/>
          </w:tcPr>
          <w:p>
            <w:pPr>
              <w:spacing w:after="0"/>
              <w:rPr>
                <w:sz w:val="24"/>
                <w:szCs w:val="24"/>
                <w:color w:val="auto"/>
              </w:rPr>
            </w:pPr>
          </w:p>
        </w:tc>
        <w:tc>
          <w:tcPr>
            <w:tcW w:w="432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92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Massachusetts, New Jersey and Connecticut are the three states in which the Company primarily operates or has operated and has income tax nexus.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currently under examination by any jurisdictions for any tax year.</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March 31, 2015 and December 31, 2014 against the Company’s net deferred tax assets.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report on Form 10-Q contains forward-looking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980" w:right="160" w:hanging="324"/>
        <w:spacing w:after="0" w:line="235"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animal, preclinical and clinical studies, and, if we obtain regulatory approval, commercialization of Rintega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(also referred to as rindopepimut and CDX-110), glembatumumab vedotin (also referred to as CDX-011), and other drug candidates and the growth of the markets for those drug candidates;</w:t>
      </w:r>
    </w:p>
    <w:p>
      <w:pPr>
        <w:spacing w:after="0" w:line="20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0"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 including ACT IV and ReACT for Rintega and METRIC for glembatumumab vedotin;</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safety and efficacy trials of Rintega, glembatumumab vedotin, and other preclinical and clinical testing;</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and complete the development and, if we obtain regulatory approval, to commercialize Rintega in North America and Europe ourselves;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uncertainty of obtaining regulatory approvals for our drug candidates;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programs, which may include, Rintega outside of North America and Europe, glembatumumab vedotin and varlilumab (also referred to as CDX-1127);</w:t>
      </w:r>
    </w:p>
    <w:p>
      <w:pPr>
        <w:spacing w:after="0" w:line="161" w:lineRule="exact"/>
        <w:rPr>
          <w:rFonts w:ascii="Times New Roman" w:cs="Times New Roman" w:eastAsia="Times New Roman" w:hAnsi="Times New Roman"/>
          <w:sz w:val="18"/>
          <w:szCs w:val="18"/>
          <w:color w:val="auto"/>
        </w:rPr>
      </w:pPr>
    </w:p>
    <w:p>
      <w:pPr>
        <w:ind w:left="980" w:right="80" w:hanging="324"/>
        <w:spacing w:after="0" w:line="313" w:lineRule="auto"/>
        <w:tabs>
          <w:tab w:leader="none" w:pos="9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ectPr>
          <w:pgSz w:w="11900" w:h="16838" w:orient="portrait"/>
          <w:cols w:equalWidth="0" w:num="1">
            <w:col w:w="11460"/>
          </w:cols>
          <w:pgMar w:left="240" w:top="121" w:right="199" w:bottom="0" w:gutter="0" w:footer="0" w:header="0"/>
        </w:sectPr>
      </w:pPr>
    </w:p>
    <w:bookmarkStart w:id="8" w:name="page9"/>
    <w:bookmarkEnd w:id="8"/>
    <w:p>
      <w:pPr>
        <w:spacing w:after="0" w:line="62" w:lineRule="exact"/>
        <w:rPr>
          <w:sz w:val="20"/>
          <w:szCs w:val="20"/>
          <w:color w:val="auto"/>
        </w:rPr>
      </w:pPr>
    </w:p>
    <w:p>
      <w:pPr>
        <w:ind w:left="980" w:right="92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proprietary antibody-targeted technology, or APC Targeting Technology™, to develop new, safe and effective therapeutics for oncology and infectious disease indications;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225"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80" w:right="460" w:hanging="324"/>
        <w:spacing w:after="0" w:line="266"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76"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listed under the headings “Business,” “Risk Factors” and Management’s Discussion and Analysis of Financial Condition and Results of Operations” in the Company’s annual report on Form 10-K for the year ended December 31, 2014 and other reports that we file with the Securities and Exchange Commission</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protein-based molecules such as vaccines, antibodies and antibody-drug conjugates that are used to treat specifics types of cancer or other diseases.</w:t>
      </w:r>
    </w:p>
    <w:p>
      <w:pPr>
        <w:spacing w:after="0" w:line="18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latest stage drug candidate, Rintega (also referred to as rindopepimut and CDX-110) is a therapeutic vaccine that recently completed enrollment to a pivotal Phase 3 study in front-line glioblastoma in patients that express a specific cancer marker known as EGFRvIII. Interim results from a randomized Phase 2 study of Rintega added to the standard of care for the treatment of recurrent glioblastoma demonstrated improvements in the six month progression-free survival rate and overall survival. In February 2015, the U.S. Food and Drug Administration, or FDA, granted Rintega Breakthrough Therapy Designation for the treatment of adult patients with EGFRvIII-positive glioblastoma.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their cancer. We established proof of concept in a Phase 1 study with varlilumab, which has allowed several combination studies to begin in various indications. We also have a number of earlier stage drug candidates in clinical development, including CDX-1401, a targeted immunotherapeutic aimed at antigen presenting cells, or APC, for cancer indications and CDX-301, an immune cell mobilizing agent and dendritic cell growth factor. Our drug candidates address market opportunities for which we believe current therapies are inadequate or non-existent.</w:t>
      </w:r>
    </w:p>
    <w:p>
      <w:pPr>
        <w:spacing w:after="0" w:line="19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programs that we currently believe are significant to our business: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(generic)</w:t>
            </w:r>
          </w:p>
        </w:tc>
        <w:tc>
          <w:tcPr>
            <w:tcW w:w="562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Indication/Field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260" w:type="dxa"/>
            <w:vAlign w:val="bottom"/>
          </w:tcPr>
          <w:p>
            <w:pPr>
              <w:spacing w:after="0"/>
              <w:rPr>
                <w:sz w:val="15"/>
                <w:szCs w:val="15"/>
                <w:color w:val="auto"/>
              </w:rPr>
            </w:pP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40" w:type="dxa"/>
            <w:vAlign w:val="bottom"/>
          </w:tcPr>
          <w:p>
            <w:pPr>
              <w:spacing w:after="0"/>
              <w:rPr>
                <w:sz w:val="15"/>
                <w:szCs w:val="15"/>
                <w:color w:val="auto"/>
              </w:rPr>
            </w:pP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CLINICAL</w:t>
            </w:r>
          </w:p>
        </w:tc>
        <w:tc>
          <w:tcPr>
            <w:tcW w:w="28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Rintega</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Front-line glioblastoma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Phase 3</w:t>
            </w:r>
          </w:p>
        </w:tc>
        <w:tc>
          <w:tcPr>
            <w:tcW w:w="4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Glembatumumab vedotin</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Metastatic breast cancer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Phase 2b</w:t>
            </w:r>
          </w:p>
        </w:tc>
        <w:tc>
          <w:tcPr>
            <w:tcW w:w="4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Rintega</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Recurrent glioblastoma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Phase 2</w:t>
            </w:r>
          </w:p>
        </w:tc>
        <w:tc>
          <w:tcPr>
            <w:tcW w:w="4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Glembatumumab vedotin</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Metastatic melanoma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Phase 2</w:t>
            </w:r>
          </w:p>
        </w:tc>
        <w:tc>
          <w:tcPr>
            <w:tcW w:w="4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Varlilumab</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Lymphoma/leukemia and solid tumors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Phase 1</w:t>
            </w:r>
          </w:p>
        </w:tc>
        <w:tc>
          <w:tcPr>
            <w:tcW w:w="4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Varlilumab</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 solid tumors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Phase 1/2</w:t>
            </w:r>
          </w:p>
        </w:tc>
        <w:tc>
          <w:tcPr>
            <w:tcW w:w="40" w:type="dxa"/>
            <w:vAlign w:val="bottom"/>
          </w:tcPr>
          <w:p>
            <w:pPr>
              <w:spacing w:after="0"/>
              <w:rPr>
                <w:sz w:val="18"/>
                <w:szCs w:val="18"/>
                <w:color w:val="auto"/>
              </w:rPr>
            </w:pPr>
          </w:p>
        </w:tc>
      </w:tr>
      <w:tr>
        <w:trPr>
          <w:trHeight w:val="216"/>
        </w:trPr>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CDX-1401</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 solid tumors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Phase 1</w:t>
            </w:r>
          </w:p>
        </w:tc>
        <w:tc>
          <w:tcPr>
            <w:tcW w:w="4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CDX-301</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Allogeneic Hematopoietic Stem Cell Transplantation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Phase 2</w:t>
            </w:r>
          </w:p>
        </w:tc>
        <w:tc>
          <w:tcPr>
            <w:tcW w:w="40" w:type="dxa"/>
            <w:vAlign w:val="bottom"/>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CDX-014</w:t>
            </w: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Ovarian and renal cancer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Preclinical</w:t>
            </w:r>
          </w:p>
        </w:tc>
        <w:tc>
          <w:tcPr>
            <w:tcW w:w="40" w:type="dxa"/>
            <w:vAlign w:val="bottom"/>
          </w:tcPr>
          <w:p>
            <w:pPr>
              <w:spacing w:after="0"/>
              <w:rPr>
                <w:sz w:val="18"/>
                <w:szCs w:val="18"/>
                <w:color w:val="auto"/>
              </w:rPr>
            </w:pPr>
          </w:p>
        </w:tc>
      </w:tr>
      <w:tr>
        <w:trPr>
          <w:trHeight w:val="432"/>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years or more, and the length of time generally varies substantially according to the type, complexity, novelty and intended use of a product candidate.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unusual for the clinical development of these types of product candidates to each take five years or more, and for total development costs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for each product candidate. We estimate that clinical trials of the type we generally conduct are typically completed over the following timelines:</w:t>
      </w:r>
    </w:p>
    <w:p>
      <w:pPr>
        <w:sectPr>
          <w:pgSz w:w="11900" w:h="16900" w:orient="portrait"/>
          <w:cols w:equalWidth="0" w:num="1">
            <w:col w:w="11460"/>
          </w:cols>
          <w:pgMar w:left="240" w:top="121" w:right="199" w:bottom="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9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240" w:type="dxa"/>
            <w:vAlign w:val="bottom"/>
            <w:vMerge w:val="restart"/>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96"/>
        </w:trPr>
        <w:tc>
          <w:tcPr>
            <w:tcW w:w="97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5980" w:type="dxa"/>
            <w:vAlign w:val="bottom"/>
            <w:shd w:val="clear" w:color="auto" w:fill="CCEEFF"/>
          </w:tcPr>
          <w:p>
            <w:pPr>
              <w:ind w:left="4900"/>
              <w:spacing w:after="0"/>
              <w:rPr>
                <w:sz w:val="20"/>
                <w:szCs w:val="20"/>
                <w:color w:val="auto"/>
              </w:rPr>
            </w:pPr>
            <w:r>
              <w:rPr>
                <w:rFonts w:ascii="Times New Roman" w:cs="Times New Roman" w:eastAsia="Times New Roman" w:hAnsi="Times New Roman"/>
                <w:sz w:val="18"/>
                <w:szCs w:val="18"/>
                <w:color w:val="auto"/>
              </w:rPr>
              <w:t>1 - 2 Years</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c>
          <w:tcPr>
            <w:tcW w:w="598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1 - 5 Years</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5980" w:type="dxa"/>
            <w:vAlign w:val="bottom"/>
            <w:shd w:val="clear" w:color="auto" w:fill="CCEEFF"/>
          </w:tcPr>
          <w:p>
            <w:pPr>
              <w:ind w:left="4900"/>
              <w:spacing w:after="0"/>
              <w:rPr>
                <w:sz w:val="20"/>
                <w:szCs w:val="20"/>
                <w:color w:val="auto"/>
              </w:rPr>
            </w:pPr>
            <w:r>
              <w:rPr>
                <w:rFonts w:ascii="Times New Roman" w:cs="Times New Roman" w:eastAsia="Times New Roman" w:hAnsi="Times New Roman"/>
                <w:sz w:val="18"/>
                <w:szCs w:val="18"/>
                <w:color w:val="auto"/>
              </w:rPr>
              <w:t>1 - 5 Years</w:t>
            </w:r>
          </w:p>
        </w:tc>
      </w:tr>
    </w:tbl>
    <w:p>
      <w:pPr>
        <w:spacing w:after="0" w:line="198" w:lineRule="exact"/>
        <w:rPr>
          <w:sz w:val="20"/>
          <w:szCs w:val="20"/>
          <w:color w:val="auto"/>
        </w:rPr>
      </w:pPr>
    </w:p>
    <w:p>
      <w:pPr>
        <w:jc w:val="both"/>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62"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past five years through December 31, 2014, we incurred an aggregate of $279.3 million in research and development expenses. The following table indicates the amount incurred for each of our significant research programs and for other identified research and development activities during the three months ended March 31, 2015 and 2014. The amounts disclosed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table reflect direct research and development costs, license fees associated with the underlying technology and an allocation of indirect research and development costs to each program.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Rintega</w:t>
            </w:r>
          </w:p>
        </w:tc>
        <w:tc>
          <w:tcPr>
            <w:tcW w:w="4000" w:type="dxa"/>
            <w:vAlign w:val="bottom"/>
            <w:gridSpan w:val="2"/>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11,713</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14,884</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Glembatumumab vedotin</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4,930</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7,824</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Varlilumab</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3,472</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CDX-1401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681</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CDX-301</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522</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CDX-014</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1,819</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Programs</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1,988</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3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25,125</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Rintega</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Rintega is an epidermal growth factor receptor variant III, or EGFRvIII, specific vaccine for glioblastoma multiforme, or GBM. EGFRvIII is a mutated form of the epidermal growth factor receptor, or EGFR, that is only expressed in cancer cells and not in normal tissue and can directly contribute to cancer cell growth. EGFRvIII is expressed in approximately 30% of GBM tumors, the most common and aggressive form of brain cancer. Rintega is</w:t>
      </w:r>
    </w:p>
    <w:p>
      <w:pPr>
        <w:sectPr>
          <w:pgSz w:w="11900" w:h="16838" w:orient="portrait"/>
          <w:cols w:equalWidth="0" w:num="1">
            <w:col w:w="11420"/>
          </w:cols>
          <w:pgMar w:left="240" w:top="140" w:right="239" w:bottom="0" w:gutter="0" w:footer="0" w:header="0"/>
        </w:sectPr>
      </w:pPr>
    </w:p>
    <w:bookmarkStart w:id="10" w:name="page11"/>
    <w:bookmarkEnd w:id="10"/>
    <w:p>
      <w:pPr>
        <w:ind w:right="40"/>
        <w:spacing w:after="0" w:line="261" w:lineRule="auto"/>
        <w:rPr>
          <w:sz w:val="20"/>
          <w:szCs w:val="20"/>
          <w:color w:val="auto"/>
        </w:rPr>
      </w:pPr>
      <w:r>
        <w:rPr>
          <w:rFonts w:ascii="Times New Roman" w:cs="Times New Roman" w:eastAsia="Times New Roman" w:hAnsi="Times New Roman"/>
          <w:sz w:val="18"/>
          <w:szCs w:val="18"/>
          <w:color w:val="auto"/>
        </w:rPr>
        <w:t>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Rintega for the treatment of EGFRvIII expressing GBM. The FDA has also granted Fast Track designation. In February 2015, the FDA granted Rintega Breakthrough Therapy Designation for the treatment of adult patients with EGFRvIII-positive glioblastoma.</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Phase 2a study of Rintega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Phase 2b study of Rintega referred to as ACT III combined Rintega with standard of care, TMZ, in patients with newly diagnosed GBM. The ACT III study provided for a multi-center, non-randomized dataset for Rintega in 65 patients at over 30 sites throughout the United States.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2013, we announced the four- and five-year survival data from the 105 patients enrolled in the three Phase 2 Rintega clinical studies (ACTIVATE, ACT II and ACT III) in EGFRvIII-positive GBM. Across these three Phase 2 studies of Rintega, survival data remains consistent and suggests a continuing survival benefit in comparison to independent control datasets (see chart below) at the median and at all other time points evaluated.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Phase 2 Frontline Long-term Overall Survival Assessments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Median, Years</w:t>
            </w:r>
          </w:p>
        </w:tc>
        <w:tc>
          <w:tcPr>
            <w:tcW w:w="8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2-year</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3-year</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4-year</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5-year</w:t>
            </w:r>
          </w:p>
        </w:tc>
      </w:tr>
      <w:tr>
        <w:trPr>
          <w:trHeight w:val="173"/>
        </w:trPr>
        <w:tc>
          <w:tcPr>
            <w:tcW w:w="44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(95% CI)</w:t>
            </w: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Borders>
              <w:bottom w:val="single" w:sz="8" w:color="CCEEFF"/>
            </w:tcBorders>
          </w:tcPr>
          <w:p>
            <w:pPr>
              <w:spacing w:after="0"/>
              <w:rPr>
                <w:sz w:val="15"/>
                <w:szCs w:val="15"/>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2 Rintega studies (n=105)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(1.8, 2.4)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Matched historical control (n=17)(1)</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 (0.9, 1.7)</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left="660" w:right="460" w:hanging="652"/>
        <w:spacing w:after="0" w:line="284" w:lineRule="auto"/>
        <w:tabs>
          <w:tab w:leader="none" w:pos="667"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Patients treated at M.D. Anderson contemporaneously to ACTIVATE, matched for major eligibility requirements, including EGFRvIII- positive GBM, gross total resection and no disease progression through chemoradiation treatment.</w:t>
      </w:r>
    </w:p>
    <w:p>
      <w:pPr>
        <w:spacing w:after="0" w:line="160"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pooled overall long-term survival results continue to be consistent with the ACT III Phase 2 study (18% for 4-years and 14% for 5-years).</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December 2011, we initiated ACT IV, a pivotal, randomized, double-blind, controlled Phase 3 study of Rintega in patients with surgically resected, EGFRvIII-positive GBM. Patients were randomized after the completion of surgery and standard chemoradiation treatment. The treatment regimen includes a Rintega priming phase post-radiation followed by an adjuvant phase where Rintega is dosed along with TMZ and a Rintega maintenance therapy phase. Patients are treated until disease progression or intolerance to therapy. The primary objective of the study is to determine whether Rintega plus adjuvant GM-CSF improves the overall survival of patients with newly diagnosed EGFRvIII-positive GBM with minimal residual disease post resection and traditional chemo-radiation when compared to treatment with TMZ and a control injection of KLH. KLH is a component of Rintega and was selected due to its ability to generate a similar injection site reaction to that observed with Rintega.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December 2014, enrollment was completed in the ACT IV study. In total, over 4,800 tissue samples from GBM patients were submitted for EGFRvIII evaluation from more than 200 clinical trial sites across 22 countries and, consistent with prior studies, 30% were positive for the EGFRvIII mutation. The study enrolled 745 patients to reach the required 374 patients with minimal residual disease (assessed by central review) needed for analysis of the primary overall survival endpoint. All patients, including patients with disease that exceed this threshold, will be included in a secondary analysis of overall survival as well as analyses of progression-free survival, safety and tolerability, and quality of life. The timing of the overall survival primary endpoint data is event-driven. Interim analyses will be conducted by an independent Data Monitoring Committee at 50% and 75% of events (deaths). The first interim analysis is expected in mid-2015. The second interim analysis is currently expected in late 2015 or early 2016 and the final data is expected by the end of 2016; although our expectations regarding the timing for the second interim analysis and final data read out may change based on event rates.</w:t>
      </w:r>
    </w:p>
    <w:p>
      <w:pPr>
        <w:spacing w:after="0" w:line="18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December 2011, we also initiated ReACT, a Phase 2 study of Rintega in combination with Avastin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patients with recurrent EGFRvIII-positive GBM. This study completed enrollment in 2014 and includes 3 groups. Group 1 consists of 72 patients who had not previously received Avastin and were randomized to receive either Rintega and Avastin or a control injection of KLH and Avastin in a blinded fashion. Group 2 includes 25 patients who are refractory to Avastin having received Avastin in either the frontline or recurrent setting with subsequent progression and who received Rintega plus Avastin in a single treatment arm. In August 2013, we announced the addition of an expansion cohort of up to 75 patients, called Group 2C, to better characterize the potential activity of Rintega in this refractory patient population. This decision was based on early evidence of anti-tumor activity, including stable disease, tumor shrinkage and investigator-reported response. In total, Group 2C enrolled 28 patients. The primary endpoint is six month progression-free survival rate (PFS-6) for groups 1 and 2 and objective response rate (ORR) for group 2C. Other study endpoints include PFS-6, ORR, PFS, overall survival, or OS and safety and tolerability.</w:t>
      </w:r>
    </w:p>
    <w:p>
      <w:pPr>
        <w:spacing w:after="0" w:line="20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November 2014, we reported the following interim data from the ReACT study. Rintega plus Avastin was very well tolerated (dosing up to 26+ months) and the results demonstrated clear signs of clinical activity in advanced patient populations, including evidence of anti-tumor activity (tumor shrinkage, objective response and stable disease). Strong immune response correlated with improved outcome. In Avastin-naïve patients treated with both Rintega and Avastin, a statistically significant survival benefit was seen compared to the control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Group 1 Interim Data</w:t>
      </w:r>
    </w:p>
    <w:p>
      <w:pPr>
        <w:spacing w:after="0" w:line="225" w:lineRule="exact"/>
        <w:rPr>
          <w:sz w:val="20"/>
          <w:szCs w:val="20"/>
          <w:color w:val="auto"/>
        </w:rPr>
      </w:pPr>
    </w:p>
    <w:p>
      <w:pPr>
        <w:ind w:left="940" w:hanging="28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PFS-6: </w:t>
      </w:r>
      <w:r>
        <w:rPr>
          <w:rFonts w:ascii="Times New Roman" w:cs="Times New Roman" w:eastAsia="Times New Roman" w:hAnsi="Times New Roman"/>
          <w:sz w:val="18"/>
          <w:szCs w:val="18"/>
          <w:color w:val="auto"/>
        </w:rPr>
        <w:t>PFS-6 by investigator read was 27% for patients treated with Rintega compared to 11% for control patients (p=0.048)</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6" w:lineRule="auto"/>
        <w:tabs>
          <w:tab w:leader="none" w:pos="9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The OS demonstrated a statistically significant benefit (p=0.0208) with a hazard ratio of 0.47 (0.25, 0.91) in favor of the Rintega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patients. Median OS was 12.0 months for patients treated with Rintega compared to 8.8 months for control patients.</w:t>
      </w:r>
    </w:p>
    <w:p>
      <w:pPr>
        <w:spacing w:after="0" w:line="154" w:lineRule="exact"/>
        <w:rPr>
          <w:rFonts w:ascii="Times New Roman" w:cs="Times New Roman" w:eastAsia="Times New Roman" w:hAnsi="Times New Roman"/>
          <w:sz w:val="18"/>
          <w:szCs w:val="18"/>
          <w:color w:val="auto"/>
        </w:rPr>
      </w:pPr>
    </w:p>
    <w:p>
      <w:pPr>
        <w:ind w:left="980" w:right="120" w:hanging="324"/>
        <w:spacing w:after="0" w:line="286" w:lineRule="auto"/>
        <w:tabs>
          <w:tab w:leader="none" w:pos="9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Rate: </w:t>
      </w:r>
      <w:r>
        <w:rPr>
          <w:rFonts w:ascii="Times New Roman" w:cs="Times New Roman" w:eastAsia="Times New Roman" w:hAnsi="Times New Roman"/>
          <w:sz w:val="18"/>
          <w:szCs w:val="18"/>
          <w:color w:val="auto"/>
        </w:rPr>
        <w:t>7 out of 29 patients (24%) evaluable for response on the Rintega arm experienced a confirmed objective response versus 5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30 patients (17%) evaluable for response on the control arm. Assessments of response were conducted by study investigators according to</w:t>
      </w:r>
    </w:p>
    <w:p>
      <w:pPr>
        <w:sectPr>
          <w:pgSz w:w="11900" w:h="16838" w:orient="portrait"/>
          <w:cols w:equalWidth="0" w:num="1">
            <w:col w:w="11420"/>
          </w:cols>
          <w:pgMar w:left="240" w:top="121" w:right="239" w:bottom="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8"/>
          <w:szCs w:val="18"/>
          <w:color w:val="auto"/>
        </w:rPr>
        <w:t>RANO criteria.</w:t>
      </w:r>
    </w:p>
    <w:p>
      <w:pPr>
        <w:spacing w:after="0" w:line="221" w:lineRule="exact"/>
        <w:rPr>
          <w:sz w:val="20"/>
          <w:szCs w:val="20"/>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All subgroup analyses, including performance status, steroid use and recent resection, show a hazard ratio in favor of Rintega treatment.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Group 2/2C Interim Data</w:t>
      </w:r>
    </w:p>
    <w:p>
      <w:pPr>
        <w:spacing w:after="0" w:line="225" w:lineRule="exact"/>
        <w:rPr>
          <w:sz w:val="20"/>
          <w:szCs w:val="20"/>
          <w:color w:val="auto"/>
        </w:rPr>
      </w:pPr>
    </w:p>
    <w:p>
      <w:pPr>
        <w:ind w:left="980" w:right="160" w:hanging="324"/>
        <w:spacing w:after="0" w:line="286" w:lineRule="auto"/>
        <w:tabs>
          <w:tab w:leader="none" w:pos="9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Median OS was 5.1 months (95% CI 3.2, 6.5) for these heavily pretreated, refractory EGFRvIII-positive patients. 46% of patients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2/2C were alive at 6 months.</w:t>
      </w:r>
    </w:p>
    <w:p>
      <w:pPr>
        <w:spacing w:after="0" w:line="154" w:lineRule="exact"/>
        <w:rPr>
          <w:rFonts w:ascii="Times New Roman" w:cs="Times New Roman" w:eastAsia="Times New Roman" w:hAnsi="Times New Roman"/>
          <w:sz w:val="18"/>
          <w:szCs w:val="18"/>
          <w:color w:val="auto"/>
        </w:rPr>
      </w:pPr>
    </w:p>
    <w:p>
      <w:pPr>
        <w:ind w:left="980" w:right="200" w:hanging="324"/>
        <w:spacing w:after="0" w:line="259" w:lineRule="auto"/>
        <w:tabs>
          <w:tab w:leader="none" w:pos="9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Rate: </w:t>
      </w:r>
      <w:r>
        <w:rPr>
          <w:rFonts w:ascii="Times New Roman" w:cs="Times New Roman" w:eastAsia="Times New Roman" w:hAnsi="Times New Roman"/>
          <w:sz w:val="18"/>
          <w:szCs w:val="18"/>
          <w:color w:val="auto"/>
        </w:rPr>
        <w:t>Based on investigator assessment, two patients experienced complete response, of which one was unconfirmed, and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experienced partial response, of which one was unconfirmed, in Group 2. Two of these four patients did not meet the protocol defined definition of refractory in Group 2, the only two such patients enrolled. No additional objective responses were observed in Group 2C and the study did not meet the criteria (defined as two responses in the first 23 patients enrolled in Group 2C) for continued enrollment. Ten patients with measurable disease experienced objective tumor shrinkage across Group 2/2C.</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plan to present final data at the 2015 ASCO Annual Meeting in May 2015.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Glembatumumab Vedotin</w:t>
      </w:r>
    </w:p>
    <w:p>
      <w:pPr>
        <w:spacing w:after="0" w:line="227"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9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Treatment of Breast Cancer: </w:t>
      </w:r>
      <w:r>
        <w:rPr>
          <w:rFonts w:ascii="Times New Roman" w:cs="Times New Roman" w:eastAsia="Times New Roman" w:hAnsi="Times New Roman"/>
          <w:sz w:val="18"/>
          <w:szCs w:val="18"/>
          <w:color w:val="auto"/>
        </w:rPr>
        <w:t>The Phase 1/2 study of glembatumumab vedotin administered intravenously once every three weeks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 free at 12 weeks, was met as 9 of 26 (35%) evaluable patients were progression-free at 12 weeks.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8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at least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EMERGE: Overall Response Rate and Disease Control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Triple Negative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3280" w:type="dxa"/>
            <w:vAlign w:val="bottom"/>
            <w:gridSpan w:val="4"/>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gpNMB Over-Expression</w:t>
            </w:r>
          </w:p>
        </w:tc>
        <w:tc>
          <w:tcPr>
            <w:tcW w:w="1920" w:type="dxa"/>
            <w:vAlign w:val="bottom"/>
            <w:gridSpan w:val="3"/>
          </w:tcPr>
          <w:p>
            <w:pPr>
              <w:jc w:val="center"/>
              <w:ind w:left="1044"/>
              <w:spacing w:after="0" w:line="149" w:lineRule="exact"/>
              <w:rPr>
                <w:sz w:val="20"/>
                <w:szCs w:val="20"/>
                <w:color w:val="auto"/>
              </w:rPr>
            </w:pPr>
            <w:r>
              <w:rPr>
                <w:rFonts w:ascii="Times New Roman" w:cs="Times New Roman" w:eastAsia="Times New Roman" w:hAnsi="Times New Roman"/>
                <w:sz w:val="14"/>
                <w:szCs w:val="14"/>
                <w:b w:val="1"/>
                <w:bCs w:val="1"/>
                <w:color w:val="auto"/>
              </w:rPr>
              <w:t>and gpNMB</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3280" w:type="dxa"/>
            <w:vAlign w:val="bottom"/>
            <w:gridSpan w:val="4"/>
            <w:vMerge w:val="continue"/>
          </w:tcPr>
          <w:p>
            <w:pPr>
              <w:spacing w:after="0"/>
              <w:rPr>
                <w:sz w:val="15"/>
                <w:szCs w:val="15"/>
                <w:color w:val="auto"/>
              </w:rPr>
            </w:pPr>
          </w:p>
        </w:tc>
        <w:tc>
          <w:tcPr>
            <w:tcW w:w="31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glembatumumab</w:t>
            </w: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Investigator</w:t>
            </w:r>
          </w:p>
        </w:tc>
        <w:tc>
          <w:tcPr>
            <w:tcW w:w="280" w:type="dxa"/>
            <w:vAlign w:val="bottom"/>
          </w:tcPr>
          <w:p>
            <w:pPr>
              <w:spacing w:after="0"/>
              <w:rPr>
                <w:sz w:val="10"/>
                <w:szCs w:val="10"/>
                <w:color w:val="auto"/>
              </w:rPr>
            </w:pPr>
          </w:p>
        </w:tc>
        <w:tc>
          <w:tcPr>
            <w:tcW w:w="1920" w:type="dxa"/>
            <w:vAlign w:val="bottom"/>
            <w:tcBorders>
              <w:top w:val="single" w:sz="8" w:color="auto"/>
            </w:tcBorders>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glembatumumab</w:t>
            </w:r>
          </w:p>
        </w:tc>
        <w:tc>
          <w:tcPr>
            <w:tcW w:w="1100" w:type="dxa"/>
            <w:vAlign w:val="bottom"/>
            <w:tcBorders>
              <w:top w:val="single" w:sz="8" w:color="auto"/>
            </w:tcBorders>
          </w:tcPr>
          <w:p>
            <w:pPr>
              <w:jc w:val="center"/>
              <w:ind w:right="202"/>
              <w:spacing w:after="0" w:line="118" w:lineRule="exact"/>
              <w:rPr>
                <w:sz w:val="20"/>
                <w:szCs w:val="20"/>
                <w:color w:val="auto"/>
              </w:rPr>
            </w:pPr>
            <w:r>
              <w:rPr>
                <w:rFonts w:ascii="Times New Roman" w:cs="Times New Roman" w:eastAsia="Times New Roman" w:hAnsi="Times New Roman"/>
                <w:sz w:val="13"/>
                <w:szCs w:val="13"/>
                <w:b w:val="1"/>
                <w:bCs w:val="1"/>
                <w:color w:val="auto"/>
              </w:rPr>
              <w:t>Investigator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vedotin</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19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vedotin</w:t>
            </w: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(n=25)</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(n=8)</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(n=12)</w:t>
            </w: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ind w:right="182"/>
              <w:spacing w:after="0" w:line="142" w:lineRule="exact"/>
              <w:rPr>
                <w:sz w:val="20"/>
                <w:szCs w:val="20"/>
                <w:color w:val="auto"/>
              </w:rPr>
            </w:pPr>
            <w:r>
              <w:rPr>
                <w:rFonts w:ascii="Times New Roman" w:cs="Times New Roman" w:eastAsia="Times New Roman" w:hAnsi="Times New Roman"/>
                <w:sz w:val="14"/>
                <w:szCs w:val="14"/>
                <w:b w:val="1"/>
                <w:bCs w:val="1"/>
                <w:color w:val="auto"/>
                <w:w w:val="99"/>
              </w:rPr>
              <w:t>(n=4)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Response</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Disease Control Rate</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EMERGE: Progression Free Survival (PFS) and Overall Survival (OS) Data</w:t>
      </w:r>
    </w:p>
    <w:p>
      <w:pPr>
        <w:sectPr>
          <w:pgSz w:w="11900" w:h="16838" w:orient="portrait"/>
          <w:cols w:equalWidth="0" w:num="1">
            <w:col w:w="11420"/>
          </w:cols>
          <w:pgMar w:left="240" w:top="121"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3"/>
            <w:vMerge w:val="restart"/>
          </w:tcPr>
          <w:p>
            <w:pPr>
              <w:jc w:val="center"/>
              <w:ind w:right="911"/>
              <w:spacing w:after="0"/>
              <w:rPr>
                <w:sz w:val="20"/>
                <w:szCs w:val="20"/>
                <w:color w:val="auto"/>
              </w:rPr>
            </w:pPr>
            <w:r>
              <w:rPr>
                <w:rFonts w:ascii="Times New Roman" w:cs="Times New Roman" w:eastAsia="Times New Roman" w:hAnsi="Times New Roman"/>
                <w:sz w:val="14"/>
                <w:szCs w:val="14"/>
                <w:b w:val="1"/>
                <w:bCs w:val="1"/>
                <w:color w:val="auto"/>
              </w:rPr>
              <w:t>gpNMB</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Triple Negative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3"/>
          </w:tcPr>
          <w:p>
            <w:pPr>
              <w:jc w:val="center"/>
              <w:ind w:left="1021"/>
              <w:spacing w:after="0" w:line="149" w:lineRule="exact"/>
              <w:rPr>
                <w:sz w:val="20"/>
                <w:szCs w:val="20"/>
                <w:color w:val="auto"/>
              </w:rPr>
            </w:pPr>
            <w:r>
              <w:rPr>
                <w:rFonts w:ascii="Times New Roman" w:cs="Times New Roman" w:eastAsia="Times New Roman" w:hAnsi="Times New Roman"/>
                <w:sz w:val="14"/>
                <w:szCs w:val="14"/>
                <w:b w:val="1"/>
                <w:bCs w:val="1"/>
                <w:color w:val="auto"/>
              </w:rPr>
              <w:t>and gpNMB</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760" w:type="dxa"/>
            <w:vAlign w:val="bottom"/>
            <w:gridSpan w:val="4"/>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Over-Expression</w:t>
            </w: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glembatumumab</w:t>
            </w: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left="211"/>
              <w:spacing w:after="0" w:line="118" w:lineRule="exact"/>
              <w:rPr>
                <w:sz w:val="20"/>
                <w:szCs w:val="20"/>
                <w:color w:val="auto"/>
              </w:rPr>
            </w:pPr>
            <w:r>
              <w:rPr>
                <w:rFonts w:ascii="Times New Roman" w:cs="Times New Roman" w:eastAsia="Times New Roman" w:hAnsi="Times New Roman"/>
                <w:sz w:val="13"/>
                <w:szCs w:val="13"/>
                <w:b w:val="1"/>
                <w:bCs w:val="1"/>
                <w:color w:val="auto"/>
              </w:rPr>
              <w:t>Investigator</w:t>
            </w:r>
          </w:p>
        </w:tc>
        <w:tc>
          <w:tcPr>
            <w:tcW w:w="2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Borders>
              <w:top w:val="single" w:sz="8" w:color="auto"/>
            </w:tcBorders>
            <w:gridSpan w:val="3"/>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glembatumumab</w:t>
            </w:r>
          </w:p>
        </w:tc>
        <w:tc>
          <w:tcPr>
            <w:tcW w:w="1100" w:type="dxa"/>
            <w:vAlign w:val="bottom"/>
            <w:tcBorders>
              <w:top w:val="single" w:sz="8" w:color="auto"/>
            </w:tcBorders>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Investigator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vedotin</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vedotin</w:t>
            </w: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PFS (months)</w:t>
            </w:r>
          </w:p>
        </w:tc>
        <w:tc>
          <w:tcPr>
            <w:tcW w:w="1240" w:type="dxa"/>
            <w:vAlign w:val="bottom"/>
            <w:tcBorders>
              <w:top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p=0.14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p=0.008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OS (months)</w:t>
            </w:r>
          </w:p>
        </w:tc>
        <w:tc>
          <w:tcPr>
            <w:tcW w:w="124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134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1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p=0.18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p=0.003</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7"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7"/>
          <w:szCs w:val="17"/>
          <w:i w:val="1"/>
          <w:iCs w:val="1"/>
          <w:color w:val="auto"/>
        </w:rPr>
        <w:t>When cross over patients are removed, median OS in patients with gpNMB over-expression is 10.0 months for glembatumumab vedotin vs 5.2 months for IC (p=0.05) and median OS in triple negative patients with gpNMB over- expression is 10.0 months for glembatumumab vedotin vs 5.2 months for IC (p=0.009).</w:t>
      </w:r>
    </w:p>
    <w:p>
      <w:pPr>
        <w:spacing w:after="0" w:line="13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December 2013, we initiated METRIC, a randomized, controlled Phase 2b study of glembatumumab vedotin in patients with triple negative breast cancer that over-express gpNMB. To-date, 95 sites are open to enrollment across the United States, Canada and Australia. The study was originally designed to obtain accelerated approval. Feedback from clinical investigators conducting the study indicated that the eligibility criteria for study entry were limiting their ability to enroll patients they felt were clinically appropriate on study. In addition, we had spoken to country-specific members of the European Medicines Agency, or EMA, and believed a significant opportunity existed to expand the study into the EU. Based on these factors, in the fourth quarter of 2014, we amended the METRIC study and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 Based on current projections, we believe enrollment will be completed in 2016.</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Treatment of Metastatic Melanoma: </w:t>
      </w:r>
      <w:r>
        <w:rPr>
          <w:rFonts w:ascii="Times New Roman" w:cs="Times New Roman" w:eastAsia="Times New Roman" w:hAnsi="Times New Roman"/>
          <w:sz w:val="18"/>
          <w:szCs w:val="18"/>
          <w:color w:val="auto"/>
        </w:rPr>
        <w:t>The Phase 1/2 open-label, multi-center, dose escalation study evaluated the safety, tolerability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pharmacokinetics 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December 2014, we initiated a single arm, open-label Phase 2 study of glembatumumab vedotin in patients with unresectable Stage III or IV melanoma. The study is expected to include approximately 10 sites in the United States and will enroll approximately 60 patients. The primary objective is to evaluate the anticancer activity of glembatumumab vedotin in advanced melanoma as measured by the ORR. Secondary endpoints include analyses of PFS, duration of response, OS, retrospective investigation of whether the anticancer activity of glembatumumab vedotin is dependent upon the degree of gpNMB expression in tumor tissue and safety.</w:t>
      </w:r>
    </w:p>
    <w:p>
      <w:pPr>
        <w:spacing w:after="0" w:line="18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completed the assay optimization and validation for a Phase 2 study in squamous cell lung cancer and expect the study will commence in the second half of 2015. We have also entered into a Cooperative Research and Development Agreement, or CRADA, with the National Cancer Institute, or NCI, under which NCI will sponsor two studies of glembatumumab vedotin—one in uveal melanoma and one in pediatric osteosarcoma.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Varlilumab</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Varlilumab, a fully human monoclonal agonist antibody, binds and activates CD27, a critical co-stimulatory molecule in the immune activation cascade, primarily by stimulating T cells to attack cancer cells. Restricted expression and regulation of CD27 enables varlilumab specifically to activate T cells, resulting in an enhanced immune response with a favorable safety profile. Varlilumab has also been shown to directly kill or inhibit the growth of CD27 expressing lymphomas and leukemias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have entered into license agreements with the University of Southampton, UK for intellectual property related to uses of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anti-CD27 antibodies and with Medarex (now a subsidiary of the Bristol-Myers Squibb Company, or BMS) for access to the UltiMab technology to develop and commercialize human antibodies to CD27.</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are conducting an open label Phase 1 study of varlilumab in patients with selected malignant solid tumors or hematologic cancers at multiple clinical sites in the United States. Initial dose escalation cohorts were conducted to determine an optimal dose for future study and, to date, no maximum tolerated dose has been reached. The lymphoid malignancies dose escalation arm has completed enrollment (n=24) and a new cohort has been added to include evaluation of T cell malignancies. An expansion cohort has also been added at 0.3mg/kg dosed once every three weeks in patients with Hodgkin Lymphoma (n=15). The solid tumor arm, which included patients with various solid tumors, completed dose escalation in 2013. Two expansion cohorts were subsequently added at 3 mg/kg dosed weekly in metastatic melanoma (n=16) and renal cell carcinoma (n=15) to better characterize clinical activity and further define the safety profile in preparation for combination studies.</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presented updated data from this Phase 1 study in November 2014. Varlilumab was very well tolerated and induced immunologic activity in patients that is consistent with both its mechanism of action and preclinical models. A total of 86 patients have been dosed in the study. 55 patients have been dosed in dose escalation cohorts (various solid and hematologic B-cell tumors) and 31 patients have been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objective responses including a complete response in Hodgkin Lymphoma and a partial</w:t>
      </w:r>
    </w:p>
    <w:p>
      <w:pPr>
        <w:sectPr>
          <w:pgSz w:w="11900" w:h="16838" w:orient="portrait"/>
          <w:cols w:equalWidth="0" w:num="1">
            <w:col w:w="11420"/>
          </w:cols>
          <w:pgMar w:left="240" w:top="318" w:right="239" w:bottom="0" w:gutter="0" w:footer="0" w:header="0"/>
        </w:sectPr>
      </w:pPr>
    </w:p>
    <w:bookmarkStart w:id="13" w:name="page14"/>
    <w:bookmarkEnd w:id="13"/>
    <w:p>
      <w:pPr>
        <w:spacing w:after="0" w:line="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response in renal cell carcinoma. Thirteen patients experienced stable disease with a range of 3-30.7+ months to-date. Based on the results observed in hematologic malignancies, an expansion cohort has been added to enroll up to 15 patients with Hodgkin Lymphoma and an abbreviated dose escalation in T cell hematologic malignancies is ongoing.</w:t>
      </w:r>
    </w:p>
    <w:p>
      <w:pPr>
        <w:spacing w:after="0" w:line="17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In May 2014, we entered into a clinical trial collaboration with Bristol-Myers Squibb Company, or BMS, to evaluate the safety, tolerability and preliminary efficacy of varlilumab and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BMS’s PD-1 immune checkpoint inhibitor, in a Phase 1/2 study. Under the terms of this clinical trial collaboration, BMS made a one-time payment to us of $5.0 million and the companies amended the terms of our existing license agreement with Medarex (a subsidiary of BMS) related to our CD27 program whereby certain future milestone payments were waived and future royalty rates were reduced that may have been due from us to Medarex. In return, BMS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9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Phase 1/2 study was initiated in January of 2015 and is being conducted in adult patients with advanced non-small cell lung cancer, metastatic melanoma, colorectal cancer, ovarian cancer, and head and neck squamous cell carcinoma. The Phase 1 dose-escalation portion of the study will assess the safety and tolerability of varlilumab at varying doses when administered with Opdivo. Following dose escalation, a Phase 2 portion of the study will include five disease specific cohorts. The primary objective of the Phase 2 study is overall response rate. Secondary objectives include pharmacokinetics assessments, determining the immunogenicity of varlilumab when given in combination with Opdivo and further assessing the anti-tumor activity of combination treatment.</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2014, we also entered into a clinical trial collaboration with Oncothyreon Inc. to evaluate the safety, tolerability and preliminary efficacy of varlilumab and ONT-10, Oncothyreon’s therapeutic vaccine targeting the tumor-associated antigen MUC1, in a Phase 1b study. Under the terms of the clinical trial collaboration, the Phase 1b trial will be conducted and funded by Oncothyreon. Both companies will jointly own the data from the trial and will make any plans for potential future development of the combination therapy together. The Phase 1b study was initiated in November 2014 and is being conducted in up to 42 patients with advanced breast or ovarian cancer. The primary objective of the trial is to determine the safety and tolerability of the combined therapy. Additional objectives include evaluations of the impact of combination treatment on MUC1-specific humoral and cellular immune responses, T-cell activation markers and levels of regulatory T- cells, and anti-tumor effects.</w:t>
      </w:r>
    </w:p>
    <w:p>
      <w:pPr>
        <w:spacing w:after="0" w:line="18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In March 2015, we entered into a clinical trial collaboration with Roche to evaluate the safety, tolerability and preliminary efficacy of varlilumab and MPDL3280A (anti-PDL1), Roche’s investigational cancer immunotherapy in a Phase 1/2 study in renal cell carcinoma. Under the terms of this agreement, Roche will provide study drug and we will be responsible for conducting and funding the study, which is expected to begin in the second half of 2015.</w:t>
      </w:r>
    </w:p>
    <w:p>
      <w:pPr>
        <w:spacing w:after="0" w:line="15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April 2015, we initiated a Phase 1/2 safety pilot and expansion study examining the combination of varlilumab and Yervoy® in patients with Stage III or IV metastatic melanoma. In the Phase 2 portion of the study, patients with tumors that express NY-ESO-1 will also receive CDX-1401. The Phase 1 portion of the study will assess the study will assess the safety and tolerability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varlilumab at varying doses when administered with ipilimumab to identify a recommended dose for the Phase 2 portion of the study. The Phase 2 study will include two cohorts—one comprised of patients who are NY-ESO-1 positive and one comprised of patients who are NY-ESO-1 negative. Patients who are NY-ESO-1 positive will also receive CDX-1401 (with poly-ICLC at 2 mg given as an adjuvant) in addition to varlilumab and ipilimumab. The primary objective for both cohorts is objective response rate up to 24 weeks (ORR6). Secondary objectives for the Phase 2 study include safety and tolerability, immunogenicity, pharmacokinetics and further assessment of anti-tumor activity across a broad range of endpoints.</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Multiple efforts are underway to finalize designs and plans for additional Phase 2 combination studies of varlilumab, including but not limited to: a Phase 1/2 of varlilumab plus sunitinib in renal cell carcinoma; and a Phase 1/2 study of varlilumab plus a mek pathway agent (followed sequentially by a checkpoint inhibitor) for patients with B-raf mutated metastatic melanoma. In addition to our sponsored studies and clinical trial collaborations, we anticipate that varlilumab’s potential activity will also be explored in investigator sponsored studies at various academic institutions.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CDX-1401</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CDX-1401, developed from our APC Targeting Technology, is an antibody-based NY-ESO-1-specific therapeutic vaccine for multiple solid tumors. The vaccine, which is administered with an adjuvant, is composed of the cancer-specific antigen NY-ESO-1 fused to a fully human antibody that binds to DEC-205 for efficient delivery to dendritic cells. Delivery of tumor-specific proteins directly to dendritic cells in vivo elicits potent, broad, anti-tumor immune responses across populations with different genetic backgrounds. In humans, NY-ESO-1 has been detected in 20% -30% of all melanoma, lung, esophageal, liver, gastric, prostate, ovarian and bladder cancers, thus representing a broad opportunity.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8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have completed a Phase 1 study of CDX-1401 which assessed the safety, immunogenicity and clinical activity of escalating doses of CDX-1401 with TLR agonists (resiquimod and/or Poly ICLC) in 45 patients with advanced malignancies refractory to all available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ipilimumab or an investigational checkpoint inhibitor and six of these patients had objective tumor regression. Six patients with melanoma received ipilimumab within three months of treatment with CDX-1401 and four (67%) had objective tumor responses, including one complete response, which compares favorably to the overall response rate of 11% previously reported in metastatic melanoma patients treated with single-agent ipilimumab. In addition, two patients with non-small cell lung cancer received an investigational checkpoint blockade within two months of completing treatment with CDX-1401 and both achieved partial responses.</w:t>
      </w:r>
    </w:p>
    <w:p>
      <w:pPr>
        <w:spacing w:after="0" w:line="191" w:lineRule="exact"/>
        <w:rPr>
          <w:sz w:val="20"/>
          <w:szCs w:val="20"/>
          <w:color w:val="auto"/>
        </w:rPr>
      </w:pPr>
    </w:p>
    <w:p>
      <w:pPr>
        <w:ind w:right="440" w:firstLine="648"/>
        <w:spacing w:after="0" w:line="313" w:lineRule="auto"/>
        <w:rPr>
          <w:sz w:val="20"/>
          <w:szCs w:val="20"/>
          <w:color w:val="auto"/>
        </w:rPr>
      </w:pPr>
      <w:r>
        <w:rPr>
          <w:rFonts w:ascii="Times New Roman" w:cs="Times New Roman" w:eastAsia="Times New Roman" w:hAnsi="Times New Roman"/>
          <w:sz w:val="17"/>
          <w:szCs w:val="17"/>
          <w:color w:val="auto"/>
        </w:rPr>
        <w:t>The Phase 1 study identified a well-tolerated and immunogenic regimen to take forward into future studies. A Phase 2 study of CDX-1401 in combination with CDX-301 in metastatic melanoma is being conducted by the Cancer Immunotherapy Trials Network under a CRADA with the Cancer</w:t>
      </w:r>
    </w:p>
    <w:p>
      <w:pPr>
        <w:sectPr>
          <w:pgSz w:w="11900" w:h="16889" w:orient="portrait"/>
          <w:cols w:equalWidth="0" w:num="1">
            <w:col w:w="11420"/>
          </w:cols>
          <w:pgMar w:left="240" w:top="121" w:right="239" w:bottom="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18"/>
          <w:szCs w:val="18"/>
          <w:color w:val="auto"/>
        </w:rPr>
        <w:t>Therapy Evaluation Program of the NCI and is ongoing. As described above, in April 2015, we initiated a Phase 1/2 safety pilot and expansion study examining the combination of varlilumab and Yervoy® in patients with Stage III or IV metastatic melanoma. In the Phase 2 portion of the study, patients with tumors that express NY-ESO-1 will also receive CDX-1401.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CDX-301</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CDX-301, a recombinant FMS-like tyrosine kinase 3 ligand, or Flt3L, is a potent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8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cell populations in healthy volunteers. In December 2013, we announced data from a preclinical combination study of CDX-301and Mozobil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The study will explore the utility of CDX-301 alone and in combination with Mozobil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addition to our sponsored studies and clinical trial collaborations, we anticipate that CDX-301’s potential activity will also be explored in investigator sponsored studies at various academic institutions.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CDX-014</w:t>
      </w:r>
    </w:p>
    <w:p>
      <w:pPr>
        <w:spacing w:after="0" w:line="227"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CDX-014 is a fully-human monoclonal ADC that targets T-cell immunoglobulin and mucin domain 1, or TIM-1, a molecule that is upregulated in several cancers, including renal cell and ovarian carcinomas. TIM-1 is associated with kidney injury and the shedding of its ectodomain is a predictive biomarker for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expect to complete manufacturing and IND-enabling studies by the end of 2015 to support the initiation of Phase 1 clinical studies in renal cell carcinoma and potentially other TIM-1 expressing tumors in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more fully described in Note 2 to our financial statements included in our Annual Report on Form 10-K for the year ended December 31, 2014 and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2015 compared with Three Months Ended March 31, 2014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4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Grants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r>
      <w:tr>
        <w:trPr>
          <w:trHeight w:val="170"/>
        </w:trPr>
        <w:tc>
          <w:tcPr>
            <w:tcW w:w="42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Operating Expense:</w:t>
            </w: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25,125</w:t>
            </w: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27,070</w:t>
            </w:r>
          </w:p>
        </w:tc>
        <w:tc>
          <w:tcPr>
            <w:tcW w:w="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(1,945)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1,507</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40" w:type="dxa"/>
            <w:vAlign w:val="bottom"/>
            <w:gridSpan w:val="2"/>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1,586</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(779)</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ectPr>
          <w:pgSz w:w="11900" w:h="16838" w:orient="portrait"/>
          <w:cols w:equalWidth="0" w:num="1">
            <w:col w:w="11420"/>
          </w:cols>
          <w:pgMar w:left="240" w:top="121" w:right="239" w:bottom="0" w:gutter="0" w:footer="0" w:header="0"/>
          <w:type w:val="continuous"/>
        </w:sectPr>
      </w:pPr>
    </w:p>
    <w:bookmarkStart w:id="15" w:name="page16"/>
    <w:bookmarkEnd w:id="15"/>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$0.3 million increase in net loss for the three months ended March 31, 2015 compared to the three months ended March 31, 2014 was primarily the result of an increase in general and administrative expenses and a decrease in other income, partially offset by a decrease in research and development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$0.3 million increase in product development and licensing agreements revenue for the three months ended March 31, 2015 compared to the three months ended March 31, 2014 was primarily related to our BMS agreement. In May 2014, we entered into a clinical trial collaboration with BMS whereby BMS made a one- time payment to us of $5.0 million which we are recognizing as revenue along with BMS’s 50% share of the clinical trial cost over our estimated performance period of five years. The $0.2 million decrease in contracts and grants revenue for the three months ended March 31, 2015 compared to the three months ended March 31, 2014 was primarily related to our Rockefeller University agreement pursuant to which we perform research and development services for Rockefeller. The agreement includes an approved project plan for the development services of $4.8 million and a term of three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42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2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57"/>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6,546</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4,460</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2,086</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8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1,165</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824</w:t>
            </w:r>
          </w:p>
        </w:tc>
        <w:tc>
          <w:tcPr>
            <w:tcW w:w="460" w:type="dxa"/>
            <w:vAlign w:val="bottom"/>
          </w:tcPr>
          <w:p>
            <w:pPr>
              <w:spacing w:after="0"/>
              <w:rPr>
                <w:sz w:val="18"/>
                <w:szCs w:val="18"/>
                <w:color w:val="auto"/>
              </w:rPr>
            </w:pPr>
          </w:p>
        </w:tc>
        <w:tc>
          <w:tcPr>
            <w:tcW w:w="13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341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1,344</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144</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8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155</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2,610</w:t>
            </w:r>
          </w:p>
        </w:tc>
        <w:tc>
          <w:tcPr>
            <w:tcW w:w="46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(2,455)</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14,535</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17,153</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(2,618)</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payroll taxes and recruiting costs. The $2.1 million increase in personnel expenses for the three months ended March 31, 2015 compared to the three months ended March 31, 2014 was primarily due to increased headcount and higher stock-based compensation of $0.7 million. We expect personnel expenses to increase over the next twelve months as we plan to continue to increase our headcount, primarily to support our Rintega, glembatumumab vedotin and varlilumab programs.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Laboratory supply expenses include laboratory materials and supplies, services, and other related expenses incurred in the development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The $0.3 million increase in laboratory supply expense for the three months ended March 31, 2015 compared to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2014 was primarily due to higher manufacturing supply purchases. We expect supply expenses to remain relatively consistent over the next twelve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although there may be fluctuations on a quarterly basis.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The</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$0.1 million increase in facility expenses for the three months ended March 31, 2015 compared to the three months ended March 31, 2014 was primarily due to increases in depreciation and utilities. We expect facility expenses to remain relatively consistent over the next twelve months, although there may be fluctuations on a quarterly basis.</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License fee expenses include annual license maintenance fees and milestone payments due upon the achievement of certain development, regulatory and/or commercial milestones. The $2.5 million decrease in license fee expenses for the three months ended March 31, 2015 compared to the three months ended March 31, 2014 was due to the one-time $2.5 million milestone incurred and paid to Seattle Genetics in the three months ended March 31, 2014 as a result of the METRIC initiation. We expect license fee expense to remain relatively consistent over the next twelve months, although there may be fluctuations on a quarterly basis.</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$2.6 million decrease in product development expenses for the three months ended March 31, 2015 compared to the three months ended March 31, 2014 was primarily the result of a decrease in clinical trial costs of $2.6 million primarily related to decreases in ACT IV costs, partially offset by increases in our glembatumumab vedotin and varlilumab programs. We expect product development expenses to remain relatively consistent over the next twelve months as continued decreases in ACT IV costs are offset by increases in our glembatumumab vedotin and varlilumab programs, although there may be fluctuations on a quarterly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$1.5 million increase in general and administrative expenses for the three months ended March 31, 2015 compared to the three months ended March 31, 2014 was primarily due to higher stock-based compensation of $0.4 million, increased headcount and Rintega and glembatumumab vedotin commercial planning costs. We expect general and administrative expense to increase over the next twelve months primarily due to increased commercial planning efforts for Rintega and glembatumumab vedotin, although there may be fluctuations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expenses for the three months ended March 31, 2015 were relatively consistent compared to the three months ended March 31,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amortization expense of acquired intangible assets to remain relatively consistent over the next twelve months.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ectPr>
          <w:pgSz w:w="11900" w:h="16838" w:orient="portrait"/>
          <w:cols w:equalWidth="0" w:num="1">
            <w:col w:w="11420"/>
          </w:cols>
          <w:pgMar w:left="240" w:top="337" w:right="239" w:bottom="0" w:gutter="0" w:footer="0" w:header="0"/>
        </w:sectPr>
      </w:pPr>
    </w:p>
    <w:bookmarkStart w:id="16" w:name="page17"/>
    <w:bookmarkEnd w:id="16"/>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$0.8 million decrease in investment and other income, net for the three months ended March 31, 2015 compared to the three months ended March 31, 2014 was primarily due to $1.0 million received in February 2014 in connection with our TopoTarget agreement and the recognition of $0.6 million and $0.4 million in other income related to the sale of New Jersey tax benefits during the three months ended March 31, 2015 and 2014, respectively. This TopoTarget payment was the last milestone payment we were owed from them. Excluding the impact of the TopoTarget milestone payment, we anticipate investment income to increase over the next twelve months due to higher cash and investment balances resulting from our underwritten public offering in March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March 31, 2015, our principal sources of liquidity consisted of cash, cash equivalents and marketable securities of $359.8 million. We incurred a loss of $30.2 million for the three months ended March 31, 2015. Net cash used in operations for the three months ended March 31, 2015 was $32.6 million. We believe that the cash, cash equivalents and marketable securities at March 31, 2015 are sufficient to meet estimated working capital requirements and fund planned operations through 2017, however, this could be impacted by our clinical data results from our Rintega program and their impact on our pace of commercial manufacturing and the rate of expansion of our commercial operations.</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$32.6 million for the three months ended March 31, 2015 compared to $31.9 million for the three months ended March 31, 2014. The increase in net cash used in operating activities was primarily due to an increase in net loss of $0.3 million. We expect that cash used in operating activities will increase over the next twelve months primarily related to costs incurred on our Rintega, glembatumumab vedotin and varlilumab programs.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$65.0 million for the three months ended March 31, 2015 compared to $81.3 million for the three months ended March 31, 2014. The increase in net cash used in investing activities was primarily due to $63.5 million of net purchases of marketable securities for the three months ended March 31, 2015 compared to $81.1 million for the three months ended March 31,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$191.8 million for the three months ended March 31, 2015 compared to $0.7 million for the three months ended March 31, 2014. During the three months ended March 31, 2015, we issued 8,337,500 shares of our common stock in an underwritten public offering resulting in net proceeds to us of $188.8 million, after deducting underwriting fees and offering expenses. Net proceeds from stock issuances pursuant to employee benefit plans were $3.0 million during the three months ended March 31, 2015 compared to $0.7 million for the three months ended March 31,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disclosures relating to our contractual obligations reported in our Annual Report on Form 10-K for the year ended December 31, 2014 which was filed with the SEC on February 24, 2015 have not materially changed since we filed that report.</w:t>
      </w:r>
    </w:p>
    <w:p>
      <w:pPr>
        <w:sectPr>
          <w:pgSz w:w="11900" w:h="16838" w:orient="portrait"/>
          <w:cols w:equalWidth="0" w:num="1">
            <w:col w:w="11400"/>
          </w:cols>
          <w:pgMar w:left="240" w:top="121" w:right="25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type w:val="continuous"/>
        </w:sectPr>
      </w:pPr>
    </w:p>
    <w:bookmarkStart w:id="17" w:name="page18"/>
    <w:bookmarkEnd w:id="17"/>
    <w:p>
      <w:pPr>
        <w:spacing w:after="0" w:line="1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in the accompanying notes to the condensed financial statements for a discussion of recent accounting pronouncements.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balance sheet of cash and cash equivalents, accounts receivables and accounts payable approximates fair value at March 31, 2015 due to the short-term maturities of these instruments.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March 31, 2015,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31, 2015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2014,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our Annual Report on Form 10-K filed with the Securities and Exchange Commission on February 24,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0580" w:type="dxa"/>
            <w:vAlign w:val="bottom"/>
            <w:gridSpan w:val="2"/>
          </w:tcPr>
          <w:p>
            <w:pPr>
              <w:ind w:left="4740"/>
              <w:spacing w:after="0"/>
              <w:rPr>
                <w:sz w:val="20"/>
                <w:szCs w:val="20"/>
                <w:color w:val="auto"/>
              </w:rPr>
            </w:pPr>
            <w:r>
              <w:rPr>
                <w:rFonts w:ascii="Times New Roman" w:cs="Times New Roman" w:eastAsia="Times New Roman" w:hAnsi="Times New Roman"/>
                <w:sz w:val="18"/>
                <w:szCs w:val="18"/>
                <w:color w:val="auto"/>
              </w:rPr>
              <w:t>25</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r>
      <w:tr>
        <w:trPr>
          <w:trHeight w:val="20"/>
        </w:trPr>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Third Restated Certificate of Incorporation of the Company, incorporated by reference to Exhibit 3.1 of the Company’s Registration</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Statement on Form S-4 (Reg. No. 333-59215), filed July 16, 1998 with the Securities and Exchange Commission.</w:t>
            </w:r>
          </w:p>
        </w:tc>
      </w:tr>
      <w:tr>
        <w:trPr>
          <w:trHeight w:val="216"/>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Certificate of Amendment of Third Restated Certificate of Incorporation of the Company, incorporated by reference to Exhibit 3.1 of the</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Company’s Registration Statement on Form S-4 (Reg. No. 333-59215), filed July 16, 1998 with the Securities and Exchange Commission.</w:t>
            </w:r>
          </w:p>
        </w:tc>
      </w:tr>
      <w:tr>
        <w:trPr>
          <w:trHeight w:val="216"/>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Second Certificate of Amendment of Third Restated Certificate of Incorporation of the Company, incorporated by reference to Exhibit 3.2 of</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Company’s Registration Statement on Form S-4 (Reg. No. 333-59215), filed July 16, 1998 with the Securities and Exchange</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Commission.</w:t>
            </w:r>
          </w:p>
        </w:tc>
      </w:tr>
      <w:tr>
        <w:trPr>
          <w:trHeight w:val="216"/>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Third Certificate of Amendment of Third Restated Certificate of Incorporation of the Company, incorporated by reference to Exhibit 3.1 of</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Company’s Quarterly Report on Form 10-Q, filed May 10, 2002 with the Securities and Exchange Commission.</w:t>
            </w:r>
          </w:p>
        </w:tc>
      </w:tr>
      <w:tr>
        <w:trPr>
          <w:trHeight w:val="216"/>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Fourth Certificate of Amendment of Third Restated Certificate of Incorporation of the Company, incorporated by reference to Exhibit 3.1 of</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Company’s Current Report on Form 8-K, filed on March 11, 2008 with the Securities and Exchange Commission.</w:t>
            </w:r>
          </w:p>
        </w:tc>
      </w:tr>
      <w:tr>
        <w:trPr>
          <w:trHeight w:val="216"/>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Fifth Certificate of Amendment of Third Restated Certificate of Incorporation of the Company, incorporated by reference to Exhibit 3.2 of the</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Company’s Current Report on Form 8-K, filed on March 11, 2008 with the Securities and Exchange Commission.</w:t>
            </w:r>
          </w:p>
        </w:tc>
      </w:tr>
      <w:tr>
        <w:trPr>
          <w:trHeight w:val="216"/>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Sixth Certificate of Amendment of Third Restated Certificate of Incorporation of the Company, incorporated by reference to Exhibit 3.7 of</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Company’s Quarterly Report on Form 10-Q, filed November 10, 2008 with the Securities and Exchange Commission.</w:t>
            </w:r>
          </w:p>
        </w:tc>
      </w:tr>
      <w:tr>
        <w:trPr>
          <w:trHeight w:val="216"/>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*31.1</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r>
      <w:tr>
        <w:trPr>
          <w:trHeight w:val="234"/>
        </w:trPr>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*31.2</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Certification of 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364" w:right="199" w:bottom="0" w:gutter="0" w:footer="0" w:header="0"/>
        </w:sectPr>
      </w:pPr>
    </w:p>
    <w:bookmarkStart w:id="18" w:name="page19"/>
    <w:bookmarkEnd w:id="18"/>
    <w:tbl>
      <w:tblPr>
        <w:tblLayout w:type="fixed"/>
        <w:tblInd w:w="18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1350 Certifications</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hanging="992"/>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80" w:hanging="992"/>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ANTHONY S. MARUCCI</w:t>
      </w:r>
    </w:p>
    <w:p>
      <w:pPr>
        <w:spacing w:after="0" w:line="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April 29, 2015</w:t>
      </w:r>
      <w:r>
        <w:rPr>
          <w:sz w:val="20"/>
          <w:szCs w:val="20"/>
          <w:color w:val="auto"/>
        </w:rPr>
        <w:tab/>
      </w:r>
      <w:r>
        <w:rPr>
          <w:rFonts w:ascii="Times New Roman" w:cs="Times New Roman" w:eastAsia="Times New Roman" w:hAnsi="Times New Roman"/>
          <w:sz w:val="17"/>
          <w:szCs w:val="17"/>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AVERY W. CATLIN</w:t>
      </w:r>
    </w:p>
    <w:p>
      <w:pPr>
        <w:spacing w:after="0" w:line="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April 29, 2015</w:t>
      </w:r>
      <w:r>
        <w:rPr>
          <w:sz w:val="20"/>
          <w:szCs w:val="20"/>
          <w:color w:val="auto"/>
        </w:rPr>
        <w:tab/>
      </w:r>
      <w:r>
        <w:rPr>
          <w:rFonts w:ascii="Times New Roman" w:cs="Times New Roman" w:eastAsia="Times New Roman" w:hAnsi="Times New Roman"/>
          <w:sz w:val="17"/>
          <w:szCs w:val="17"/>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Treasurer and Chief Financial</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gridSpan w:val="2"/>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60" w:type="dxa"/>
            <w:vAlign w:val="bottom"/>
            <w:gridSpan w:val="6"/>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180" w:type="dxa"/>
            <w:vAlign w:val="bottom"/>
            <w:gridSpan w:val="2"/>
          </w:tcPr>
          <w:p>
            <w:pPr>
              <w:ind w:left="37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10180" w:type="dxa"/>
            <w:vAlign w:val="bottom"/>
            <w:gridSpan w:val="2"/>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10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6"/>
                <w:szCs w:val="16"/>
                <w:color w:val="auto"/>
              </w:rPr>
            </w:pPr>
          </w:p>
        </w:tc>
        <w:tc>
          <w:tcPr>
            <w:tcW w:w="10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Fifth Certificate of Amendment of Third Restated Certificate of Incorporation of the Company, incorporated by reference to Exhibit 3.2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Certificate of Amendment of Third Restated Certificate of Incorporation of the Company, incorporated by reference to Exhibit 3.7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240" w:type="dxa"/>
            <w:vAlign w:val="bottom"/>
          </w:tcPr>
          <w:p>
            <w:pPr>
              <w:spacing w:after="0"/>
              <w:rPr>
                <w:sz w:val="18"/>
                <w:szCs w:val="18"/>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240" w:type="dxa"/>
            <w:vAlign w:val="bottom"/>
          </w:tcPr>
          <w:p>
            <w:pPr>
              <w:spacing w:after="0"/>
              <w:rPr>
                <w:sz w:val="20"/>
                <w:szCs w:val="20"/>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-4152265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-4152265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60" w:hanging="1017"/>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60" w:hanging="1017"/>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460"/>
          </w:cols>
          <w:pgMar w:left="240" w:top="121" w:right="199" w:bottom="0" w:gutter="0" w:footer="0" w:header="0"/>
        </w:sect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19" w:name="page20"/>
    <w:bookmarkEnd w:id="1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jc w:val="both"/>
        <w:ind w:left="720" w:right="260" w:hanging="388"/>
        <w:spacing w:after="0" w:line="266" w:lineRule="auto"/>
        <w:tabs>
          <w:tab w:leader="none" w:pos="7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20" w:right="260" w:hanging="388"/>
        <w:spacing w:after="0" w:line="266" w:lineRule="auto"/>
        <w:tabs>
          <w:tab w:leader="none" w:pos="7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60" w:right="200" w:hanging="639"/>
        <w:spacing w:after="0" w:line="266" w:lineRule="auto"/>
        <w:tabs>
          <w:tab w:leader="none" w:pos="13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60" w:right="360" w:hanging="639"/>
        <w:spacing w:after="0" w:line="282" w:lineRule="auto"/>
        <w:tabs>
          <w:tab w:leader="none" w:pos="13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600" w:hanging="639"/>
        <w:spacing w:after="0" w:line="282" w:lineRule="auto"/>
        <w:tabs>
          <w:tab w:leader="none" w:pos="13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80" w:hanging="639"/>
        <w:spacing w:after="0" w:line="282" w:lineRule="auto"/>
        <w:tabs>
          <w:tab w:leader="none" w:pos="13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2015</w:t>
            </w: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c>
          <w:tcPr>
            <w:tcW w:w="40" w:type="dxa"/>
            <w:vAlign w:val="bottom"/>
          </w:tcPr>
          <w:p>
            <w:pPr>
              <w:spacing w:after="0"/>
              <w:rPr>
                <w:sz w:val="20"/>
                <w:szCs w:val="20"/>
                <w:color w:val="auto"/>
              </w:rPr>
            </w:pPr>
          </w:p>
        </w:tc>
      </w:tr>
      <w:tr>
        <w:trPr>
          <w:trHeight w:val="191"/>
        </w:trPr>
        <w:tc>
          <w:tcPr>
            <w:tcW w:w="3600" w:type="dxa"/>
            <w:vAlign w:val="bottom"/>
          </w:tcPr>
          <w:p>
            <w:pPr>
              <w:spacing w:after="0"/>
              <w:rPr>
                <w:sz w:val="16"/>
                <w:szCs w:val="16"/>
                <w:color w:val="auto"/>
              </w:rPr>
            </w:pPr>
          </w:p>
        </w:tc>
        <w:tc>
          <w:tcPr>
            <w:tcW w:w="290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c>
          <w:tcPr>
            <w:tcW w:w="4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0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0" w:name="page21"/>
    <w:bookmarkEnd w:id="2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jc w:val="both"/>
        <w:ind w:left="720" w:right="260" w:hanging="388"/>
        <w:spacing w:after="0" w:line="266" w:lineRule="auto"/>
        <w:tabs>
          <w:tab w:leader="none" w:pos="7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20" w:right="220" w:hanging="388"/>
        <w:spacing w:after="0" w:line="282" w:lineRule="auto"/>
        <w:tabs>
          <w:tab w:leader="none" w:pos="7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20" w:right="260" w:hanging="388"/>
        <w:spacing w:after="0" w:line="266" w:lineRule="auto"/>
        <w:tabs>
          <w:tab w:leader="none" w:pos="7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60" w:right="200" w:hanging="639"/>
        <w:spacing w:after="0" w:line="266" w:lineRule="auto"/>
        <w:tabs>
          <w:tab w:leader="none" w:pos="13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60" w:right="360" w:hanging="639"/>
        <w:spacing w:after="0" w:line="282" w:lineRule="auto"/>
        <w:tabs>
          <w:tab w:leader="none" w:pos="13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60" w:right="60" w:hanging="639"/>
        <w:spacing w:after="0" w:line="266" w:lineRule="auto"/>
        <w:tabs>
          <w:tab w:leader="none" w:pos="13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20" w:right="160" w:hanging="388"/>
        <w:spacing w:after="0" w:line="282" w:lineRule="auto"/>
        <w:tabs>
          <w:tab w:leader="none" w:pos="7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600" w:hanging="639"/>
        <w:spacing w:after="0" w:line="282" w:lineRule="auto"/>
        <w:tabs>
          <w:tab w:leader="none" w:pos="13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280" w:hanging="639"/>
        <w:spacing w:after="0" w:line="282" w:lineRule="auto"/>
        <w:tabs>
          <w:tab w:leader="none" w:pos="13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2015</w:t>
            </w: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AVERY W. CATLIN</w:t>
            </w:r>
          </w:p>
        </w:tc>
        <w:tc>
          <w:tcPr>
            <w:tcW w:w="40" w:type="dxa"/>
            <w:vAlign w:val="bottom"/>
          </w:tcPr>
          <w:p>
            <w:pPr>
              <w:spacing w:after="0"/>
              <w:rPr>
                <w:sz w:val="20"/>
                <w:szCs w:val="20"/>
                <w:color w:val="auto"/>
              </w:rPr>
            </w:pPr>
          </w:p>
        </w:tc>
      </w:tr>
      <w:tr>
        <w:trPr>
          <w:trHeight w:val="191"/>
        </w:trPr>
        <w:tc>
          <w:tcPr>
            <w:tcW w:w="3600" w:type="dxa"/>
            <w:vAlign w:val="bottom"/>
          </w:tcPr>
          <w:p>
            <w:pPr>
              <w:spacing w:after="0"/>
              <w:rPr>
                <w:sz w:val="16"/>
                <w:szCs w:val="16"/>
                <w:color w:val="auto"/>
              </w:rPr>
            </w:pPr>
          </w:p>
        </w:tc>
        <w:tc>
          <w:tcPr>
            <w:tcW w:w="290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Avery W. Catlin</w:t>
            </w:r>
          </w:p>
        </w:tc>
        <w:tc>
          <w:tcPr>
            <w:tcW w:w="4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c>
          <w:tcPr>
            <w:tcW w:w="4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60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1350 CERTIFICATIONS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2015</w:t>
            </w: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191"/>
        </w:trPr>
        <w:tc>
          <w:tcPr>
            <w:tcW w:w="3600" w:type="dxa"/>
            <w:vAlign w:val="bottom"/>
          </w:tcPr>
          <w:p>
            <w:pPr>
              <w:spacing w:after="0"/>
              <w:rPr>
                <w:sz w:val="16"/>
                <w:szCs w:val="16"/>
                <w:color w:val="auto"/>
              </w:rPr>
            </w:pPr>
          </w:p>
        </w:tc>
        <w:tc>
          <w:tcPr>
            <w:tcW w:w="294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S. Marucci</w:t>
            </w:r>
          </w:p>
        </w:tc>
      </w:tr>
      <w:tr>
        <w:trPr>
          <w:trHeight w:val="234"/>
        </w:trPr>
        <w:tc>
          <w:tcPr>
            <w:tcW w:w="3600" w:type="dxa"/>
            <w:vAlign w:val="bottom"/>
          </w:tcPr>
          <w:p>
            <w:pPr>
              <w:spacing w:after="0"/>
              <w:rPr>
                <w:sz w:val="20"/>
                <w:szCs w:val="20"/>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2015</w:t>
            </w: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AVERY W. CATLIN</w:t>
            </w:r>
          </w:p>
        </w:tc>
      </w:tr>
      <w:tr>
        <w:trPr>
          <w:trHeight w:val="191"/>
        </w:trPr>
        <w:tc>
          <w:tcPr>
            <w:tcW w:w="3600" w:type="dxa"/>
            <w:vAlign w:val="bottom"/>
          </w:tcPr>
          <w:p>
            <w:pPr>
              <w:spacing w:after="0"/>
              <w:rPr>
                <w:sz w:val="16"/>
                <w:szCs w:val="16"/>
                <w:color w:val="auto"/>
              </w:rPr>
            </w:pPr>
          </w:p>
        </w:tc>
        <w:tc>
          <w:tcPr>
            <w:tcW w:w="294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Avery W. Catlin</w:t>
            </w:r>
          </w:p>
        </w:tc>
      </w:tr>
      <w:tr>
        <w:trPr>
          <w:trHeight w:val="216"/>
        </w:trPr>
        <w:tc>
          <w:tcPr>
            <w:tcW w:w="3600" w:type="dxa"/>
            <w:vAlign w:val="bottom"/>
          </w:tcPr>
          <w:p>
            <w:pPr>
              <w:spacing w:after="0"/>
              <w:rPr>
                <w:sz w:val="18"/>
                <w:szCs w:val="18"/>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6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2019-12-29T16:52:32Z</dcterms:created>
  <dcterms:modified xsi:type="dcterms:W3CDTF">2019-12-29T16:52:32Z</dcterms:modified>
</cp:coreProperties>
</file>