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2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1, 2011, 44,147,214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Quarterly Period Ended June 30,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6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6479540</wp:posOffset>
            </wp:positionH>
            <wp:positionV relativeFrom="paragraph">
              <wp:posOffset>6350</wp:posOffset>
            </wp:positionV>
            <wp:extent cx="694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72" w:orient="portrait"/>
          <w:cols w:equalWidth="0" w:num="1">
            <w:col w:w="11340"/>
          </w:cols>
          <w:pgMar w:left="240" w:top="233" w:right="319" w:bottom="0" w:gutter="0" w:footer="0" w:header="0"/>
        </w:sectPr>
      </w:pPr>
    </w:p>
    <w:p>
      <w:pPr>
        <w:spacing w:after="0" w:line="154" w:lineRule="exact"/>
        <w:rPr>
          <w:sz w:val="24"/>
          <w:szCs w:val="24"/>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Part I—Financial Information</w:t>
        </w:r>
      </w:hyperlink>
    </w:p>
    <w:p>
      <w:pPr>
        <w:sectPr>
          <w:pgSz w:w="11900" w:h="16872"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June 30, 2011 and December 31, 2010</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June 30, 2011 and 2010</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Cash Flows for the Six Months Ended June 30, 2011 and 2010</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Item 2. Management’s Discussion and Analysis of Financial Condition and Results of Operations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 Quantitative and Qualitative Disclosures About Market Risk</w:t>
              </w:r>
            </w:hyperlink>
          </w:p>
        </w:tc>
        <w:tc>
          <w:tcPr>
            <w:tcW w:w="10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4"/>
          </w:tcPr>
          <w:p>
            <w:pPr>
              <w:spacing w:after="0"/>
              <w:rPr>
                <w:sz w:val="24"/>
                <w:szCs w:val="24"/>
                <w:color w:val="auto"/>
              </w:rPr>
            </w:pPr>
          </w:p>
        </w:tc>
        <w:tc>
          <w:tcPr>
            <w:tcW w:w="3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8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Item 1. Legal Proceedings</w:t>
              </w:r>
            </w:hyperlink>
          </w:p>
        </w:tc>
        <w:tc>
          <w:tcPr>
            <w:tcW w:w="160" w:type="dxa"/>
            <w:vAlign w:val="bottom"/>
            <w:tcBorders>
              <w:top w:val="single" w:sz="8" w:color="0000EE"/>
            </w:tcBorders>
          </w:tcPr>
          <w:p>
            <w:pPr>
              <w:spacing w:after="0"/>
              <w:rPr>
                <w:sz w:val="24"/>
                <w:szCs w:val="24"/>
                <w:color w:val="auto"/>
              </w:rPr>
            </w:pPr>
          </w:p>
        </w:tc>
        <w:tc>
          <w:tcPr>
            <w:tcW w:w="60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1A. Risk Factors</w:t>
              </w:r>
            </w:hyperlink>
          </w:p>
        </w:tc>
        <w:tc>
          <w:tcPr>
            <w:tcW w:w="65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69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Index</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4920" w:type="dxa"/>
            <w:vAlign w:val="bottom"/>
            <w:gridSpan w:val="11"/>
          </w:tcPr>
          <w:p>
            <w:pPr>
              <w:jc w:val="center"/>
              <w:ind w:left="405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28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80" w:type="dxa"/>
            <w:vAlign w:val="bottom"/>
            <w:gridSpan w:val="19"/>
          </w:tcPr>
          <w:p>
            <w:pPr>
              <w:spacing w:after="0" w:line="194" w:lineRule="exact"/>
              <w:rPr>
                <w:sz w:val="20"/>
                <w:szCs w:val="20"/>
                <w:color w:val="auto"/>
              </w:rPr>
            </w:pPr>
            <w:r>
              <w:rPr>
                <w:rFonts w:ascii="Arial" w:cs="Arial" w:eastAsia="Arial" w:hAnsi="Arial"/>
                <w:sz w:val="18"/>
                <w:szCs w:val="18"/>
                <w:b w:val="1"/>
                <w:bCs w:val="1"/>
                <w:color w:val="auto"/>
              </w:rPr>
              <w:t>Item 1. Unaudited Financial Statements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rPr>
              <w:t>CELLDEX THERAPEUTICS,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tcBorders>
              <w:top w:val="single" w:sz="8" w:color="CCEEFF"/>
            </w:tcBorders>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60,406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8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25,870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118,476</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Current Portion of Long-Term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Convertible Subordinated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8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Term Loan, less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26,471</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8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8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Outstanding at June 30, 2011 and December 31, 2010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7"/>
          </w:tcPr>
          <w:p>
            <w:pPr>
              <w:spacing w:after="0" w:line="201" w:lineRule="exact"/>
              <w:rPr>
                <w:sz w:val="20"/>
                <w:szCs w:val="20"/>
                <w:color w:val="auto"/>
              </w:rPr>
            </w:pPr>
            <w:r>
              <w:rPr>
                <w:rFonts w:ascii="Arial" w:cs="Arial" w:eastAsia="Arial" w:hAnsi="Arial"/>
                <w:sz w:val="18"/>
                <w:szCs w:val="18"/>
                <w:color w:val="auto"/>
                <w:w w:val="98"/>
              </w:rPr>
              <w:t>Common Stock, $.001 Par Value; 297,000,000 Shares Authorized; 44,147,214 and 32,055,382 Shares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Issued and Outstanding at June 30, 2011 and December 31, 2010, respectively</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-6332220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-6332220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269,689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232,679</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2,774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(180,502)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(160,207)</w:t>
            </w:r>
          </w:p>
        </w:tc>
      </w:tr>
      <w:tr>
        <w:trPr>
          <w:trHeight w:val="210"/>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92,005</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tcBorders>
              <w:bottom w:val="single" w:sz="8" w:color="CCEEFF"/>
            </w:tcBorders>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118,476</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6"/>
              </w:rPr>
              <w:t>June 30, 2011</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4"/>
              </w:rPr>
              <w:t>June 30, 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June 30, 2011</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June 30, 2010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 Royalties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14,021</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4,626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(19,538)</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3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(20,295)</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6"/>
              </w:rPr>
              <w:t>Shares Used in Calculating Basic and Diluted Net Loss per Share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37,463</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31,815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34,770</w:t>
            </w:r>
          </w:p>
        </w:tc>
        <w:tc>
          <w:tcPr>
            <w:tcW w:w="140" w:type="dxa"/>
            <w:vAlign w:val="bottom"/>
          </w:tcPr>
          <w:p>
            <w:pPr>
              <w:spacing w:after="0"/>
              <w:rPr>
                <w:sz w:val="17"/>
                <w:szCs w:val="17"/>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31,755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(Note 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2011</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8"/>
              </w:rPr>
              <w:t>June 30, 2010</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(20,295)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(16,107)</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Loss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Loss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(1,853)</w:t>
            </w:r>
          </w:p>
        </w:tc>
      </w:tr>
      <w:tr>
        <w:trPr>
          <w:trHeight w:val="216"/>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Deferred Revenue</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(2,040)</w:t>
            </w: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(16,615)</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(38,727)</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35,889</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Term Loan</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(12,503)</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(10,457)</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21,287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2010, which are included in the Company’s Annual Report on Form 10-K filed with the Securities and Exchange Commission (“SEC”) on March 9, 2011.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2011.</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At June 30, 2011, the Company had cash, cash equivalents and marketable securities of $71.2 million; working capital of $62.9 million; and a Term Loan balance of $15.1 million. The Company incurred a loss of $20.3 million for the six months ended June 30, 2011. Net cash used in operations for the six months ended June 30, 2011 was $18.2 million. The Company believes that the cash, cash equivalents and marketable securities at June 30, 2011 in addition to interest income on invested funds and the Company’s ability to control certain costs, including those related to clinical trials, manufacturing and preclinical activities, will be sufficient to meet estimated working capital requirements and fund planned operations for at least the next twelve months.</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 raised net proceeds of $35.9 million from the sale of its common stock during the three months ended June 30, 2011. During the next twelve months, the Company expects to take further steps to raise additional capital to meet its long-term liquidity needs including, but not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or sell all or part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2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six months ended June 30, 2011 are consistent with those discussed in Note 2 to the consolidated financial statements in our Annual Report on Form 10-K for the year ended December 31, 2010, except for the adoption of new accounting standards during the first six months of 2011 as discussed below.</w:t>
      </w:r>
    </w:p>
    <w:p>
      <w:pPr>
        <w:sectPr>
          <w:pgSz w:w="11900" w:h="16838" w:orient="portrait"/>
          <w:cols w:equalWidth="0" w:num="1">
            <w:col w:w="11420"/>
          </w:cols>
          <w:pgMar w:left="240" w:top="140" w:right="23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ectPr>
          <w:pgSz w:w="11900" w:h="16838" w:orient="portrait"/>
          <w:cols w:equalWidth="0" w:num="1">
            <w:col w:w="11420"/>
          </w:cols>
          <w:pgMar w:left="240" w:top="140" w:right="239" w:bottom="0" w:gutter="0" w:footer="0" w:header="0"/>
          <w:type w:val="continuous"/>
        </w:sectPr>
      </w:pPr>
    </w:p>
    <w:bookmarkStart w:id="4" w:name="page5"/>
    <w:bookmarkEnd w:id="4"/>
    <w:p>
      <w:pPr>
        <w:ind w:right="360" w:firstLine="648"/>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otherwise discussed, the Company believes that the impact of recently issued standards that are not yet effective will not have a material impact on the Company’s financial position or results of operations upon adoption.</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January 2011, the Company adopted a new U.S. GAAP accounting standard which revises the accounting guidance for milestone revenue recognition. The new guidance allows for revenue recognition contingent upon the achievement of a milestone in its entirety, in the period in which the milestone is achieved, only if the milestone meets all the criteria within the guidance to be considered substantive. The Company adopted this guidance beginning with agreements entered into on or after January 1, 2011. This standard may impact the Company in the event it completes future transactions or collaborative relationships that include milestone payments.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June 2011, the FASB issued a new U.S. GAAP accounting standard which requires an entity to present the total of comprehensive income, the components of net income, and the components of other comprehensive income either in a single continuous statement of comprehensive income, or in two separate but consecutive statements. This new standard eliminates the option to present components of other comprehensive income as part of the statement of equity and will be effective for the Company beginning January 1, 2012. The Company does not expect the adoption of this new standard to have a material effect on its operating results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2011 and 2010,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(10,236)</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(9,525)</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(loss) gain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other comprehensive gain (loss)</w:t>
            </w: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(9,530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3,716,282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4,176,328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debt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353,563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3,728,282</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4,537,891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connection with the acquisition of CuraGen Corporation (“CuraGen”), the Company assumed the $12.5 million in 4% convertible subordinated debt due February 15, 2011 (the “CuraGen Debt”). Effective October 1, 2009, Celldex, CuraGen, and The Bank of New York Mellon (the “Trustee”) amended the CuraGen Debt to provide that the CuraGen Debt shall be convertible into 353,563 shares of Celldex common stock at the rate of 28.27823 shares of Celldex common stock per $1,000 principal amount of notes, or $35.36 per share. The initial carrying value of the CuraGen Debt was accreted ratably, over the term of the CuraGen Debt, to $12.5 million due at maturity. In February 2011, the Company paid the Trustee $12.8 million to satisfy all outstanding principal and accrued interest related to the CuraGen Debt.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2011</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1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60,406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60,406</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2010</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10,975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780"/>
              <w:spacing w:after="0"/>
              <w:rPr>
                <w:sz w:val="20"/>
                <w:szCs w:val="20"/>
                <w:color w:val="auto"/>
              </w:rPr>
            </w:pPr>
            <w:r>
              <w:rPr>
                <w:rFonts w:ascii="Arial" w:cs="Arial" w:eastAsia="Arial" w:hAnsi="Arial"/>
                <w:sz w:val="18"/>
                <w:szCs w:val="18"/>
                <w:color w:val="auto"/>
                <w:w w:val="83"/>
              </w:rPr>
              <w:t>39,811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39,811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50,786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at each balance sheet date, using observable market inputs that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approximates the carrying value of the principal portion of the Term Loan and note payable at June 30,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center"/>
              <w:ind w:left="446"/>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14,196</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2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21,679</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35,875</w:t>
            </w:r>
          </w:p>
        </w:tc>
        <w:tc>
          <w:tcPr>
            <w:tcW w:w="300" w:type="dxa"/>
            <w:vAlign w:val="bottom"/>
            <w:vMerge w:val="continue"/>
          </w:tcPr>
          <w:p>
            <w:pPr>
              <w:spacing w:after="0"/>
              <w:rPr>
                <w:sz w:val="18"/>
                <w:szCs w:val="18"/>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36,055</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19,039</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5,309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24,348</w:t>
            </w:r>
          </w:p>
        </w:tc>
        <w:tc>
          <w:tcPr>
            <w:tcW w:w="300" w:type="dxa"/>
            <w:vAlign w:val="bottom"/>
            <w:vMerge w:val="continue"/>
          </w:tcPr>
          <w:p>
            <w:pPr>
              <w:spacing w:after="0"/>
              <w:rPr>
                <w:sz w:val="18"/>
                <w:szCs w:val="18"/>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24,351</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60,223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gridSpan w:val="2"/>
          </w:tcPr>
          <w:p>
            <w:pPr>
              <w:jc w:val="right"/>
              <w:ind w:right="6"/>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center"/>
              <w:ind w:left="446"/>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14,836</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11,428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26,264</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11,798</w:t>
            </w:r>
          </w:p>
        </w:tc>
        <w:tc>
          <w:tcPr>
            <w:tcW w:w="300" w:type="dxa"/>
            <w:vAlign w:val="bottom"/>
          </w:tcPr>
          <w:p>
            <w:pPr>
              <w:spacing w:after="0"/>
              <w:rPr>
                <w:sz w:val="18"/>
                <w:szCs w:val="18"/>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1,594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13,392</w:t>
            </w:r>
          </w:p>
        </w:tc>
        <w:tc>
          <w:tcPr>
            <w:tcW w:w="300" w:type="dxa"/>
            <w:vAlign w:val="bottom"/>
            <w:vMerge w:val="continue"/>
          </w:tcPr>
          <w:p>
            <w:pPr>
              <w:spacing w:after="0"/>
              <w:rPr>
                <w:sz w:val="18"/>
                <w:szCs w:val="18"/>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39,656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-2479675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-2479675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of June 30, 2011, unrealized losses in the portfolio were primarily due to increases in interest rates. The marketable securities held by the Company were high investment grade and there were no marketable securities that the Company considered to be other-than-temporarily impaired as of June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Estimated</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2"/>
              </w:rPr>
              <w:t>June 30, 2011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2010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700" w:type="dxa"/>
            <w:vAlign w:val="bottom"/>
            <w:gridSpan w:val="2"/>
          </w:tcPr>
          <w:p>
            <w:pPr>
              <w:ind w:left="62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70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 years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700" w:type="dxa"/>
            <w:vAlign w:val="bottom"/>
            <w:gridSpan w:val="2"/>
          </w:tcPr>
          <w:p>
            <w:pPr>
              <w:spacing w:after="0"/>
              <w:rPr>
                <w:sz w:val="20"/>
                <w:szCs w:val="20"/>
                <w:color w:val="auto"/>
              </w:rPr>
            </w:pPr>
            <w:r>
              <w:rPr>
                <w:rFonts w:ascii="Arial" w:cs="Arial" w:eastAsia="Arial" w:hAnsi="Arial"/>
                <w:sz w:val="18"/>
                <w:szCs w:val="18"/>
                <w:color w:val="auto"/>
              </w:rPr>
              <w:t>1.75 years</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4.5 - 11 years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Strategic Partner</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700" w:type="dxa"/>
            <w:vAlign w:val="bottom"/>
            <w:gridSpan w:val="2"/>
          </w:tcPr>
          <w:p>
            <w:pPr>
              <w:spacing w:after="0"/>
              <w:rPr>
                <w:sz w:val="20"/>
                <w:szCs w:val="20"/>
                <w:color w:val="auto"/>
              </w:rPr>
            </w:pPr>
            <w:r>
              <w:rPr>
                <w:rFonts w:ascii="Arial" w:cs="Arial" w:eastAsia="Arial" w:hAnsi="Arial"/>
                <w:sz w:val="18"/>
                <w:szCs w:val="18"/>
                <w:color w:val="auto"/>
              </w:rPr>
              <w:t>8 years</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Indefinite</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04" w:right="199" w:bottom="36" w:gutter="0" w:footer="0" w:header="0"/>
        </w:sectPr>
      </w:pPr>
    </w:p>
    <w:bookmarkStart w:id="6" w:name="page7"/>
    <w:bookmarkEnd w:id="6"/>
    <w:p>
      <w:pPr>
        <w:ind w:right="200" w:firstLine="648"/>
        <w:spacing w:after="0" w:line="255" w:lineRule="auto"/>
        <w:rPr>
          <w:sz w:val="20"/>
          <w:szCs w:val="20"/>
          <w:color w:val="auto"/>
        </w:rPr>
      </w:pPr>
      <w:r>
        <w:rPr>
          <w:rFonts w:ascii="Arial" w:cs="Arial" w:eastAsia="Arial" w:hAnsi="Arial"/>
          <w:sz w:val="18"/>
          <w:szCs w:val="18"/>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 million of the TopoTarget Payments. The Company recorded this cash receipt as Other Income for the six months ended June 30,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29"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Interest on the Term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Loan is payable monthly and principal is due in 27 equal consecutive monthly installments commencing on October 1, 2011. The Company has an option exercisable through September 28, 2011 to extend the interest-only period by 6 months which, if exercised, would make the principal due in 21 equal consecutive monthly installments commencing on April 1, 2012. Notwithstanding the foregoing, all unpaid principal and accrued interest with respect to the Term Loan is due and payable on the earlier of (A) December 30, 2013 or (B) the date that the Term Loan otherwise becomes due and payable under the terms of the Loan Agreement. The Company may prepay all, but not less than all, of the Term Loan subject to a prepayment premium of 1% in year three, 2% in year two, and 4% in year one of the original principal amount of the Term Loan.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June 30, 2011, the Company believes it is in compliance with the Loan Agreement.</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repayment of the Term Loan in full, the Company is also obligated to make a final payment fee of $0.5 million (“Final Payment”) which the Company is accreting ratably over the term of the Term Loan to interest expense. At June 30, 2011 and December 31, 2010, the Company had $0.2 million in capitalized deferred financing costs incurred in connection with the Term Loan and is amortizing these costs over the term of the Term Loan to interest expense. Interest expense on the Term Loan including the accretion of the Final Payment and amortization of the deferred financing costs was $0.4 million and $0.7 million for the three and six months ended June 30, 2011,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2011</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2010</w:t>
            </w:r>
          </w:p>
        </w:tc>
      </w:tr>
      <w:tr>
        <w:trPr>
          <w:trHeight w:val="142"/>
        </w:trPr>
        <w:tc>
          <w:tcPr>
            <w:tcW w:w="5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Severance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 Payable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Long-Term Portion</w:t>
            </w:r>
          </w:p>
        </w:tc>
        <w:tc>
          <w:tcPr>
            <w:tcW w:w="25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January 2011, the Company received approval from the New Jersey Economic Development Authority and agreed to sell New Jersey tax benefits worth $0.6 million (consisting of R&amp;D tax credits) to an independent third party for $0.5 million. Under the agreement, the Company must maintain a base of operations in New Jersey for five years or the tax benefits must be paid back on a pro-rata basis based on the number of years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up to 5% of the gross proceeds from each sale and to reimburse Cantor for certain expenses incurred in connection with entering into the Cantor Agreement. During the three months ended June 30, 2011, the Company sold 575,000 shares of common stock under the Cantor Agreement and raised $2.2 million in net proceeds, after deducting commission and offering expenses. As of June 30, 2011, the Company had 4,425,000 shares available to be sold under the Cantor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7" w:name="page8"/>
    <w:bookmarkEnd w:id="7"/>
    <w:p>
      <w:pPr>
        <w:ind w:right="60" w:firstLine="648"/>
        <w:spacing w:after="0" w:line="264" w:lineRule="auto"/>
        <w:rPr>
          <w:sz w:val="20"/>
          <w:szCs w:val="20"/>
          <w:color w:val="auto"/>
        </w:rPr>
      </w:pPr>
      <w:r>
        <w:rPr>
          <w:rFonts w:ascii="Arial" w:cs="Arial" w:eastAsia="Arial" w:hAnsi="Arial"/>
          <w:sz w:val="18"/>
          <w:szCs w:val="18"/>
          <w:color w:val="auto"/>
        </w:rPr>
        <w:t>In May 2011, the Company issued 11,500,000 shares of its common stock in an underwritten public offering, including the underwriter’s exercise of their full over-allotment option to purchase an additional 1,500,000 shares of common stock. The net proceeds to the Company were $33.7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Celldex Research’s 2005 Equity Incentive Plan (the “Celldex Research 2005 Plan”) and the CuraGen 2007 Plan. The Company assumed the obligations under the Celldex Research 2005 Plan and CuraGen 2007 Plan in connection with the AVANT Merger and CuraGen Merger, respectively, and there are no shares available for future grant under either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June 30, 2011,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six months ended June 30, 2011 and 2010, the Company issued 4,832 and 4,753 shares under the 2004 ESPP Plan, respectively. At June 30, 2011, 46,177 shares were available for issuance under the 2004 ESPP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At June 30, 2011,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2011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46"/>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20" w:type="dxa"/>
            <w:vAlign w:val="bottom"/>
          </w:tcPr>
          <w:p>
            <w:pPr>
              <w:jc w:val="center"/>
              <w:ind w:left="266"/>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4,019,982</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6.93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20,250</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4.04</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(323,950)</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8.05</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3,716,282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6.82</w:t>
            </w:r>
          </w:p>
        </w:tc>
        <w:tc>
          <w:tcPr>
            <w:tcW w:w="14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2011</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vMerge w:val="restart"/>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6.83</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3,690,174</w:t>
            </w:r>
          </w:p>
        </w:tc>
        <w:tc>
          <w:tcPr>
            <w:tcW w:w="2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2,731,904</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7.13</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1,779,615</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six months ended June 30, 2011 and 2010 was $2.54 and $2.81, respectively. The total fair value of stock options that vested during the six months ended June 30, 2011 and 2010 was $1.6 million and $1.9 million,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at June 30, 2011 was $0.4 million. The aggregate intrinsic value of stock options vested and expected to vest at June 30, 2011 was $0.4 million. As of June 30, 2011, total compensation cost related to non-vested employee and non-employee director stock options not yet recognized was approximately $3.0 million, net of estimated forfeitures, which is expected to be recognized as expense over a weighted average period of 2.1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six months ended June 30, 2011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2010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Canceled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June 30, 2011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and Expenses Information</w:t>
      </w:r>
    </w:p>
    <w:p>
      <w:pPr>
        <w:sectPr>
          <w:pgSz w:w="11900" w:h="16838" w:orient="portrait"/>
          <w:cols w:equalWidth="0" w:num="1">
            <w:col w:w="11400"/>
          </w:cols>
          <w:pgMar w:left="240" w:top="125" w:right="259" w:bottom="0" w:gutter="0" w:footer="0" w:header="0"/>
          <w:type w:val="continuous"/>
        </w:sectPr>
      </w:pPr>
    </w:p>
    <w:bookmarkStart w:id="8" w:name="page9"/>
    <w:bookmarkEnd w:id="8"/>
    <w:p>
      <w:pPr>
        <w:jc w:val="both"/>
        <w:ind w:right="40" w:firstLine="648"/>
        <w:spacing w:after="0" w:line="277" w:lineRule="auto"/>
        <w:rPr>
          <w:sz w:val="20"/>
          <w:szCs w:val="20"/>
          <w:color w:val="auto"/>
        </w:rPr>
      </w:pPr>
      <w:r>
        <w:rPr>
          <w:rFonts w:ascii="Arial" w:cs="Arial" w:eastAsia="Arial" w:hAnsi="Arial"/>
          <w:sz w:val="18"/>
          <w:szCs w:val="18"/>
          <w:color w:val="auto"/>
        </w:rPr>
        <w:t>Stock-based compensation expense related to employee and non-employee stock options, restricted stock and employee stock purchases for the three and six months ended June 30, 2011 and 2010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344</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209</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non-employee director stock options and employee stock purchases granted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and 2010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0.5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 The Company is currently under examination for sales and use taxes by the State of Massachusetts for the period December 2008 through March 2011 and by the Internal Revenue Service with respect to 2008. The Company is not currently under examination by any other jurisdictions for any tax year.</w:t>
      </w:r>
    </w:p>
    <w:p>
      <w:pPr>
        <w:spacing w:after="0" w:line="14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federal and state deferred tax assets and, as a result, a full valuation allowance was maintained at June 30, 2011 and December 31, 2010 against the Company’s net deferred tax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80" w:hanging="324"/>
        <w:spacing w:after="0" w:line="264"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CDX-1401, CDX-1135, CDX-1127 and other products and the growth of the markets for those product candidates;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meet our long-term liquidity needs, on terms acceptable to us, or at all;</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CDX-1401, and other preclinical and clinical testing;</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internally or to find another strategic partner to fund the development and commercialization of rindopepimut;</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ectPr>
          <w:pgSz w:w="11900" w:h="16838" w:orient="portrait"/>
          <w:cols w:equalWidth="0" w:num="1">
            <w:col w:w="11420"/>
          </w:cols>
          <w:pgMar w:left="240" w:top="341" w:right="239" w:bottom="0" w:gutter="0" w:footer="0" w:header="0"/>
        </w:sectPr>
      </w:pPr>
    </w:p>
    <w:bookmarkStart w:id="9" w:name="page10"/>
    <w:bookmarkEnd w:id="9"/>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3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 including our planned Phase 3 trial for rindopepimut;</w:t>
      </w:r>
    </w:p>
    <w:p>
      <w:pPr>
        <w:spacing w:after="0" w:line="170" w:lineRule="exact"/>
        <w:rPr>
          <w:rFonts w:ascii="Arial" w:cs="Arial" w:eastAsia="Arial" w:hAnsi="Arial"/>
          <w:sz w:val="18"/>
          <w:szCs w:val="18"/>
          <w:color w:val="auto"/>
        </w:rPr>
      </w:pPr>
    </w:p>
    <w:p>
      <w:pPr>
        <w:ind w:left="980" w:right="400" w:hanging="324"/>
        <w:spacing w:after="0" w:line="216" w:lineRule="auto"/>
        <w:tabs>
          <w:tab w:leader="none" w:pos="93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3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3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64"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2010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biopharmaceutical company currently focusing on the development of several immunotherapy technologies. Our lead programs include rindopepimut (CDX-110), a vaccine that is expected to enter into Phase 3 development for glioblastoma multiforme in the second half of 2011 and CDX-011, an antibody-drug conjugate currently in a randomized Phase 2b trial for treatment of advanced breast cancer. We have additional programs at various stages of clinical and preclinical development, including (i) CDX-1127, a therapeutic human antibody candidate for cancer indications, (ii) CDX-1307 and CDX-1401, APC Targeting Technology™ programs, and (iii) CDX-301, an immune cell mobilizing agent. We are currently resourcing our priority programs and supplement the development of additional programs through external collaborations and funding.</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by our partner GlaxoSmithKline. Our product candidates address market opportunities for which we believe current therapies are inadequate or non-existent.</w:t>
      </w:r>
    </w:p>
    <w:p>
      <w:pPr>
        <w:spacing w:after="0" w:line="19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060" w:type="dxa"/>
            <w:vAlign w:val="bottom"/>
          </w:tcPr>
          <w:p>
            <w:pPr>
              <w:ind w:left="1540"/>
              <w:spacing w:after="0"/>
              <w:rPr>
                <w:sz w:val="20"/>
                <w:szCs w:val="20"/>
                <w:color w:val="auto"/>
              </w:rPr>
            </w:pPr>
            <w:r>
              <w:rPr>
                <w:rFonts w:ascii="Arial" w:cs="Arial" w:eastAsia="Arial" w:hAnsi="Arial"/>
                <w:sz w:val="14"/>
                <w:szCs w:val="14"/>
                <w:b w:val="1"/>
                <w:bCs w:val="1"/>
                <w:color w:val="auto"/>
              </w:rPr>
              <w:t>Indication/Field</w:t>
            </w:r>
          </w:p>
        </w:tc>
        <w:tc>
          <w:tcPr>
            <w:tcW w:w="260" w:type="dxa"/>
            <w:vAlign w:val="bottom"/>
          </w:tcPr>
          <w:p>
            <w:pPr>
              <w:spacing w:after="0"/>
              <w:rPr>
                <w:sz w:val="14"/>
                <w:szCs w:val="14"/>
                <w:color w:val="auto"/>
              </w:rPr>
            </w:pPr>
          </w:p>
        </w:tc>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CDX-110 (rindopepimut)</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Glioblastoma multiforme</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 (glembatumumab vedotin)</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Metastatic breast cancer and melanoma</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Muscle-invasive bladder cancer</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Multiple solid tumors</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Immuno-modulation, multiple tumors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Renal and ovarian cancer</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Rotavirus infection</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GlaxoSmithKline</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Marketed</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past five years through December 31, 2010, we incurred an aggregate of $96.4 million in research and development expenses. The following table indicates the amount incurred for each of our significant research programs and for other identified research and development activities during the six months ended June 30, 2011 and 2010. The amounts disclosed in the following table reflect direct research and development costs, license fees associated with the underlying technology and an allocation of indirect research and development costs to each program.</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54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4"/>
                <w:szCs w:val="14"/>
                <w:b w:val="1"/>
                <w:bCs w:val="1"/>
                <w:color w:val="auto"/>
                <w:w w:val="92"/>
              </w:rPr>
              <w:t>Six Months Ended 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33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2,075</w:t>
            </w:r>
          </w:p>
        </w:tc>
        <w:tc>
          <w:tcPr>
            <w:tcW w:w="104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2,229</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2,221</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8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1,027</w:t>
            </w:r>
          </w:p>
        </w:tc>
        <w:tc>
          <w:tcPr>
            <w:tcW w:w="1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2,285</w:t>
            </w:r>
          </w:p>
        </w:tc>
      </w:tr>
      <w:tr>
        <w:trPr>
          <w:trHeight w:val="70"/>
        </w:trPr>
        <w:tc>
          <w:tcPr>
            <w:tcW w:w="75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00"/>
          </w:cols>
          <w:pgMar w:left="240" w:top="490" w:right="259" w:bottom="0" w:gutter="0" w:footer="0" w:header="0"/>
        </w:sectPr>
      </w:pPr>
    </w:p>
    <w:bookmarkStart w:id="11" w:name="page12"/>
    <w:bookmarkEnd w:id="1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PRECLINICAL &amp; OTHER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CDX-1127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Total R&amp;D Expense</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lung, liver, and head and neck cancer. The Food and Drug Administration (“FDA”) has granted orphan drug designation for rindopepimut for the treatment of EGFRvIII expressing GBM as well as fast track designation.</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 in other potential indications. The Pfizer Agreement also provided for reimbursement by Pfizer of all costs incurred by us in connection with the collaboration since the effective date.</w:t>
      </w:r>
    </w:p>
    <w:p>
      <w:pPr>
        <w:spacing w:after="0" w:line="187"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On September 1, 2010, we received written notice (the “Pfizer Notice”) from Pfizer of termination with respect to the Pfizer Agreement. The Pfizer Notice was given under a provision of the Pfizer Agreement which permitted termination at any time and for any reason, upon 60-days’ written notice to us. The Pfizer Notice did not state a reason for termination. In November 2010, the Pfizer Agreement was terminated (the “Pfizer Termination”) and all rights to rindopepimut were returned to us. Effective with the Pfizer Termination, Pfizer is no longer funding the development of rindopepimut.</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patients, respectively. An extension of the Phase 2a study (ACT II) at the same two institutions evaluated 22 additional GBM patients treated in combination with maintenance temozolomide (TMZ) (the current standard of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GBM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GBM.</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reported in November 2010 as compared to matched historical controls and the standard of care.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Median PFS from</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Median OS from</w:t>
            </w: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OS at 24 months</w:t>
            </w:r>
          </w:p>
        </w:tc>
        <w:tc>
          <w:tcPr>
            <w:tcW w:w="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24.3(2)</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ACT II (n=22)</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24.4</w:t>
            </w:r>
          </w:p>
        </w:tc>
        <w:tc>
          <w:tcPr>
            <w:tcW w:w="22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ACTIVATE (n=18)</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24.6</w:t>
            </w:r>
          </w:p>
        </w:tc>
        <w:tc>
          <w:tcPr>
            <w:tcW w:w="2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Matched historical control (n=17)(3)</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980" w:type="dxa"/>
            <w:vAlign w:val="bottom"/>
            <w:gridSpan w:val="2"/>
          </w:tcPr>
          <w:p>
            <w:pPr>
              <w:ind w:left="1380"/>
              <w:spacing w:after="0"/>
              <w:rPr>
                <w:sz w:val="20"/>
                <w:szCs w:val="20"/>
                <w:color w:val="auto"/>
              </w:rPr>
            </w:pPr>
            <w:r>
              <w:rPr>
                <w:rFonts w:ascii="Arial" w:cs="Arial" w:eastAsia="Arial" w:hAnsi="Arial"/>
                <w:sz w:val="18"/>
                <w:szCs w:val="18"/>
                <w:color w:val="auto"/>
              </w:rPr>
              <w:t>15.2</w:t>
            </w:r>
          </w:p>
        </w:tc>
        <w:tc>
          <w:tcPr>
            <w:tcW w:w="22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Standard of care radiation/TMZ (n=287)(4)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14.6</w:t>
            </w:r>
          </w:p>
        </w:tc>
        <w:tc>
          <w:tcPr>
            <w:tcW w:w="2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survival data for ACT III are estimated and not yet final.</w:t>
      </w:r>
    </w:p>
    <w:p>
      <w:pPr>
        <w:spacing w:after="0" w:line="225" w:lineRule="exact"/>
        <w:rPr>
          <w:rFonts w:ascii="Arial" w:cs="Arial" w:eastAsia="Arial" w:hAnsi="Arial"/>
          <w:sz w:val="18"/>
          <w:szCs w:val="18"/>
          <w:color w:val="auto"/>
        </w:rPr>
      </w:pPr>
    </w:p>
    <w:p>
      <w:pPr>
        <w:ind w:left="660" w:right="580" w:hanging="652"/>
        <w:spacing w:after="0" w:line="264" w:lineRule="auto"/>
        <w:tabs>
          <w:tab w:leader="none" w:pos="642"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KPS greater-than or equal to 80%, complete resection, radiation/TMZ and without progression through ~ 3 months post-diagnosis).</w:t>
      </w:r>
    </w:p>
    <w:p>
      <w:pPr>
        <w:spacing w:after="0" w:line="181" w:lineRule="exact"/>
        <w:rPr>
          <w:rFonts w:ascii="Arial" w:cs="Arial" w:eastAsia="Arial" w:hAnsi="Arial"/>
          <w:sz w:val="18"/>
          <w:szCs w:val="18"/>
          <w:color w:val="auto"/>
        </w:rPr>
      </w:pPr>
    </w:p>
    <w:p>
      <w:pPr>
        <w:ind w:left="660" w:hanging="63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ectPr>
          <w:pgSz w:w="11900" w:h="16838" w:orient="portrait"/>
          <w:cols w:equalWidth="0" w:num="1">
            <w:col w:w="11420"/>
          </w:cols>
          <w:pgMar w:left="240" w:top="140" w:right="239" w:bottom="0" w:gutter="0" w:footer="0" w:header="0"/>
        </w:sectPr>
      </w:pPr>
    </w:p>
    <w:bookmarkStart w:id="12" w:name="page13"/>
    <w:bookmarkEnd w:id="12"/>
    <w:p>
      <w:pPr>
        <w:spacing w:after="0" w:line="74"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17.2 months, which compares favorably with the published data from the SOC of radiation plus TMZ (R+TMZ) of 10.3 months. Those with unmethylated tumors (n=40) treated with the rindopepimut regimen experienced a PFS of</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11.2 months, which compared favorably to the PFS with SOC of 5.3 months in this patient population. Thus, rindopepimut would appear to benefit both methylated and unmethylated MGMT patients.</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are currently planning to initiate a pivotal Phase 3 randomized, multi-national, controlled study of rindopepimut in patients with newly-diagnosed, resected GBM in the fourth quarter of 2011. We also plan to initiate a Phase 2 randomized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study of rindopepimut alone or in combination with Avastin® in recurrent or refractory GBM patients in the fourth quarter of 2011. In addition, researchers at Stanford University are conducting a pilot trial of rindopepimut in pediatric patients with pontine glioma in an Investigator Sponsored Trial. Patient screening is ongoing for this trial.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CDX-011 is an antibody-drug conjugate (ADC) that consists of a fully- 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69"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21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complete enrollment of 120 patients at approximately 20-25 clinical sites in the United States in 2011 with preliminary data expected in 2012.</w:t>
      </w:r>
    </w:p>
    <w:p>
      <w:pPr>
        <w:spacing w:after="0" w:line="154"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ectPr>
          <w:pgSz w:w="11900" w:h="16912" w:orient="portrait"/>
          <w:cols w:equalWidth="0" w:num="1">
            <w:col w:w="11420"/>
          </w:cols>
          <w:pgMar w:left="240" w:top="341" w:right="239" w:bottom="0" w:gutter="0" w:footer="0" w:header="0"/>
        </w:sectPr>
      </w:pPr>
    </w:p>
    <w:bookmarkStart w:id="13" w:name="page14"/>
    <w:bookmarkEnd w:id="13"/>
    <w:p>
      <w:pPr>
        <w:ind w:right="80" w:firstLine="648"/>
        <w:spacing w:after="0" w:line="259"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Melanoma is a difficult disease to work with and, at this point in time, our intention is to first focus our resources on advancing CDX-011 in breast cancer. We intend to conduct additional Phase 2 development of CDX-011 in combination with other therapies in investigator sponsored studies to further develop this product candidate in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CDX-1307, developed from the APC Targeting Technology™,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Phase 1 studies are complete.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 regimen of every two week dosing for four doses was utilized with the possibility of retreatment if patients demonstrate tumor regression or stable disease.</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 2.3 months to 16 months following the initiation of CDX-1307 vaccination. These data provide the basis for advancing CDX-1307 into a front-line patient population selected for hCG-Beta-expressing cancers.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 In April 2011, we amended the study design to be a 30 patient single-arm study. In June 2011, in connection with the prioritization of our resources, we discontinued the Phase 2 study and plan to further develop CDX-1307 in investigator sponsored studies.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CDX-1401, also developed from the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preclinical studies have shown that CDX-1401 is effective for activation of human T-cell responses against NY-ESO-1.</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70 patients with solid tumor cancers at multiple clinical sites in the United States.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In March 2011, we filed an Investigational New Drug (“IND”) application for CDX-301 and we plan to initiate a Phase 1 trial in healthy subjects with CDX-301 in collaboration with a leading academic institution in the second half of 2011.</w:t>
      </w:r>
    </w:p>
    <w:p>
      <w:pPr>
        <w:sectPr>
          <w:pgSz w:w="11900" w:h="16838" w:orient="portrait"/>
          <w:cols w:equalWidth="0" w:num="1">
            <w:col w:w="11420"/>
          </w:cols>
          <w:pgMar w:left="240" w:top="341"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acts downstream from CD40 and may provide a novel way to regulate the immune responses. In September 2010, we exercised an option under our Research and Commercialization Agreement with Medarex, whereby we have a commercial license to the human antibody technology specifically for our CD27 antibody. Preclinical models with our human monoclonal antibody to CD27 have demonstrated immune cell activation and anti-tumor responses. We expect to initiate a dose escalation Phase 1 study in patients with solid tumors or hematogic cancers during the fourth quarter of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203"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In May 2005, we entered into an agreement whereby an affiliate of PRF purchased a 70% interest in the milestone payments and net royalties that we will receive on the development and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We have received a total of $60 million in milestone payments under the PRF agreement. No additional milestone payments are due from PRF under the agreement. The PRF agreement terminates on December 12, 2012, unless otherwise extended.</w:t>
      </w:r>
    </w:p>
    <w:p>
      <w:pPr>
        <w:spacing w:after="0" w:line="162"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vaccine at the lower of the two royalty rates under their 1997 license agreement. Glaxo’s decision to pay the lower royalty rate (which is 70% of the full rate) is based upon Glaxo’s assertion that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With respect to the $27.5 million annual threshold, if worldwide net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exceed $27.5 million in any year, we would retain approximately 65% of all royalties in excess of $27.5 million. Irrespective of Glaxo’s position, we will still retain approximately 65% of the royalties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if PRF receives 2.45 times the aggregate cash payments of $60 million it made to us, though the potential amount of such residual royalties will be lower if Glaxo’s position stands.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2010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2011 compared with Three Months Ended June 30, 2010</w:t>
      </w:r>
    </w:p>
    <w:p>
      <w:pPr>
        <w:sectPr>
          <w:pgSz w:w="11900" w:h="16838" w:orient="portrait"/>
          <w:cols w:equalWidth="0" w:num="1">
            <w:col w:w="11420"/>
          </w:cols>
          <w:pgMar w:left="240" w:top="125"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1,399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(1,388)</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7,169</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7,256</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(87)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2,240</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(351)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360" w:type="dxa"/>
            <w:vAlign w:val="bottom"/>
            <w:tcBorders>
              <w:bottom w:val="single" w:sz="8" w:color="CCEEFF"/>
            </w:tcBorders>
            <w:gridSpan w:val="2"/>
          </w:tcPr>
          <w:p>
            <w:pPr>
              <w:spacing w:after="0"/>
              <w:rPr>
                <w:sz w:val="18"/>
                <w:szCs w:val="18"/>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$0.7 million increase in net loss for the three months ended June 30, 2011 was primarily the result of a decrease in product development and licensing agreement revenue, partially offset by a decrease in general and administrative expenses and amortization expense on acquired intangible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$1.4 million decrease in product development and licensing agreement revenue for the three months ended June 30, 2011 was primarily due to the Pfizer Termination which resulted in us recognizing the remaining deferred revenue related to the Pfizer Agreement in 2010. The $0.4 million increase in product royalty revenue for the three months ended June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0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3,178</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187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590</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383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1,197</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(46)</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1,720</w:t>
            </w:r>
          </w:p>
        </w:tc>
        <w:tc>
          <w:tcPr>
            <w:tcW w:w="6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460" w:type="dxa"/>
            <w:vAlign w:val="bottom"/>
          </w:tcPr>
          <w:p>
            <w:pPr>
              <w:spacing w:after="0"/>
              <w:rPr>
                <w:sz w:val="20"/>
                <w:szCs w:val="20"/>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(164)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bl>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$0.2 million increase in personnel expenses for the three months ended June 30, 2011 was primarily due to higher headcount, partially offset by a decrease in stock-based compensation expense. We expect personnel expenses to remain relatively consistent over the next twelve months, although there may be fluctuations on a quarterly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Laboratory supply expenses include laboratory materials and supplies, services, and other related expenses incurred in the development of our technology. The $0.4 million increase in laboratory supply expense for the three months ended June 30, 2011 was primarily due to the 2010 renovation of our Fall River manufacturing facility during which manufacturing activities ceased for the three months ended June 30, 2010. We expect supply expenses to increase over the next twelve months as a result of increased research and development activities, although there may be fluctuations on a quarterly basis.</w:t>
      </w:r>
    </w:p>
    <w:p>
      <w:pPr>
        <w:spacing w:after="0" w:line="154"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Facility expenses for the three months ended June 30, 2011 was relatively consistent as compared to the three months ended June 30, 2010. We expect facility expenses to remain relatively consistent over the next twelve months, although there may be fluctuations on a quarterly basis.</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$0.2 million decrease in product development expenses for the three months ended June 30, 2011 was primarily due to a decrease in contract manufacturing and contract research expense, partially offset by higher clinical trial expense. We expect product development expenses to increase over the next twelve months due to the increase in clinical trial expenses related to our rindopepimut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$0.2 million increase in royalty expenses for the three months ended June 30, 2011 was due to an increase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 partially offset by the lack of sublicense royalty fees during the three months ended June 30, 2011 due to the Pfizer Termination which resulted in us recognizing the remaining deferred sublicense fees related to the Pfizer Agreement in 2010.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ectPr>
          <w:pgSz w:w="11900" w:h="16838" w:orient="portrait"/>
          <w:cols w:equalWidth="0" w:num="1">
            <w:col w:w="11420"/>
          </w:cols>
          <w:pgMar w:left="240" w:top="104" w:right="239" w:bottom="0" w:gutter="0" w:footer="0" w:header="0"/>
        </w:sectPr>
      </w:pPr>
    </w:p>
    <w:bookmarkStart w:id="16" w:name="page17"/>
    <w:bookmarkEnd w:id="16"/>
    <w:p>
      <w:pPr>
        <w:ind w:right="60" w:firstLine="648"/>
        <w:spacing w:after="0" w:line="264" w:lineRule="auto"/>
        <w:rPr>
          <w:sz w:val="20"/>
          <w:szCs w:val="20"/>
          <w:color w:val="auto"/>
        </w:rPr>
      </w:pPr>
      <w:r>
        <w:rPr>
          <w:rFonts w:ascii="Arial" w:cs="Arial" w:eastAsia="Arial" w:hAnsi="Arial"/>
          <w:sz w:val="18"/>
          <w:szCs w:val="18"/>
          <w:color w:val="auto"/>
        </w:rPr>
        <w:t>The $0.4 million decrease in general and administrative expenses for the three months ended June 30, 2011 was primarily due to a decrease in stock-based compensation, patent and other professional service expense. We expect general and administrative expense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$0.2 million decrease in amortization expenses for the three months ended June 30, 2011 was primarily due to the write-off of $0.2 million in Core Technology during the three months ended June 30, 2010. We expect amortization expense of acquired intangible assets to decrease over the next twelve months as a result of the TopoTarget Agreement asset becoming fully amortized at June 30,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Investment and other income, net for the three months ended June 30, 2011 was relatively consistent as compared to the three months ended June 30, 2010. We anticipate investment income to remain relatively consistent over the next twelve months, although there may be fluctuations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$0.1 million increase in interest expense for the three months ended June 30, 2011 was primarily due to our Term Loan we entered into in December 2010 and amended in March 2011. In February 2011, we paid $12.8 million to satisfy all outstanding principal and accrued interest related to the CuraGen Debt. We anticipate interest expense to decrease over the next twelve months as we will begin making principal payments on our Term Loan during the next twelve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(2,721)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4,443</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3,698</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3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14,021</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4,443</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4,059</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4,626</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5,426</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2,178</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60" w:type="dxa"/>
            <w:vAlign w:val="bottom"/>
            <w:tcBorders>
              <w:bottom w:val="single" w:sz="8" w:color="CCEEFF"/>
            </w:tcBorders>
            <w:gridSpan w:val="2"/>
          </w:tcPr>
          <w:p>
            <w:pPr>
              <w:spacing w:after="0"/>
              <w:rPr>
                <w:sz w:val="18"/>
                <w:szCs w:val="18"/>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3,257</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(3,094)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$4.2 million increase in net loss for the six months ended June 30, 2011 was primarily the result of a decrease in other income and product development and licensing agreement revenue, partially offset by a decrease in general and administrative expenses and amortization expense on acquired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$2.7 million decrease in product development and licensing agreement revenue for the six months ended June 30, 2011 was primarily due to the Pfizer Termination. The $0.2 million decrease in contract and grant revenue for the six months ended June 30, 2011 was due to a decrease in revenue related to our vaccine development work on Rockefeller’s DCVax-001 (CDX-2401) program. The $0.7 million increase in product royalty revenue for the six months ended June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0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6,381</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231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Laboratory Supplies</w:t>
            </w:r>
          </w:p>
        </w:tc>
        <w:tc>
          <w:tcPr>
            <w:tcW w:w="90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1,120</w:t>
            </w:r>
          </w:p>
        </w:tc>
        <w:tc>
          <w:tcPr>
            <w:tcW w:w="6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46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377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2,371</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2,735</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(364)</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3,088</w:t>
            </w:r>
          </w:p>
        </w:tc>
        <w:tc>
          <w:tcPr>
            <w:tcW w:w="6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2,674</w:t>
            </w:r>
          </w:p>
        </w:tc>
        <w:tc>
          <w:tcPr>
            <w:tcW w:w="460" w:type="dxa"/>
            <w:vAlign w:val="bottom"/>
          </w:tcPr>
          <w:p>
            <w:pPr>
              <w:spacing w:after="0"/>
              <w:rPr>
                <w:sz w:val="20"/>
                <w:szCs w:val="20"/>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414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$0.2 million increase in personnel expenses for the six months ended June 30, 2011 was primarily due to higher headcount, partially offset by a decrease in stock-based compensation expense.</w:t>
      </w:r>
    </w:p>
    <w:p>
      <w:pPr>
        <w:sectPr>
          <w:pgSz w:w="11900" w:h="16838" w:orient="portrait"/>
          <w:cols w:equalWidth="0" w:num="1">
            <w:col w:w="11420"/>
          </w:cols>
          <w:pgMar w:left="240" w:top="125" w:right="239" w:bottom="0" w:gutter="0" w:footer="0" w:header="0"/>
        </w:sectPr>
      </w:pPr>
    </w:p>
    <w:bookmarkStart w:id="17" w:name="page18"/>
    <w:bookmarkEnd w:id="17"/>
    <w:p>
      <w:pPr>
        <w:spacing w:after="0" w:line="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$0.4 million increase in laboratory supply expense for the six months ended June 30, 2011 was primarily due to the 2010 renovation of our Fall River manufacturing facility during which manufacturing activities ceased for the three months ended June 30, 2010.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$0.4 million decrease in facility expenses for the six months ended June 30, 2011 was primarily due to lower depreciation and amortization expenses.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$0.4 million increase in product development expenses for the six months ended June 30, 2011 was primarily due to an increase in clinical expenses largely due to our rindopepimut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$0.4 million increase in royalty expenses for the six months ended June 30, 2011 was due to an increase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related royalty fees.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$0.8 million decrease in general and administrative expenses for the six months ended June 30, 2011 was primarily due to a decrease in stock-based compensation, patent and other professional 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$1.2 million decrease in amortization expenses for the six months ended June 30, 2011 was primarily due to intangible assets acquired in connection with the CuraGen Merger including the TopoTarget Agreement. In February 2010, TopoTarget entered into a co-development and commercialization agreement for Belinostat with Spectrum Pharmaceuticals, Inc. which resulted in our receipt of $3.0 million which we recorded as Other Income for the six months ended June 30, 2010 and we recorded amortization expense related to the TopoTarget Agreement of $1.4 million for the six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$3.1 million decrease in investment and other income, net for the six months ended June 30, 2011 was primarily due to $3.0 million received in connection with the TopoTarget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$0.2 million increase in interest expense for the six months ended June 30, 2011 was primarily due to our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June 30, 2011, our principal sources of liquidity consisted of cash, cash equivalents and marketable securities of $71.2 million. Our working capital at June 30, 2011 was $62.9 million. At June 30, 2011, our Term Loan balance was $15.1 million. We incurred a loss of $20.3 million for the six months ended June 30, 2011. Net cash used in operations for the six months ended June 30, 2011 was $18.2 million. We believe that the cash, cash equivalents and marketable securities at June 30, 2011 in addition to interest income on invested funds and our ability to control certain costs, including those related to clinical trials, manufacturing and preclinical activities, are sufficient to meet estimated working capital requirements and fund planned operations for at least the next twelve months.</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raised net proceeds of $35.9 million from the sale of our common stock during the three months ended June 30, 2011. During the next twelve months, we expect to take further steps to raise additional capital to meet our long-term liquidity needs including, but not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w:t>
      </w:r>
    </w:p>
    <w:p>
      <w:pPr>
        <w:sectPr>
          <w:pgSz w:w="11900" w:h="16933" w:orient="portrait"/>
          <w:cols w:equalWidth="0" w:num="1">
            <w:col w:w="11400"/>
          </w:cols>
          <w:pgMar w:left="240" w:top="125" w:right="259" w:bottom="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or sell all or part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used in operating activities was $18.2 million for the six months ended June 30, 2011 compared to $16.6 million for the six months ended June 30, 2010. The increase in net cash used in operating activities was primarily due to decreases in other income and amortization of intangible assets during the six months ended June 30, 2011 resulting from the $3.0 million received in connection with the TopoTarget Agreement during the six months ended June 30, 2010. We expect that cash used in operations will continue to increase in over the next twelve months primarily related to the continued development of our therapeutic product pipeline, including bringing forward new product candidates into clinical development.</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Net cash used in investing activities was $20.6 million for the six months ended June 30, 2011 compared to $25.8 million for the six months ended June 30, 2010. The decrease in net cash used in investing activities was primarily due to net purchases of marketable securities for the six months ended June 30, 2011 of $20.3 million as compared to $24.6 million for the six months ended June 30, 2010.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provided by financing activities was $28.3 million for the six months ended June 30, 2011 compared to $0.5 million for the six months ended June 30, 2010. The increase in net cash provided by financing activities was primarily due to the $35.9 million in net proceeds we received through the sale of 11,500,000 shares of our common stock in an underwritten public offering in May 2011 and the sale of 575,000 shares of common stock under the Cantor Agreement during the six months ended June 30, 2011. In February 2011, we paid $12.5 million to satisfy all outstanding principal related to the CuraGen Debt. In March 2011, we amended the Loan Agreement and borrowed an additional $5 million from GECC to increase the amount owed under the Term Loan to $15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became effective on April 22, 2010.</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January 6,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up to 5% of the gross proceeds from each sale and to reimburse Cantor for certain expenses incurred in connection with entering into the Cantor Agreement. During the three months ended June 30, 2011, we sold 575,000 shares of common stock under the Cantor Agreement and raised $2.2 million in net proceeds, after deducting commission and offering expenses. As of June 30, 2011, we had 4,425,000 shares available to be sold under the Cantor Agreement.</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May 2011, we issued 11,500,000 shares of our common stock in an underwritten public offering, including the underwriter’s exercise of their full over-allotment option to purchase an additional 1,500,000 shares of common stock. The net proceeds to us were $33.7 million, after deducting underwriting fees and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80" w:firstLine="8"/>
        <w:spacing w:after="0" w:line="269" w:lineRule="auto"/>
        <w:tabs>
          <w:tab w:leader="none" w:pos="285" w:val="left"/>
        </w:tabs>
        <w:numPr>
          <w:ilvl w:val="0"/>
          <w:numId w:val="8"/>
        </w:numPr>
        <w:rPr>
          <w:rFonts w:ascii="Arial" w:cs="Arial" w:eastAsia="Arial" w:hAnsi="Arial"/>
          <w:sz w:val="17"/>
          <w:szCs w:val="17"/>
          <w:color w:val="auto"/>
        </w:rPr>
      </w:pPr>
      <w:r>
        <w:rPr>
          <w:rFonts w:ascii="Arial" w:cs="Arial" w:eastAsia="Arial" w:hAnsi="Arial"/>
          <w:sz w:val="17"/>
          <w:szCs w:val="17"/>
          <w:color w:val="auto"/>
        </w:rPr>
        <w:t>6.25%; or (ii) a minimum rate of 9.50%. Interest on the Term Loan is payable monthly and principal is due in 27 equal consecutive monthly installments commencing on October 1, 2011. We have an option exercisable through September 28, 2011 to extend the interest-only period by 6 months which, if exercised, would make the principal due in 21 equal consecutive monthly installments commencing on April 1, 2012. Notwithstanding the foregoing, all unpaid principal and accrued interest with respect to the Term Loan is due and payable on the earlier of (A) December 30, 2013 or (B) the date that the Term Loan otherwise becomes due and payable under the terms of the Loan Agreement. We may prepay all, but not less than all, of the Term Loan subject to a prepayment premium of 1% in year three, 2% in year two, and 4% in year one of the original principal amount of the Term Loan. Upon repayment of the Term Loan in full, we are also obligated to make a final payment fee of $0.5 million (“Final Payment”).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June 30, 2011, we believe we are in compliance with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ectPr>
          <w:pgSz w:w="11900" w:h="16838" w:orient="portrait"/>
          <w:cols w:equalWidth="0" w:num="1">
            <w:col w:w="11420"/>
          </w:cols>
          <w:pgMar w:left="240" w:top="125" w:right="239" w:bottom="0" w:gutter="0" w:footer="0" w:header="0"/>
        </w:sectPr>
      </w:pPr>
    </w:p>
    <w:bookmarkStart w:id="19" w:name="page20"/>
    <w:bookmarkEnd w:id="19"/>
    <w:p>
      <w:pPr>
        <w:spacing w:after="0" w:line="5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2010 which was filed with the SEC on March 9, 2011 have not materially changed since we filed that report.</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2011 due to the short-term maturities of these instruments.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six months ended June 30, 2011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9, 2011.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 dated May 18, 2011, by and between Celldex Therapeutics, Inc. and Jefferies &amp; Company, Inc.</w:t>
      </w:r>
    </w:p>
    <w:p>
      <w:pPr>
        <w:spacing w:after="0" w:line="23" w:lineRule="exact"/>
        <w:rPr>
          <w:sz w:val="20"/>
          <w:szCs w:val="20"/>
          <w:color w:val="auto"/>
        </w:rPr>
      </w:pPr>
    </w:p>
    <w:p>
      <w:pPr>
        <w:ind w:left="1080" w:right="20" w:hanging="773"/>
        <w:spacing w:after="0" w:line="250" w:lineRule="auto"/>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pacing w:after="0" w:line="1" w:lineRule="exact"/>
        <w:rPr>
          <w:sz w:val="20"/>
          <w:szCs w:val="20"/>
          <w:color w:val="auto"/>
        </w:rPr>
      </w:pPr>
    </w:p>
    <w:p>
      <w:pPr>
        <w:ind w:left="1080" w:right="80" w:hanging="773"/>
        <w:spacing w:after="0" w:line="250" w:lineRule="auto"/>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080" w:right="360" w:hanging="773"/>
        <w:spacing w:after="0" w:line="281"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080" w:right="100" w:hanging="773"/>
        <w:spacing w:after="0" w:line="281" w:lineRule="auto"/>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Third Certificate of Amendment of Third Restated Certificate of Incorporation of the Company, incorporated by reference to Exhibit 3.1 of the</w:t>
      </w:r>
    </w:p>
    <w:p>
      <w:pPr>
        <w:sectPr>
          <w:pgSz w:w="11900" w:h="16888" w:orient="portrait"/>
          <w:cols w:equalWidth="0" w:num="1">
            <w:col w:w="11420"/>
          </w:cols>
          <w:pgMar w:left="240" w:top="341" w:right="239" w:bottom="0" w:gutter="0" w:footer="0" w:header="0"/>
        </w:sectPr>
      </w:pPr>
    </w:p>
    <w:bookmarkStart w:id="20" w:name="page21"/>
    <w:bookmarkEnd w:id="20"/>
    <w:p>
      <w:pPr>
        <w:ind w:left="1080"/>
        <w:spacing w:after="0"/>
        <w:rPr>
          <w:sz w:val="20"/>
          <w:szCs w:val="20"/>
          <w:color w:val="auto"/>
        </w:rPr>
      </w:pPr>
      <w:r>
        <w:rPr>
          <w:rFonts w:ascii="Arial" w:cs="Arial" w:eastAsia="Arial" w:hAnsi="Arial"/>
          <w:sz w:val="18"/>
          <w:szCs w:val="18"/>
          <w:color w:val="auto"/>
        </w:rPr>
        <w:t>Company’s Quarterly Report on Form 10-Q, filed May 10, 2002 with the Securities and Exchange Commission.</w:t>
      </w:r>
    </w:p>
    <w:p>
      <w:pPr>
        <w:spacing w:after="0" w:line="23" w:lineRule="exact"/>
        <w:rPr>
          <w:sz w:val="20"/>
          <w:szCs w:val="20"/>
          <w:color w:val="auto"/>
        </w:rPr>
      </w:pPr>
    </w:p>
    <w:p>
      <w:pPr>
        <w:ind w:left="1080" w:right="280" w:hanging="773"/>
        <w:spacing w:after="0" w:line="265" w:lineRule="auto"/>
        <w:tabs>
          <w:tab w:leader="none" w:pos="10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080" w:right="160" w:hanging="773"/>
        <w:spacing w:after="0" w:line="265" w:lineRule="auto"/>
        <w:tabs>
          <w:tab w:leader="none" w:pos="10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080" w:right="120" w:hanging="773"/>
        <w:spacing w:after="0" w:line="265" w:lineRule="auto"/>
        <w:tabs>
          <w:tab w:leader="none" w:pos="10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ind w:left="1080" w:right="300" w:hanging="773"/>
        <w:spacing w:after="0" w:line="265" w:lineRule="auto"/>
        <w:tabs>
          <w:tab w:leader="none" w:pos="10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 Document.</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80" w:hanging="71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80" w:hanging="71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080" w:right="120" w:hanging="712"/>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Dated: August 4, 2011</w:t>
            </w:r>
          </w:p>
        </w:tc>
        <w:tc>
          <w:tcPr>
            <w:tcW w:w="24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24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Dated: August 4, 2011</w:t>
            </w:r>
          </w:p>
        </w:tc>
        <w:tc>
          <w:tcPr>
            <w:tcW w:w="24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24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jc w:val="right"/>
              <w:ind w:right="5532"/>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jc w:val="center"/>
              <w:ind w:right="3212"/>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0" w:type="dxa"/>
            <w:vAlign w:val="bottom"/>
          </w:tcPr>
          <w:p>
            <w:pPr>
              <w:spacing w:after="0"/>
              <w:rPr>
                <w:sz w:val="24"/>
                <w:szCs w:val="24"/>
                <w:color w:val="auto"/>
              </w:rPr>
            </w:pPr>
          </w:p>
        </w:tc>
        <w:tc>
          <w:tcPr>
            <w:tcW w:w="5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 dated May 18, 2011, by and between Celldex Therapeutics, Inc. and Jefferies &amp; Company, Inc.</w:t>
      </w:r>
    </w:p>
    <w:p>
      <w:pPr>
        <w:spacing w:after="0" w:line="8" w:lineRule="exact"/>
        <w:rPr>
          <w:sz w:val="20"/>
          <w:szCs w:val="20"/>
          <w:color w:val="auto"/>
        </w:rPr>
      </w:pPr>
    </w:p>
    <w:p>
      <w:pPr>
        <w:ind w:left="920" w:right="220" w:hanging="679"/>
        <w:spacing w:after="0" w:line="250" w:lineRule="auto"/>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pacing w:after="0" w:line="1" w:lineRule="exact"/>
        <w:rPr>
          <w:sz w:val="20"/>
          <w:szCs w:val="20"/>
          <w:color w:val="auto"/>
        </w:rPr>
      </w:pPr>
    </w:p>
    <w:p>
      <w:pPr>
        <w:ind w:left="920" w:right="60" w:hanging="679"/>
        <w:spacing w:after="0" w:line="250"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20" w:right="560" w:hanging="679"/>
        <w:spacing w:after="0" w:line="281"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20" w:right="140" w:hanging="679"/>
        <w:spacing w:after="0" w:line="281" w:lineRule="auto"/>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920" w:right="260" w:hanging="679"/>
        <w:spacing w:after="0" w:line="250" w:lineRule="auto"/>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920" w:right="180" w:hanging="679"/>
        <w:spacing w:after="0" w:line="265" w:lineRule="auto"/>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920" w:right="320" w:hanging="679"/>
        <w:spacing w:after="0" w:line="265" w:lineRule="auto"/>
        <w:tabs>
          <w:tab w:leader="none" w:pos="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240"/>
        <w:spacing w:after="0"/>
        <w:tabs>
          <w:tab w:leader="none" w:pos="9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Sixth Certificate of Amendment of Third Restated Certificate of Incorporation of the Company, incorporated by reference to Exhibit 3.7 of the</w:t>
      </w:r>
    </w:p>
    <w:p>
      <w:pPr>
        <w:sectPr>
          <w:pgSz w:w="11900" w:h="16838" w:orient="portrait"/>
          <w:cols w:equalWidth="0" w:num="1">
            <w:col w:w="11460"/>
          </w:cols>
          <w:pgMar w:left="240" w:top="125" w:right="199" w:bottom="0" w:gutter="0" w:footer="0" w:header="0"/>
        </w:sectPr>
      </w:pPr>
    </w:p>
    <w:bookmarkStart w:id="21" w:name="page22"/>
    <w:bookmarkEnd w:id="21"/>
    <w:p>
      <w:pPr>
        <w:ind w:left="820"/>
        <w:spacing w:after="0"/>
        <w:rPr>
          <w:sz w:val="20"/>
          <w:szCs w:val="20"/>
          <w:color w:val="auto"/>
        </w:rPr>
      </w:pPr>
      <w:r>
        <w:rPr>
          <w:rFonts w:ascii="Arial" w:cs="Arial" w:eastAsia="Arial" w:hAnsi="Arial"/>
          <w:sz w:val="18"/>
          <w:szCs w:val="18"/>
          <w:color w:val="auto"/>
        </w:rPr>
        <w:t>Company’s Quarterly Report on Form 10-Q, filed November 10, 2008 with the Securities and Exchange Commission.</w:t>
      </w:r>
    </w:p>
    <w:p>
      <w:pPr>
        <w:spacing w:after="0" w:line="23" w:lineRule="exact"/>
        <w:rPr>
          <w:sz w:val="20"/>
          <w:szCs w:val="20"/>
          <w:color w:val="auto"/>
        </w:rPr>
      </w:pPr>
    </w:p>
    <w:p>
      <w:pPr>
        <w:jc w:val="both"/>
        <w:ind w:left="820" w:hanging="679"/>
        <w:spacing w:after="0" w:line="250"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 Document.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211455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20" w:hanging="55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55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20" w:right="140" w:hanging="552"/>
        <w:spacing w:after="0" w:line="26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520" w:hanging="330"/>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20" w:right="460" w:hanging="330"/>
        <w:spacing w:after="0" w:line="264" w:lineRule="auto"/>
        <w:tabs>
          <w:tab w:leader="none" w:pos="5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330"/>
        <w:spacing w:after="0" w:line="308" w:lineRule="auto"/>
        <w:tabs>
          <w:tab w:leader="none" w:pos="5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0" w:hanging="330"/>
        <w:spacing w:after="0" w:line="264" w:lineRule="auto"/>
        <w:tabs>
          <w:tab w:leader="none" w:pos="5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330"/>
        <w:spacing w:after="0" w:line="308" w:lineRule="auto"/>
        <w:tabs>
          <w:tab w:leader="none" w:pos="5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00" w:hanging="646"/>
        <w:spacing w:after="0" w:line="342" w:lineRule="auto"/>
        <w:tabs>
          <w:tab w:leader="none" w:pos="11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4, 2011</w:t>
            </w:r>
          </w:p>
        </w:tc>
        <w:tc>
          <w:tcPr>
            <w:tcW w:w="3080" w:type="dxa"/>
            <w:vAlign w:val="bottom"/>
          </w:tcPr>
          <w:p>
            <w:pPr>
              <w:ind w:left="23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3080" w:type="dxa"/>
            <w:vAlign w:val="bottom"/>
          </w:tcPr>
          <w:p>
            <w:pPr>
              <w:ind w:left="232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860" w:type="dxa"/>
            <w:vAlign w:val="bottom"/>
          </w:tcPr>
          <w:p>
            <w:pPr>
              <w:spacing w:after="0"/>
              <w:rPr>
                <w:sz w:val="20"/>
                <w:szCs w:val="20"/>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86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520" w:hanging="330"/>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00" w:right="460" w:hanging="310"/>
        <w:spacing w:after="0" w:line="264" w:lineRule="auto"/>
        <w:tabs>
          <w:tab w:leader="none" w:pos="5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310"/>
        <w:spacing w:after="0" w:line="308" w:lineRule="auto"/>
        <w:tabs>
          <w:tab w:leader="none" w:pos="5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0" w:hanging="310"/>
        <w:spacing w:after="0" w:line="264" w:lineRule="auto"/>
        <w:tabs>
          <w:tab w:leader="none" w:pos="5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310"/>
        <w:spacing w:after="0" w:line="308" w:lineRule="auto"/>
        <w:tabs>
          <w:tab w:leader="none" w:pos="5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00" w:hanging="646"/>
        <w:spacing w:after="0" w:line="342"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August 4, 2011</w:t>
            </w:r>
          </w:p>
        </w:tc>
        <w:tc>
          <w:tcPr>
            <w:tcW w:w="3100" w:type="dxa"/>
            <w:vAlign w:val="bottom"/>
          </w:tcPr>
          <w:p>
            <w:pPr>
              <w:ind w:left="228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3100" w:type="dxa"/>
            <w:vAlign w:val="bottom"/>
          </w:tcPr>
          <w:p>
            <w:pPr>
              <w:ind w:left="2280"/>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100" w:type="dxa"/>
            <w:vAlign w:val="bottom"/>
          </w:tcPr>
          <w:p>
            <w:pPr>
              <w:ind w:left="228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31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August 4, 2011</w:t>
            </w:r>
          </w:p>
        </w:tc>
        <w:tc>
          <w:tcPr>
            <w:tcW w:w="3060" w:type="dxa"/>
            <w:vAlign w:val="bottom"/>
          </w:tcPr>
          <w:p>
            <w:pPr>
              <w:ind w:left="218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40" w:type="dxa"/>
            <w:vAlign w:val="bottom"/>
          </w:tcPr>
          <w:p>
            <w:pPr>
              <w:spacing w:after="0"/>
              <w:rPr>
                <w:sz w:val="16"/>
                <w:szCs w:val="16"/>
                <w:color w:val="auto"/>
              </w:rPr>
            </w:pPr>
          </w:p>
        </w:tc>
        <w:tc>
          <w:tcPr>
            <w:tcW w:w="30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40" w:type="dxa"/>
            <w:vAlign w:val="bottom"/>
          </w:tcPr>
          <w:p>
            <w:pPr>
              <w:spacing w:after="0"/>
              <w:rPr>
                <w:sz w:val="20"/>
                <w:szCs w:val="20"/>
                <w:color w:val="auto"/>
              </w:rPr>
            </w:pPr>
          </w:p>
        </w:tc>
        <w:tc>
          <w:tcPr>
            <w:tcW w:w="3060" w:type="dxa"/>
            <w:vAlign w:val="bottom"/>
          </w:tcPr>
          <w:p>
            <w:pPr>
              <w:ind w:left="218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August 4, 2011</w:t>
            </w:r>
          </w:p>
        </w:tc>
        <w:tc>
          <w:tcPr>
            <w:tcW w:w="3060" w:type="dxa"/>
            <w:vAlign w:val="bottom"/>
          </w:tcPr>
          <w:p>
            <w:pPr>
              <w:ind w:left="218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40" w:type="dxa"/>
            <w:vAlign w:val="bottom"/>
          </w:tcPr>
          <w:p>
            <w:pPr>
              <w:spacing w:after="0"/>
              <w:rPr>
                <w:sz w:val="16"/>
                <w:szCs w:val="16"/>
                <w:color w:val="auto"/>
              </w:rPr>
            </w:pPr>
          </w:p>
        </w:tc>
        <w:tc>
          <w:tcPr>
            <w:tcW w:w="30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740" w:type="dxa"/>
            <w:vAlign w:val="bottom"/>
          </w:tcPr>
          <w:p>
            <w:pPr>
              <w:spacing w:after="0"/>
              <w:rPr>
                <w:sz w:val="18"/>
                <w:szCs w:val="18"/>
                <w:color w:val="auto"/>
              </w:rPr>
            </w:pPr>
          </w:p>
        </w:tc>
        <w:tc>
          <w:tcPr>
            <w:tcW w:w="3060" w:type="dxa"/>
            <w:vAlign w:val="bottom"/>
          </w:tcPr>
          <w:p>
            <w:pPr>
              <w:ind w:left="218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7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2)"/>
      <w:numFmt w:val="decimal"/>
      <w:start w:val="4"/>
    </w:lvl>
  </w:abstractNum>
  <w:abstractNum w:abstractNumId="7">
    <w:nsid w:val="66EF438D"/>
    <w:multiLevelType w:val="hybridMultilevel"/>
    <w:lvl w:ilvl="0">
      <w:lvlJc w:val="left"/>
      <w:lvlText w:val="(%1)"/>
      <w:numFmt w:val="upperLetter"/>
      <w:start w:val="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2019-12-10T06:22:27Z</dcterms:created>
  <dcterms:modified xsi:type="dcterms:W3CDTF">2019-12-10T06:22:27Z</dcterms:modified>
</cp:coreProperties>
</file>