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720" w:right="260" w:hanging="388"/>
        <w:spacing w:after="0" w:line="256" w:lineRule="auto"/>
        <w:tabs>
          <w:tab w:leader="none" w:pos="58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00" w:hanging="388"/>
        <w:spacing w:after="0" w:line="256"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3, 2009, 15,879,475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June 30, 2009</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p>
      <w:pPr>
        <w:ind w:left="1088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6762750</wp:posOffset>
            </wp:positionH>
            <wp:positionV relativeFrom="paragraph">
              <wp:posOffset>20955</wp:posOffset>
            </wp:positionV>
            <wp:extent cx="488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I—Financial Information</w:t>
        </w:r>
      </w:hyperlink>
    </w:p>
    <w:p>
      <w:pPr>
        <w:spacing w:after="0" w:line="209" w:lineRule="exact"/>
        <w:rPr>
          <w:sz w:val="24"/>
          <w:szCs w:val="24"/>
          <w:color w:val="auto"/>
        </w:rPr>
      </w:pPr>
    </w:p>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Unaudited Financial Statements.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June 30, 2009 and December 31, 2008</w:t>
              </w:r>
            </w:hyperlink>
          </w:p>
        </w:tc>
        <w:tc>
          <w:tcPr>
            <w:tcW w:w="218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June 30, 2009 and 2008</w:t>
              </w:r>
            </w:hyperlink>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tcBorders>
              <w:top w:val="single" w:sz="8" w:color="0000EE"/>
            </w:tcBorders>
            <w:gridSpan w:val="1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Cash Flows for the Six Months Ended June 30, 2009 and 2008</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4"/>
          </w:tcPr>
          <w:p>
            <w:pPr>
              <w:spacing w:after="0"/>
              <w:rPr>
                <w:sz w:val="24"/>
                <w:szCs w:val="24"/>
                <w:color w:val="auto"/>
              </w:rPr>
            </w:pPr>
          </w:p>
        </w:tc>
        <w:tc>
          <w:tcPr>
            <w:tcW w:w="7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Borders>
              <w:top w:val="single" w:sz="8" w:color="0000EE"/>
            </w:tcBorders>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Quantitative and Qualitative Disclosures About Market Risk.</w:t>
              </w:r>
            </w:hyperlink>
          </w:p>
        </w:tc>
        <w:tc>
          <w:tcPr>
            <w:tcW w:w="106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316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8300" w:type="dxa"/>
            <w:vAlign w:val="bottom"/>
            <w:gridSpan w:val="19"/>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1. Legal Proceedings.</w:t>
              </w:r>
            </w:hyperlink>
          </w:p>
        </w:tc>
        <w:tc>
          <w:tcPr>
            <w:tcW w:w="606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 Risk Factors.</w:t>
              </w:r>
            </w:hyperlink>
          </w:p>
        </w:tc>
        <w:tc>
          <w:tcPr>
            <w:tcW w:w="6180" w:type="dxa"/>
            <w:vAlign w:val="bottom"/>
            <w:gridSpan w:val="10"/>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Borders>
              <w:top w:val="single" w:sz="8" w:color="0000EE"/>
            </w:tcBorders>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6. Exhibits.</w:t>
              </w:r>
            </w:hyperlink>
          </w:p>
        </w:tc>
        <w:tc>
          <w:tcPr>
            <w:tcW w:w="648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top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6920" w:type="dxa"/>
            <w:vAlign w:val="bottom"/>
            <w:gridSpan w:val="12"/>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 Index</w:t>
              </w:r>
            </w:hyperlink>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3"/>
          </w:tcPr>
          <w:p>
            <w:pPr>
              <w:spacing w:after="0"/>
              <w:rPr>
                <w:sz w:val="24"/>
                <w:szCs w:val="24"/>
                <w:color w:val="auto"/>
              </w:rPr>
            </w:pPr>
          </w:p>
        </w:tc>
        <w:tc>
          <w:tcPr>
            <w:tcW w:w="4940" w:type="dxa"/>
            <w:vAlign w:val="bottom"/>
            <w:gridSpan w:val="10"/>
          </w:tcPr>
          <w:p>
            <w:pPr>
              <w:jc w:val="center"/>
              <w:ind w:left="4030"/>
              <w:spacing w:after="0"/>
              <w:rPr>
                <w:sz w:val="20"/>
                <w:szCs w:val="20"/>
                <w:color w:val="auto"/>
              </w:rPr>
            </w:pPr>
            <w:r>
              <w:rPr>
                <w:rFonts w:ascii="Arial" w:cs="Arial" w:eastAsia="Arial" w:hAnsi="Arial"/>
                <w:sz w:val="18"/>
                <w:szCs w:val="18"/>
                <w:color w:val="auto"/>
                <w:w w:val="99"/>
              </w:rPr>
              <w:t>2</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30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00" w:type="dxa"/>
            <w:vAlign w:val="bottom"/>
            <w:gridSpan w:val="19"/>
          </w:tcPr>
          <w:p>
            <w:pPr>
              <w:spacing w:after="0"/>
              <w:rPr>
                <w:sz w:val="20"/>
                <w:szCs w:val="20"/>
                <w:color w:val="auto"/>
              </w:rPr>
            </w:pPr>
            <w:r>
              <w:rPr>
                <w:rFonts w:ascii="Arial" w:cs="Arial" w:eastAsia="Arial" w:hAnsi="Arial"/>
                <w:sz w:val="18"/>
                <w:szCs w:val="18"/>
                <w:b w:val="1"/>
                <w:bCs w:val="1"/>
                <w:color w:val="auto"/>
              </w:rPr>
              <w:t>PART I—FINANCIAL INFORMATION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00" w:type="dxa"/>
            <w:vAlign w:val="bottom"/>
            <w:gridSpan w:val="19"/>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240" w:type="dxa"/>
            <w:vAlign w:val="bottom"/>
            <w:gridSpan w:val="7"/>
          </w:tcPr>
          <w:p>
            <w:pPr>
              <w:jc w:val="center"/>
              <w:spacing w:after="0"/>
              <w:rPr>
                <w:sz w:val="20"/>
                <w:szCs w:val="20"/>
                <w:color w:val="auto"/>
              </w:rPr>
            </w:pPr>
            <w:r>
              <w:rPr>
                <w:rFonts w:ascii="Arial" w:cs="Arial" w:eastAsia="Arial" w:hAnsi="Arial"/>
                <w:sz w:val="18"/>
                <w:szCs w:val="18"/>
                <w:b w:val="1"/>
                <w:bCs w:val="1"/>
                <w:color w:val="auto"/>
              </w:rPr>
              <w:t>CELLDEX THERAPEUTICS, INC.</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center"/>
              <w:ind w:right="202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gridSpan w:val="18"/>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gridSpan w:val="17"/>
          </w:tcPr>
          <w:p>
            <w:pPr>
              <w:spacing w:after="0"/>
              <w:rPr>
                <w:sz w:val="20"/>
                <w:szCs w:val="20"/>
                <w:color w:val="auto"/>
              </w:rPr>
            </w:pPr>
            <w:r>
              <w:rPr>
                <w:rFonts w:ascii="Arial" w:cs="Arial" w:eastAsia="Arial" w:hAnsi="Arial"/>
                <w:sz w:val="18"/>
                <w:szCs w:val="18"/>
                <w:color w:val="auto"/>
              </w:rPr>
              <w:t>Accounts and Other Receivables</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47,076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12,551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6,316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100" w:type="dxa"/>
            <w:vAlign w:val="bottom"/>
            <w:tcBorders>
              <w:top w:val="single" w:sz="8" w:color="CCEEFF"/>
              <w:bottom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gridSpan w:val="17"/>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Payable Due Medarex</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gridSpan w:val="17"/>
          </w:tcPr>
          <w:p>
            <w:pPr>
              <w:spacing w:after="0"/>
              <w:rPr>
                <w:sz w:val="20"/>
                <w:szCs w:val="20"/>
                <w:color w:val="auto"/>
              </w:rPr>
            </w:pPr>
            <w:r>
              <w:rPr>
                <w:rFonts w:ascii="Arial" w:cs="Arial" w:eastAsia="Arial" w:hAnsi="Arial"/>
                <w:sz w:val="18"/>
                <w:szCs w:val="18"/>
                <w:color w:val="auto"/>
              </w:rPr>
              <w:t>Current Portion of Deferred Revenue</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5,279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Portion of Long-Term Liabilities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36,227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50,109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auto"/>
              </w:rPr>
              <w:t>Commitments and Contingent Liabilities (Note 9)</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10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10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Outstanding at June 30, 2009 and December 31, 2008</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00" w:type="dxa"/>
            <w:vAlign w:val="bottom"/>
            <w:gridSpan w:val="17"/>
          </w:tcPr>
          <w:p>
            <w:pPr>
              <w:spacing w:after="0" w:line="201" w:lineRule="exact"/>
              <w:rPr>
                <w:sz w:val="20"/>
                <w:szCs w:val="20"/>
                <w:color w:val="auto"/>
              </w:rPr>
            </w:pPr>
            <w:r>
              <w:rPr>
                <w:rFonts w:ascii="Arial" w:cs="Arial" w:eastAsia="Arial" w:hAnsi="Arial"/>
                <w:sz w:val="18"/>
                <w:szCs w:val="18"/>
                <w:color w:val="auto"/>
                <w:w w:val="98"/>
              </w:rPr>
              <w:t>Common Stock, $.001 Par Value; 297,000,000 Shares Authorized; 15,877,993 and 15,789,756 Shares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00" w:type="dxa"/>
            <w:vAlign w:val="bottom"/>
            <w:gridSpan w:val="17"/>
          </w:tcPr>
          <w:p>
            <w:pPr>
              <w:ind w:left="160"/>
              <w:spacing w:after="0"/>
              <w:rPr>
                <w:sz w:val="20"/>
                <w:szCs w:val="20"/>
                <w:color w:val="auto"/>
              </w:rPr>
            </w:pPr>
            <w:r>
              <w:rPr>
                <w:rFonts w:ascii="Arial" w:cs="Arial" w:eastAsia="Arial" w:hAnsi="Arial"/>
                <w:sz w:val="18"/>
                <w:szCs w:val="18"/>
                <w:color w:val="auto"/>
              </w:rPr>
              <w:t>Issued and Outstanding at June 30, 2009 and December 31, 2008, respectively</w:t>
            </w: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-6606540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-6606540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139,253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136,661</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2,591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(137,557)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(121,149)</w:t>
            </w:r>
          </w:p>
        </w:tc>
      </w:tr>
      <w:tr>
        <w:trPr>
          <w:trHeight w:val="210"/>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4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Borders>
              <w:bottom w:val="single" w:sz="8" w:color="CCEEFF"/>
            </w:tcBorders>
          </w:tcPr>
          <w:p>
            <w:pPr>
              <w:spacing w:after="0"/>
              <w:rPr>
                <w:sz w:val="18"/>
                <w:szCs w:val="18"/>
                <w:color w:val="auto"/>
              </w:rPr>
            </w:pPr>
          </w:p>
        </w:tc>
      </w:tr>
      <w:tr>
        <w:trPr>
          <w:trHeight w:val="21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54,412</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2"/>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32"/>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1,497</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871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2,999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Product Royalties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3,279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6,417</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16,488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3,511</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6,851</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Charge for In-Process Research and Development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22,926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(8,723)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Net Loss Per Common Share (See Note 2)</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Used in Calculating Basic and Diluted Net Loss per</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15,834</w:t>
            </w:r>
          </w:p>
        </w:tc>
        <w:tc>
          <w:tcPr>
            <w:tcW w:w="2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15,227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15,826</w:t>
            </w:r>
          </w:p>
        </w:tc>
        <w:tc>
          <w:tcPr>
            <w:tcW w:w="2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12,677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(See Note 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94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1"/>
        </w:trPr>
        <w:tc>
          <w:tcPr>
            <w:tcW w:w="75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(16,408)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(32,391)</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1,336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(Gain) loss on Sale or Disposal of Assets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In-Process Research and Development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14,756</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(1,367)</w:t>
            </w:r>
          </w:p>
        </w:tc>
      </w:tr>
      <w:tr>
        <w:trPr>
          <w:trHeight w:val="216"/>
        </w:trPr>
        <w:tc>
          <w:tcPr>
            <w:tcW w:w="7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(4,136)</w:t>
            </w: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8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Cash Acquired in the Acquisition of AVANT, Net of Transaction Costs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Deposits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Loan Due to Medarex</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(12,624)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44,257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31,633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52,380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Information</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Received in Exchange in the Acquisition of AVANT</w:t>
            </w:r>
          </w:p>
        </w:tc>
        <w:tc>
          <w:tcPr>
            <w:tcW w:w="1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Shares Issued to Medarex in Settlement of a Payable</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to Executive Officers</w:t>
            </w:r>
          </w:p>
        </w:tc>
        <w:tc>
          <w:tcPr>
            <w:tcW w:w="1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2008, which are included in the Company’s Annual Report on Form 10-K filed with the Securities and Exchange Commission (“SEC”) on March 2, 2009.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between AVANT and Celldex Research</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March 7, 2008, the Company (formerly known as AVANT Immunotherapeutics, Inc.) (“AVANT”) merged with and into Celldex Research Corporation (formerly known as Celldex Therapeutics, Inc.) (“Celldex Research”), a privately-held company, (the “AVANT Merger”). Effective October 1, 2008, the Company changed its name from AVANT Immunotherapeutics, Inc. to Celldex Therapeutics, Inc.</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The AVANT Merger was accounted for using the purchase method of accounting and was treated as an acquisition by Celldex Research of AVANT, with Celldex Research being considered the accounting acquirer based on the application of criteria specified in Statement of Financial Accounting Standards (“SFAS”) No. 141,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(“SFAS 141”), even though AVANT was the issuer of common stock and the surviving legal entity in the transaction. Under the purchase method of accounting, the deemed purchase price was allocated to AVANT’s underlying tangible and identifiable intangible assets acquired and liabilities assumed based upon the respective fair value of each with any excess deemed purchase price allocated to goodwill. The valuation analysis conducted by the Company determined that the fair value of assets acquired and the fair value of liabilities assumed by Celldex Research</w:t>
      </w:r>
    </w:p>
    <w:p>
      <w:pPr>
        <w:sectPr>
          <w:pgSz w:w="11900" w:h="16838" w:orient="portrait"/>
          <w:cols w:equalWidth="0" w:num="1">
            <w:col w:w="11420"/>
          </w:cols>
          <w:pgMar w:left="240" w:top="125" w:right="239" w:bottom="0" w:gutter="0" w:footer="0" w:header="0"/>
        </w:sectPr>
      </w:pPr>
    </w:p>
    <w:bookmarkStart w:id="4" w:name="page5"/>
    <w:bookmarkEnd w:id="4"/>
    <w:p>
      <w:pPr>
        <w:spacing w:after="0" w:line="264" w:lineRule="auto"/>
        <w:rPr>
          <w:sz w:val="20"/>
          <w:szCs w:val="20"/>
          <w:color w:val="auto"/>
        </w:rPr>
      </w:pPr>
      <w:r>
        <w:rPr>
          <w:rFonts w:ascii="Arial" w:cs="Arial" w:eastAsia="Arial" w:hAnsi="Arial"/>
          <w:sz w:val="18"/>
          <w:szCs w:val="18"/>
          <w:color w:val="auto"/>
        </w:rPr>
        <w:t>exceeded the purchase price for AVANT, resulting in negative goodwill of approximately $6.0 million. In accordance with SFAS 141, the negative goodwill has been allocated to all of the acquired assets that were non-financial and non-current assets, including property and equipment, identifiable intangible assets, and in-process research and development.</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Because Celldex Research was determined to be the acquirer for accounting purposes, the historical financial statements of Celldex Research became the historical financial statements of the Company as of the closing of the AVANT Merger. Accordingly, the financial statements of the Company prior to the AVANT Merger reflect the financial position, results of operations and cash flows of Celldex Research, which during the historical periods presented in the accompanying consolidated financial statements, was then majority-owned by Medarex, Inc. (“Medarex”). Following the AVANT Merger, the financial statements reflect the financial position, results of operation and cash flows of the combined companies. The results of operations of AVANT are included in the results of operations of the Company beginning March 8, 2008. Accordingly, except as otherwise discussed below, this report reflects the financial condition, results of operations and liquidity of the combined companies at June 30, 2009 and for the period from the AVANT Merger through June 30, 2009.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 between the Company and CuraGen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May 29, 2009, the Company and CuraGen Corporation (“CuraGen”), a public company, announced that their boards of directors unanimously approved a definitive merger agreement dated May 28, 2009 (the “CuraGen Merger Agreement”) under which CuraGen will merge with and into the Company in a stock for stock transaction (the “CuraGen Merger”). Under the terms of the CuraGen Merger Agreement, each issued and outstanding share of CuraGen common stock will be converted into shares of the Company based on an exchange ratio as described in the CuraGen Merger Agreement (the “CuraGen Exchange Ratio”). In addition, each option to purchase CuraGen common stock issued under the CuraGen 2007 Stock Plan that is outstanding on the closing date will be assumed by the Company and will thereafter constitute an option to acquire the number of shares of the Company’s common stock after applying the CuraGen Exchange Ratio. The CuraGen Merger Agreement provides for certain termination rights for both the Company and CuraGen and under specified circumstances, the Company or CuraGen may be required to pay a termination fee of $3.5 million to the other party. The transaction remains subject to the Company’s and CuraGen’s shareholder approvals and the satisfaction of customary closing conditions. The transaction is expected to close in the third quarter of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cash and cash equivalents at June 30, 2009 were $31.6 million. Its working capital at June 30, 2009 was $20.7 million. The Company incurred a loss of $8.7 million and $16.4 million for the three and six months ended June 30, 2009, respectively. Net cash used in operations for the six months ended June 30, 2009 was $13.5 million. The Company believes that without the CuraGen Merger, the cash inflows from existing grants and collaborations, interest income on invested funds and its current cash and cash equivalents at June 30, 2009 will be sufficient to meet estimated working capital requirements and fund planned operations for at least the next twelve months. The working capital requirements of the Company are dependent on several factors including, but not limited to, the costs associated with research and development programs, preclinical and clinical studies, manufacture of clinical materials, the scope of collaborative arrangements and potential transaction costs incurred in connection with the CuraGen Merger. The Company’s capital requirements will be affected if the Company’s and CuraGen’s shareholders approve the CuraGen Merger and the CuraGen Merger is consummated. At June 30, 2009, CuraGen reported in their Form 10-Q filed with the SEC on August 5, 2009 cash and investments of $76.0 million, working capital of $73.8 million, and 4% convertible subordinated debt due in February 2011 of $14.1 million.</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During the remainder of 2009, the Company may take further steps to raise additional capital to meet its long-term liquidity needs including, but not limited to, the licensing of technology programs with existing or new collaborative partners, possible business combinations, or the issuance of common stock via private placements or public offerings. While the Company continues to seek capital through a number of means, there can be no assurance that additional financing will be available on acceptable terms, if at all, particularly in light of the recent disruptions in the financial markets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that reduce the Company’s economic potential from products under development. If the Company is unable to raise the funds necessary to meet its long-term liquidity needs, it may have to (i) delay or discontinue the development of programs, (ii) license out programs earlier than expected, (iii) raise funds at significant discount or on other unfavorable terms, or (iv) sell all or a part of the Company.</w:t>
      </w:r>
    </w:p>
    <w:p>
      <w:pPr>
        <w:spacing w:after="0" w:line="16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On January 1, 2009, the Company adopted SFAS Statement No. 141 (Revised 2007),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141(R)”), which applies to acquisitions that are completed after January 1, 2009, including the pending CuraGen Merger. On April 1, 2009, the Financial Accounting Standards Board (“FASB”) issued Staff Position (“FSP”) FAS 141(R)-1, </w:t>
      </w:r>
      <w:r>
        <w:rPr>
          <w:rFonts w:ascii="Arial" w:cs="Arial" w:eastAsia="Arial" w:hAnsi="Arial"/>
          <w:sz w:val="17"/>
          <w:szCs w:val="17"/>
          <w:i w:val="1"/>
          <w:iCs w:val="1"/>
          <w:color w:val="auto"/>
        </w:rPr>
        <w:t>Accounting for Assets Acquired and Liabilities Assumed in a Business Combination That Arise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which amends and clarifies SFAS 141(R), to address application issues regarding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initial recognition and measurement, subsequent measurement and accounting, and disclosure of assets and liabilities arising from contingencies in a business combination.</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Under SFAS 141(R), the Company assigns the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assets, using a variety of methods including present-value models. Each</w:t>
      </w:r>
    </w:p>
    <w:p>
      <w:pPr>
        <w:sectPr>
          <w:pgSz w:w="11900" w:h="16838" w:orient="portrait"/>
          <w:cols w:equalWidth="0" w:num="1">
            <w:col w:w="11420"/>
          </w:cols>
          <w:pgMar w:left="240" w:top="125" w:right="239" w:bottom="0" w:gutter="0" w:footer="0" w:header="0"/>
        </w:sectPr>
      </w:pPr>
    </w:p>
    <w:bookmarkStart w:id="5" w:name="page6"/>
    <w:bookmarkEnd w:id="5"/>
    <w:p>
      <w:pPr>
        <w:spacing w:after="0" w:line="5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asset and liability is measured at fair value in accordance with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from the perspective of a market participant. In accordance with SFAS 141(R), transaction costs associated with the transaction are expensed as incurred.</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Prior to the adoption of SFAS 141(R), the Company expensed the fair value of IPR&amp;D to research and development expense as of the acquisition date in accordance with SFAS 141.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Intangible assets acquired in a business combination initially are recorded at fair value and accounted for in accordance with SFAS No. 142, </w:t>
      </w:r>
      <w:r>
        <w:rPr>
          <w:rFonts w:ascii="Arial" w:cs="Arial" w:eastAsia="Arial" w:hAnsi="Arial"/>
          <w:sz w:val="17"/>
          <w:szCs w:val="17"/>
          <w:i w:val="1"/>
          <w:iCs w:val="1"/>
          <w:color w:val="auto"/>
        </w:rPr>
        <w:t xml:space="preserve">Goodwill and Other Intangible Assets </w:t>
      </w:r>
      <w:r>
        <w:rPr>
          <w:rFonts w:ascii="Arial" w:cs="Arial" w:eastAsia="Arial" w:hAnsi="Arial"/>
          <w:sz w:val="17"/>
          <w:szCs w:val="17"/>
          <w:color w:val="auto"/>
        </w:rPr>
        <w:t>(“SFAS 142”), as amended by SFAS 141(R). Intangible assets which have alternative future uses are amortized on a</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basis over their estimated useful life. The determination of the amortization period involves estimates and judgments on management’s part. Any significant changes in the Company’s estimates or assumptions could impact the carrying value of acquired intangible assets.</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accordance with SFAS 141(R), indefinite-lived intangible assets such as IPR&amp;D assets initially are recorded at fair value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method used to estimate the fair values of IPR&amp;D assets is determined by estimating the costs to develop the acquired technology into commercially viable products, estimating the resulting net cash flows from the projects, and discounting the net cash flows to present value. The revenue and costs projections used to value IPR&amp;D were, as applicable, reduced based on the probability of developing a new drug. Additionally, the projections considered the relevant market sizes and growth factors, expected trends in technology, and the nature and expected timing of new product introductions by the Company and the Company’s competitors. The resulting net cash flows from such projects are based on management’s estimates of revenues, cost of sales, operating expenses, and income taxes from such projects. The rates utilized to discount the net cash flows to their present value were commensurate with the stage of development of the projects and uncertainties in the economic estimates used in the projections described above.</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If these projects are not successfully developed, the operations of the Company may be adversely affected in future periods. Additionally, the value of other acquired intangible assets may become impaired. The Company believes that the assumptions used in the Company’s IPR&amp;D analysis were reasonable at the time of the respective acquisition. No assurance can be given, however, that the underlying assumptions used to estimate expected project revenues, development costs or profitability, or the events associated with such projects, will transpire as estimated.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Company evaluates the recoverability of its long-lived assets, primarily property and equipment and intangible assets, when circumstances indicate that an event of impairment may have occurred 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The Company accounts for revenue arrangements that include multiple deliverables in accordance with Emerging Issues Task Force (“EITF”) No.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xml:space="preserve"> (“EITF 00-21”). EITF 00-21 addresses how to determine whether an arrangement involving multiple deliverables contains more than one unit of accounting. In applying the guidance, revenue arrangements with multiple deliverables can only be considered as separate units of accounting if (i) the delivered item has value to the customer on a standalone basis, (ii) there is objective and reliable evidence of the fair value of the undelivered items and (iii) the arrangement includes a general right of return relative to the delivered item, delivery or performance of the undelivered items is considered probable and substantially in the control of the vendor. If these criteria are not met, the revenue elements must be considered a single unit of accounting for purposes of revenue recognition.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Payments received to fund certain research activities are recognized as revenue in the period in which the research activities are performed.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Payments received in advance that are related to future performance are deferred and recognized as revenue when the research projects are performed.</w:t>
      </w:r>
    </w:p>
    <w:p>
      <w:pPr>
        <w:spacing w:after="0" w:line="23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has entered into various license and development agreements with pharmaceutical and biotechnology companies. The terms of the agreements typically include non-refundable license fees, funding of research and development, payments based upon achievement of certain milestones and royalties on net product sales. Non-refundable license fees are recognized as contract and license fee revenue when the Company has a contractual right to receive such payments, provided that (i) a contractual arrangement exists, (ii) the contract price is fixed or determinable, (iii) the collection of the resulting receivable is reasonably assured and (iv) the Company has no further performance obligations under the license agreement. Upfront non-refundable fees associated with license and development agreements where the Company has continuing performance obligations under the terms of the agreement are recorded as deferred revenue and recognized as revenue over the estimated service period as the Company completes its obligations. Where the Company’s level of effort is relatively constant over the performance period or no other pattern is estimable, the revenue is recognized on a straight-line basis. Revenue is limited to the lesser of the cumulative amount of payments received or the cumulative amount of revenue earned, as determined using the straight-line basis, as of the period ending date. If the estimated service period is subsequently modified, the period over which the upfront fee is recognized is modified accordingly on a prospective basis. The determination of the performance period involves judgment on management’s part. Funding of research and development is recognized as revenue over the term of the applicable contract as costs are incurred related to that contract.</w:t>
      </w:r>
    </w:p>
    <w:p>
      <w:pPr>
        <w:spacing w:after="0" w:line="16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Milestone payments are recognized as revenue upon the achievement of mutually agreed milestones, provided that (i) the milestone event is substantive and its achievement is not reasonably assured at the inception of the agreement, and (ii) there is no continuing performance obligations associated with the milestone payment. Revenues from milestone payments related to arrangements under which the Company has continuing performance obligations are recognized as revenue upon achievement of the milestone only if all of the following conditions are met: (i) the milestone payments are non-refundable;</w:t>
      </w:r>
    </w:p>
    <w:p>
      <w:pPr>
        <w:spacing w:after="0" w:line="2" w:lineRule="exact"/>
        <w:rPr>
          <w:sz w:val="20"/>
          <w:szCs w:val="20"/>
          <w:color w:val="auto"/>
        </w:rPr>
      </w:pPr>
    </w:p>
    <w:p>
      <w:pPr>
        <w:ind w:right="240" w:firstLine="8"/>
        <w:spacing w:after="0" w:line="323"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achievement of the milestone was not reasonably assured at the inception of the arrangement; (iii) substantive effort is involved in achieving the milestone; and, (iv) the amount of the milestone is reasonable in relation to the effort expended or the risk associated with achievement of the milestone. If</w:t>
      </w:r>
    </w:p>
    <w:p>
      <w:pPr>
        <w:sectPr>
          <w:pgSz w:w="11900" w:h="16893" w:orient="portrait"/>
          <w:cols w:equalWidth="0" w:num="1">
            <w:col w:w="11380"/>
          </w:cols>
          <w:pgMar w:left="240" w:top="125" w:right="279" w:bottom="0" w:gutter="0" w:footer="0" w:header="0"/>
        </w:sectPr>
      </w:pPr>
    </w:p>
    <w:bookmarkStart w:id="6" w:name="page7"/>
    <w:bookmarkEnd w:id="6"/>
    <w:p>
      <w:pPr>
        <w:ind w:right="620"/>
        <w:spacing w:after="0" w:line="277" w:lineRule="auto"/>
        <w:rPr>
          <w:sz w:val="20"/>
          <w:szCs w:val="20"/>
          <w:color w:val="auto"/>
        </w:rPr>
      </w:pPr>
      <w:r>
        <w:rPr>
          <w:rFonts w:ascii="Arial" w:cs="Arial" w:eastAsia="Arial" w:hAnsi="Arial"/>
          <w:sz w:val="18"/>
          <w:szCs w:val="18"/>
          <w:color w:val="auto"/>
        </w:rPr>
        <w:t>any of these conditions are not met, the milestone payments are deferred and recognized as revenue over the term of the arrangement as the Company completes its performance obligations.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has capitalized and deferred costs incurred in connection with the one-time signing and upfront payment (the initial deliverable) received with respect to a multiple deliverable arrangement. If there is deemed a single unit of accounting for such an arrangement, the capitalized deferred costs are amortized over the expected performance period of the arrangement.</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Revenue from contracts and grants, including U.S. government grants under Small Business Innovation Research (“SBIR”), is recognized as the services are performed and recorded as effort is expended on the contracted work and billed to the government or the Company’s contractual partner. Product royalty revenue consists of payments received from licensees for a portion of sales proceeds from products that utilize the Company’s licensed technologies and are recognized when the amount of and basis for such royalty payments are reported to the Company in accurate and appropriate form and in accordance with the related license agreement. Payments received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advance of activities being performed are recorded as deferred revenue. Any significant changes in the Company’s estimates or assumptions could impact its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Research and development costs, including internal and contract research costs, are expensed as incurred. Research and development expenses consist mainly of clinical trial costs, manufacturing of clinical material, toxicology and other studies, salaries, depreciation, technology access fees, royalty fees, including the cost of Rotarix® royalty revenues retained by the Company, and funding of outside research. Prior to the adoption of SFAS 141(R), the Company expensed the fair value of IPR&amp;D to research and development expense as of the acquisition date in accordance with SFAS 141.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 xml:space="preserve">The Company accounts for income taxes in accordance with the provisions of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(“SFAS 109”). 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bases.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8"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 xml:space="preserve">The Company records uncertain tax positions in the financial statements only if it is more likely than not that the uncertain tax position will be sustained upon examination by the taxing authorities in accordance with FASB Interpretation (“FIN”) No. 48, </w:t>
      </w:r>
      <w:r>
        <w:rPr>
          <w:rFonts w:ascii="Arial" w:cs="Arial" w:eastAsia="Arial" w:hAnsi="Arial"/>
          <w:sz w:val="18"/>
          <w:szCs w:val="18"/>
          <w:i w:val="1"/>
          <w:iCs w:val="1"/>
          <w:color w:val="auto"/>
        </w:rPr>
        <w:t>Accounting for Uncertain Tax Positions</w:t>
      </w:r>
      <w:r>
        <w:rPr>
          <w:rFonts w:ascii="Arial" w:cs="Arial" w:eastAsia="Arial" w:hAnsi="Arial"/>
          <w:sz w:val="18"/>
          <w:szCs w:val="18"/>
          <w:color w:val="auto"/>
        </w:rPr>
        <w:t xml:space="preserve"> (“FIN 48”).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Company computes and reports earnings per share in accordance with the provisions of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(“SFAS 128”). The computations of basic and diluted loss per common share are based upon the weighted average number of common shares outstanding and potentially dilutive securities. Potentially dilutive securities include stock options at June 30, 2009. Options to purchase 2,719,983 and 1,810,751 shares of common stock were not included in the June 30, 2009 and 2008 computation of diluted net loss per share, respectively, because inclusion of such shares would have an anti-dilutive effect on net loss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records stock-based compensation expense in accordance with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The Company records stock-based compensation expense for options issued to non-employees in accordance with SFAS 123(R) and EITF Issue No. 96-18, </w:t>
      </w:r>
      <w:r>
        <w:rPr>
          <w:rFonts w:ascii="Arial" w:cs="Arial" w:eastAsia="Arial" w:hAnsi="Arial"/>
          <w:sz w:val="18"/>
          <w:szCs w:val="18"/>
          <w:i w:val="1"/>
          <w:iCs w:val="1"/>
          <w:color w:val="auto"/>
        </w:rPr>
        <w:t>Accounting for Equity Instruments That Are Issued to Other Than Employees for Acquiring, or in Conjunction with Selling, Goods or Services</w:t>
      </w:r>
      <w:r>
        <w:rPr>
          <w:rFonts w:ascii="Arial" w:cs="Arial" w:eastAsia="Arial" w:hAnsi="Arial"/>
          <w:sz w:val="18"/>
          <w:szCs w:val="18"/>
          <w:color w:val="auto"/>
        </w:rPr>
        <w:t>. The fair value of stock options issued to non-employees is re-measured during the vesting terms resulting in periodic adjustments to stock-based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 xml:space="preserve">Effective April 1, 2009, the Company adopted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(“SFAS 165”) which establishes general standards of accounting for and disclosure of events that occur after the balance sheet date but before financial statements are issued. The adoption of SFAS 165 only impacted the Company’s disclosures and did not impact the Company’s financial statements or results of operations. The Company evaluated all events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transactions that occurred after June 30, 2009 up through August 7, 2009, the date the Company issued these financial statements. During this period the Company did not have any material recognizable subsequent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ectPr>
          <w:pgSz w:w="11900" w:h="16838" w:orient="portrait"/>
          <w:cols w:equalWidth="0" w:num="1">
            <w:col w:w="11400"/>
          </w:cols>
          <w:pgMar w:left="240" w:top="125" w:right="259" w:bottom="0" w:gutter="0" w:footer="0" w:header="0"/>
        </w:sectPr>
      </w:pPr>
    </w:p>
    <w:bookmarkStart w:id="7" w:name="page8"/>
    <w:bookmarkEnd w:id="7"/>
    <w:p>
      <w:pPr>
        <w:ind w:right="160" w:firstLine="648"/>
        <w:spacing w:after="0" w:line="286" w:lineRule="auto"/>
        <w:rPr>
          <w:sz w:val="20"/>
          <w:szCs w:val="20"/>
          <w:color w:val="auto"/>
        </w:rPr>
      </w:pPr>
      <w:r>
        <w:rPr>
          <w:rFonts w:ascii="Arial" w:cs="Arial" w:eastAsia="Arial" w:hAnsi="Arial"/>
          <w:sz w:val="17"/>
          <w:szCs w:val="17"/>
          <w:color w:val="auto"/>
        </w:rPr>
        <w:t>The preparation of the financial statements in conformity with U.S. GAAP requires management to make estimates and use assumptions that affect the reported amounts of assets and liabilities and the disclosure of contingent assets and liabilities at the dates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b w:val="1"/>
          <w:bCs w:val="1"/>
          <w:color w:val="auto"/>
        </w:rPr>
        <w:t xml:space="preserve">EITF 07-1: </w:t>
      </w:r>
      <w:r>
        <w:rPr>
          <w:rFonts w:ascii="Arial" w:cs="Arial" w:eastAsia="Arial" w:hAnsi="Arial"/>
          <w:sz w:val="18"/>
          <w:szCs w:val="18"/>
          <w:color w:val="auto"/>
        </w:rPr>
        <w:t>On January 1, 2009, the Company adopted EITF 07-01,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Collaborative Arrangements Related to the Development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Commercialization of Intellectual Property </w:t>
      </w:r>
      <w:r>
        <w:rPr>
          <w:rFonts w:ascii="Arial" w:cs="Arial" w:eastAsia="Arial" w:hAnsi="Arial"/>
          <w:sz w:val="18"/>
          <w:szCs w:val="18"/>
          <w:color w:val="auto"/>
        </w:rPr>
        <w:t>(“EITF 07-01”), which prescribes the accounting for collaborations existing after January 1, 2009. EITF 07-01</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certain transactions between collaborators to be recorded in the income statement on either a gross or net basis within expenses when certain characteristics exist in the collaboration relationship. The adoption of EITF 07-1 did not have a material impact on the Company’s financial condition or results of operations as it relates to any joint operating activities under current collaborations. The Company will have to evaluate the impact of EITF 07-01 on future collaborations that the Company may enter into.</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 xml:space="preserve">FSP No. FAS 142-3: </w:t>
      </w:r>
      <w:r>
        <w:rPr>
          <w:rFonts w:ascii="Arial" w:cs="Arial" w:eastAsia="Arial" w:hAnsi="Arial"/>
          <w:sz w:val="17"/>
          <w:szCs w:val="17"/>
          <w:color w:val="auto"/>
        </w:rPr>
        <w:t>On January 1, 2009, the Company adopted FSP No. FAS 142-3,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Determination of the Useful Life of Intangible Assets</w:t>
      </w:r>
      <w:r>
        <w:rPr>
          <w:rFonts w:ascii="Arial" w:cs="Arial" w:eastAsia="Arial" w:hAnsi="Arial"/>
          <w:sz w:val="17"/>
          <w:szCs w:val="17"/>
          <w:b w:val="1"/>
          <w:bCs w:val="1"/>
          <w:color w:val="auto"/>
        </w:rPr>
        <w:t xml:space="preserve"> </w:t>
      </w:r>
      <w:r>
        <w:rPr>
          <w:rFonts w:ascii="Arial" w:cs="Arial" w:eastAsia="Arial" w:hAnsi="Arial"/>
          <w:sz w:val="17"/>
          <w:szCs w:val="17"/>
          <w:color w:val="auto"/>
        </w:rPr>
        <w:t>(“FSP</w:t>
      </w:r>
      <w:r>
        <w:rPr>
          <w:rFonts w:ascii="Arial" w:cs="Arial" w:eastAsia="Arial" w:hAnsi="Arial"/>
          <w:sz w:val="17"/>
          <w:szCs w:val="17"/>
          <w:b w:val="1"/>
          <w:bCs w:val="1"/>
          <w:color w:val="auto"/>
        </w:rPr>
        <w:t xml:space="preserve"> </w:t>
      </w:r>
      <w:r>
        <w:rPr>
          <w:rFonts w:ascii="Arial" w:cs="Arial" w:eastAsia="Arial" w:hAnsi="Arial"/>
          <w:sz w:val="17"/>
          <w:szCs w:val="17"/>
          <w:color w:val="auto"/>
        </w:rPr>
        <w:t>FAS 142-3”). FSP FAS 142-3 amends the factors that should be considered in developing renewal or extension assumptions used to determine the useful life of a recognized intangible asset under SFAS 142. The intent of FSP FAS 142-3 is to improve the consistency between the useful life of a recognized intangible under SFAS 142 and the period of expected cash flows used to measure fair value of the asset under SFAS 141(R) and other U.S. GAAP. The adoption of FSP FAS 142-3 did not have a material impact on the Company’s financial condition or results of operations.</w:t>
      </w:r>
    </w:p>
    <w:p>
      <w:pPr>
        <w:spacing w:after="0" w:line="16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b w:val="1"/>
          <w:bCs w:val="1"/>
          <w:color w:val="auto"/>
        </w:rPr>
        <w:t xml:space="preserve">EITF 03-6-1: </w:t>
      </w:r>
      <w:r>
        <w:rPr>
          <w:rFonts w:ascii="Arial" w:cs="Arial" w:eastAsia="Arial" w:hAnsi="Arial"/>
          <w:sz w:val="17"/>
          <w:szCs w:val="17"/>
          <w:color w:val="auto"/>
        </w:rPr>
        <w:t>On January 1, 2009, the Company adopted FSP No. EITF 03-6-1,</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“Determining Whether Instruments Granted in Share-Based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Payment Transactions Are Participating Securities” </w:t>
      </w:r>
      <w:r>
        <w:rPr>
          <w:rFonts w:ascii="Arial" w:cs="Arial" w:eastAsia="Arial" w:hAnsi="Arial"/>
          <w:sz w:val="17"/>
          <w:szCs w:val="17"/>
          <w:color w:val="auto"/>
        </w:rPr>
        <w:t>(“FSP EITF 03-6-1”). FSP EITF 03-6-1 addresses whether instruments granted in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are participating securities prior to vesting and, therefore, need to be included in the earnings allocation in computing earnings per share (EPS) under the two-class method described in paragraphs 60 and 61 of SFAS 128. The guidance applies to the calculation of EPS under SFAS 128 for share-based payment awards with rights to dividends or dividend equivalents. FSP EITF 03-6-1 clarifies that unvested share-based payment awards that contain nonforfeitable rights to dividends or dividend equivalents (whether paid or unpaid) are participating securities and shall be included in the computation of EPS pursuant to the two class method. FSP EITF 03-6-1 requires all prior-period EPS data presented to be adjusted retrospectively (including interim financial statements, summaries of earnings and selected financial data). The adoption of FSP EITF 03-6-1 did not have a material impact on the Company’s financial condition or results of operations.</w:t>
      </w:r>
    </w:p>
    <w:p>
      <w:pPr>
        <w:spacing w:after="0" w:line="174"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FSP FAS 107-1: </w:t>
      </w:r>
      <w:r>
        <w:rPr>
          <w:rFonts w:ascii="Arial" w:cs="Arial" w:eastAsia="Arial" w:hAnsi="Arial"/>
          <w:sz w:val="18"/>
          <w:szCs w:val="18"/>
          <w:color w:val="auto"/>
        </w:rPr>
        <w:t>On April 1, 2009, the Company adopted FSB No. 107-1 and Accounting Principles Board Opinion No. 28-1,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“Interim Disclosures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about Fair Value of Financial Instruments” </w:t>
      </w:r>
      <w:r>
        <w:rPr>
          <w:rFonts w:ascii="Arial" w:cs="Arial" w:eastAsia="Arial" w:hAnsi="Arial"/>
          <w:sz w:val="18"/>
          <w:szCs w:val="18"/>
          <w:color w:val="auto"/>
        </w:rPr>
        <w:t>(“FSP FAS 107-1”). FSP FAS 107-1 requires disclosures about fair values of financial instruments in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financial statements. Prior to the issuance of FSP FAS 107-1, disclosures about fair values of financial instruments were only required to be disclosed annually. The adoption of FSP FAS 107-1 only impacted the Company’s disclosures and did not affect the Company’s financial condition or results of operations.</w:t>
      </w:r>
    </w:p>
    <w:p>
      <w:pPr>
        <w:spacing w:after="0" w:line="184"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b w:val="1"/>
          <w:bCs w:val="1"/>
          <w:color w:val="auto"/>
        </w:rPr>
        <w:t xml:space="preserve">SFAS 168: </w:t>
      </w:r>
      <w:r>
        <w:rPr>
          <w:rFonts w:ascii="Arial" w:cs="Arial" w:eastAsia="Arial" w:hAnsi="Arial"/>
          <w:sz w:val="16"/>
          <w:szCs w:val="16"/>
          <w:color w:val="auto"/>
        </w:rPr>
        <w:t>In June 2009, the FASB issued SFAS No. 168,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“FASB Accounting Standards Codification” and the Hierarchy of Generally Accepted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Accounting Principles </w:t>
      </w:r>
      <w:r>
        <w:rPr>
          <w:rFonts w:ascii="Arial" w:cs="Arial" w:eastAsia="Arial" w:hAnsi="Arial"/>
          <w:sz w:val="16"/>
          <w:szCs w:val="16"/>
          <w:color w:val="auto"/>
        </w:rPr>
        <w:t>(“SFAS 168”). SFAS 168 replaces SFAS No. 162,</w:t>
      </w:r>
      <w:r>
        <w:rPr>
          <w:rFonts w:ascii="Arial" w:cs="Arial" w:eastAsia="Arial" w:hAnsi="Arial"/>
          <w:sz w:val="16"/>
          <w:szCs w:val="16"/>
          <w:i w:val="1"/>
          <w:iCs w:val="1"/>
          <w:color w:val="auto"/>
        </w:rPr>
        <w:t xml:space="preserve"> The Hierarchy of Generally Accepted Accounting Principles</w:t>
      </w:r>
      <w:r>
        <w:rPr>
          <w:rFonts w:ascii="Arial" w:cs="Arial" w:eastAsia="Arial" w:hAnsi="Arial"/>
          <w:sz w:val="16"/>
          <w:szCs w:val="16"/>
          <w:color w:val="auto"/>
        </w:rPr>
        <w:t>, and establishes only</w:t>
      </w:r>
      <w:r>
        <w:rPr>
          <w:rFonts w:ascii="Arial" w:cs="Arial" w:eastAsia="Arial" w:hAnsi="Arial"/>
          <w:sz w:val="16"/>
          <w:szCs w:val="16"/>
          <w:i w:val="1"/>
          <w:iCs w:val="1"/>
          <w:color w:val="auto"/>
        </w:rPr>
        <w:t xml:space="preserve"> </w:t>
      </w:r>
      <w:r>
        <w:rPr>
          <w:rFonts w:ascii="Arial" w:cs="Arial" w:eastAsia="Arial" w:hAnsi="Arial"/>
          <w:sz w:val="16"/>
          <w:szCs w:val="16"/>
          <w:color w:val="auto"/>
        </w:rPr>
        <w:t>two levels of U.S. GAAP, authoritative and nonauthoritative. The FASB Accounting Standards Codification (the “Codification”) will become the source of authoritative, nongovernmental GAAP, except for rules and interpretive releases of the SEC, which are sources of authoritative GAAP for SEC registrants.</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All other nongrandfathered, non-SEC accounting literature not included in the Codification will become nonauthoritative. SFAS 168 is effective for financial statements for interim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or annual reporting periods ending after September 15, 2009. The Company will begin to use the new guidelines and numbering system prescribed by the Codification when referring to U.S. GAAP in the third quarter of fiscal 2009. As the Codification was not intended to change or alter existing U.S. GAAP, SFAS 168 will not have any impact on the Company’s financial statements or results of operations.</w:t>
      </w:r>
    </w:p>
    <w:p>
      <w:pPr>
        <w:spacing w:after="0" w:line="17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Comprehensive Loss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three and six months ended June 30, 2009 and 2008,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(8,705)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(10,261)</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(32,391)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equity investment loss</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Unrealized foreign exchange translation losses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7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740" w:type="dxa"/>
            <w:vAlign w:val="bottom"/>
          </w:tcPr>
          <w:p>
            <w:pPr>
              <w:spacing w:after="0"/>
              <w:rPr>
                <w:sz w:val="19"/>
                <w:szCs w:val="19"/>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(8,708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(32,655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January 1, 2008, the Company adopted SFAS No. 157 which established a framework for measuring the fair value of assets and liabilities pursuant to U.S. GAAP and expanded the required disclosure regarding assets and liabilities that are measured at fair value. SFAS 157 became applicable to the Company’s financial assets and liabilities on January 1, 2008 and became applicable to the Company’s nonfinancial assets and liabilities on January 1, 2009.</w:t>
      </w:r>
    </w:p>
    <w:p>
      <w:pPr>
        <w:spacing w:after="0" w:line="18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SFAS 157 defines fair value as the exchange price that would be received for an asset or paid to transfer a liability (an exit price) in the principal or most advantageous market for the asset or liability in an orderly transaction between market participants on the measurement date. Market participants are buyers and sellers in the principal market that are (i) independent, (ii) knowledgeable, (iii) able to transact, and (iv) willing to transact.</w:t>
      </w:r>
    </w:p>
    <w:p>
      <w:pPr>
        <w:sectPr>
          <w:pgSz w:w="11900" w:h="16838" w:orient="portrait"/>
          <w:cols w:equalWidth="0" w:num="1">
            <w:col w:w="11420"/>
          </w:cols>
          <w:pgMar w:left="240" w:top="125" w:right="239" w:bottom="0" w:gutter="0" w:footer="0" w:header="0"/>
        </w:sectPr>
      </w:pPr>
    </w:p>
    <w:bookmarkStart w:id="8" w:name="page9"/>
    <w:bookmarkEnd w:id="8"/>
    <w:p>
      <w:pPr>
        <w:ind w:right="160" w:firstLine="648"/>
        <w:spacing w:after="0" w:line="255" w:lineRule="auto"/>
        <w:rPr>
          <w:sz w:val="20"/>
          <w:szCs w:val="20"/>
          <w:color w:val="auto"/>
        </w:rPr>
      </w:pPr>
      <w:r>
        <w:rPr>
          <w:rFonts w:ascii="Arial" w:cs="Arial" w:eastAsia="Arial" w:hAnsi="Arial"/>
          <w:sz w:val="18"/>
          <w:szCs w:val="18"/>
          <w:color w:val="auto"/>
        </w:rPr>
        <w:t>SFAS 157 requires the use of valuation techniques that are consistent with the market approach, the income approach and/or the cost approach.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(replacement cost). Valuation techniques should be consistently applied. SFAS 157 also establishes a fair value hierarchy which requires an entity to maximize the use of observable inputs, where available, and minimize the use of unobservable inputs when measuring fair value. The standard describes three levels of inputs that may be used to measure fair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Quoted prices in active markets for identical assets or liabilities. The Company’s Level 1 assets consist of cash equivalents. As of June 30,</w:t>
            </w:r>
          </w:p>
        </w:tc>
      </w:tr>
      <w:tr>
        <w:trPr>
          <w:trHeight w:val="230"/>
        </w:trPr>
        <w:tc>
          <w:tcPr>
            <w:tcW w:w="92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2009 and December 31, 2008, the Company held cash equivalents of $31.4 million and $43.5 million in money market funds, respectively.</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Observable inputs other than Level 1 prices, such as quoted prices for similar assets or liabilities; quoted prices in markets that are not</w:t>
            </w:r>
          </w:p>
        </w:tc>
      </w:tr>
      <w:tr>
        <w:trPr>
          <w:trHeight w:val="216"/>
        </w:trPr>
        <w:tc>
          <w:tcPr>
            <w:tcW w:w="92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active; or other inputs that are observable or can be corroborated by observable market data for substantially the full term of the assets or</w:t>
            </w:r>
          </w:p>
        </w:tc>
      </w:tr>
      <w:tr>
        <w:trPr>
          <w:trHeight w:val="230"/>
        </w:trPr>
        <w:tc>
          <w:tcPr>
            <w:tcW w:w="92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liabilities. The Company had no Level 2 assets or liabilities at June 30, 2009 and December 31, 2008.</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Unobservable inputs that are supported by little or no market activity and that are significant to the fair value of the assets or liabilities. The</w:t>
            </w:r>
          </w:p>
        </w:tc>
      </w:tr>
      <w:tr>
        <w:trPr>
          <w:trHeight w:val="230"/>
        </w:trPr>
        <w:tc>
          <w:tcPr>
            <w:tcW w:w="92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Company had no Level 3 assets or liabilities at June 30, 2009 and December 31, 2008.</w:t>
            </w:r>
          </w:p>
        </w:tc>
      </w:tr>
      <w:tr>
        <w:trPr>
          <w:trHeight w:val="432"/>
        </w:trPr>
        <w:tc>
          <w:tcPr>
            <w:tcW w:w="92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12</w:t>
            </w:r>
          </w:p>
        </w:tc>
      </w:tr>
      <w:tr>
        <w:trPr>
          <w:trHeight w:val="132"/>
        </w:trPr>
        <w:tc>
          <w:tcPr>
            <w:tcW w:w="920" w:type="dxa"/>
            <w:vAlign w:val="bottom"/>
            <w:tcBorders>
              <w:bottom w:val="single" w:sz="8" w:color="010101"/>
            </w:tcBorders>
          </w:tcPr>
          <w:p>
            <w:pPr>
              <w:spacing w:after="0"/>
              <w:rPr>
                <w:sz w:val="11"/>
                <w:szCs w:val="11"/>
                <w:color w:val="auto"/>
              </w:rPr>
            </w:pPr>
          </w:p>
        </w:tc>
        <w:tc>
          <w:tcPr>
            <w:tcW w:w="10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57" w:lineRule="auto"/>
        <w:rPr>
          <w:sz w:val="20"/>
          <w:szCs w:val="20"/>
          <w:color w:val="auto"/>
        </w:rPr>
      </w:pPr>
      <w:r>
        <w:rPr>
          <w:rFonts w:ascii="Arial" w:cs="Arial" w:eastAsia="Arial" w:hAnsi="Arial"/>
          <w:sz w:val="18"/>
          <w:szCs w:val="18"/>
          <w:color w:val="auto"/>
        </w:rPr>
        <w:t>The Company’s financial instruments consist mainly of cash and cash equivalents, short-term accounts receivable, accounts payable and debt obligations.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of the loan payable and note payable approximates its carrying value at June 30, 2009.</w:t>
      </w:r>
    </w:p>
    <w:p>
      <w:pPr>
        <w:spacing w:after="0" w:line="18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June 30, 2009, the Company had two stock-based compensation plans: the 2004 Employee Stock Purchase Plan (the “2004 ESPP Plan”) and the 2008 Stock Option and Incentive Plan (the “2008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All full time employees of the Company are eligible to participate in the 2004 ESPP Plan. A total of 12,500 shares of common stock are reserved for issuance under the 2004 ESPP Plan. Under the 2004 ESPP Plan, each participating employee may contribute up to 15% of his or her compensation to purchase up to 100 shares of common stock per year in any six-month offering period and may withdraw from the offering at any time before stock is purchased. Participation terminates automatically upon termination of employment. The purchase price per share of common stock in an offering is 85% of the lower of its fair market value at either the beginning of the offering period or the applicable exercise date.</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current purchase period began on January 1, 2009. During the six months ended June 30, 2009, the Company issued 1,497 shares under the 2004 ESPP Plan. There were no shares issued under the 2004 ESPP Plan during the six months ended June 30, 2008 or for three months ended June 30, 2009 and 2008. At June 30, 2009, 8,388 shares were available for issuance under the 2004 ESPP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2008 Plan allows for a maximum of 1,500,000 shares of common stock to be granted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The 2008 Plan also provides for discretionary grants of non-qualified stock options to non-employee directors. Vesting of all employee and non-employee director stock option awards is accelerated upon a change in control as defined in the 2008 Plan.</w:t>
      </w:r>
    </w:p>
    <w:p>
      <w:pPr>
        <w:spacing w:after="0" w:line="17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connection with the AVANT Merger, the Company assumed the obligations of Celldex Research under Celldex Research’s 2005 Equity Incentive Plan (the “Celldex Research 2005 Plan”) and each outstanding option to purchase Celldex Research common stock (a “Celldex Research Stock Option”) granted under the Celldex Research 2005 Plan. Each Celldex Research Stock Option assumed by the Company is deemed to constitute an option to acquire, on the same terms and conditions as were applicable under the Celldex Research 2005 Plan, shares of the Company’s common stock that have been adjusted consistent with the ratio at which the Company’s common stock was issued in exchange for Celldex Research’s common stock in the AVANT Merger. As of March 7, 2008, the Company assumed options to acquire 1,446,913 shares of its common stock at a weighted average exercise price of $8.35. The Celldex Research Stock Options generally vest over a two-to four-year period and the term of each option cannot exceed ten years from the date of grant. No additional awards will be issued under the Celldex Research 2005 Plan.</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stock option activity under the 2008 Plan and the Celldex Research 2005 Plan for the six months ended June 30, 2009 is as follows:</w:t>
      </w:r>
    </w:p>
    <w:p>
      <w:pPr>
        <w:sectPr>
          <w:pgSz w:w="11900" w:h="16838" w:orient="portrait"/>
          <w:cols w:equalWidth="0" w:num="1">
            <w:col w:w="11460"/>
          </w:cols>
          <w:pgMar w:left="240" w:top="125" w:right="19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center"/>
              <w:ind w:left="267"/>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left="267"/>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2,070,993</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8.39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713,075</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8.50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(57,400)</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8.16</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Canceled/forfeited</w:t>
            </w: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(6,685)</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8.42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2,719,983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8.43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June 30, 2009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2,515,607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8.43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Options Exercisable at June 30, 2009</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1,536,310</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8.49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137,828</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line="201" w:lineRule="exact"/>
              <w:rPr>
                <w:sz w:val="20"/>
                <w:szCs w:val="20"/>
                <w:color w:val="auto"/>
              </w:rPr>
            </w:pPr>
            <w:r>
              <w:rPr>
                <w:rFonts w:ascii="Arial" w:cs="Arial" w:eastAsia="Arial" w:hAnsi="Arial"/>
                <w:sz w:val="18"/>
                <w:szCs w:val="18"/>
                <w:color w:val="auto"/>
                <w:w w:val="94"/>
              </w:rPr>
              <w:t>Weighted Average Fair Value of Options Granted During the six months ended June 30,</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jc w:val="right"/>
              <w:ind w:right="6010"/>
              <w:spacing w:after="0"/>
              <w:rPr>
                <w:sz w:val="20"/>
                <w:szCs w:val="20"/>
                <w:color w:val="auto"/>
              </w:rPr>
            </w:pPr>
            <w:r>
              <w:rPr>
                <w:rFonts w:ascii="Arial" w:cs="Arial" w:eastAsia="Arial" w:hAnsi="Arial"/>
                <w:sz w:val="18"/>
                <w:szCs w:val="18"/>
                <w:color w:val="auto"/>
              </w:rPr>
              <w:t>2009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options outstanding at June 30, 2009 was $0.1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Issued to Executive Officers</w:t>
      </w:r>
    </w:p>
    <w:p>
      <w:pPr>
        <w:spacing w:after="0" w:line="225" w:lineRule="exact"/>
        <w:rPr>
          <w:sz w:val="20"/>
          <w:szCs w:val="20"/>
          <w:color w:val="auto"/>
        </w:rPr>
      </w:pPr>
    </w:p>
    <w:p>
      <w:pPr>
        <w:ind w:right="260" w:firstLine="630"/>
        <w:spacing w:after="0" w:line="277" w:lineRule="auto"/>
        <w:rPr>
          <w:sz w:val="20"/>
          <w:szCs w:val="20"/>
          <w:color w:val="auto"/>
        </w:rPr>
      </w:pPr>
      <w:r>
        <w:rPr>
          <w:rFonts w:ascii="Arial" w:cs="Arial" w:eastAsia="Arial" w:hAnsi="Arial"/>
          <w:sz w:val="18"/>
          <w:szCs w:val="18"/>
          <w:color w:val="auto"/>
        </w:rPr>
        <w:t>In January 2009, the Company granted 29,340 shares of common stock from the 2008 Plan to its executive officers. The value of these shares was $0.3 million on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employee and non-employee stock options and employee stock purchases for the three and six months ended June 30, 2009 and 2008,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330</w:t>
            </w:r>
          </w:p>
        </w:tc>
        <w:tc>
          <w:tcPr>
            <w:tcW w:w="9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1,043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Impact on basic and diluted net loss per common share</w:t>
            </w:r>
          </w:p>
        </w:tc>
        <w:tc>
          <w:tcPr>
            <w:tcW w:w="142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connection with the AVANT Merger, the Company accounted for the exchange of Celldex Research Stock Options into options to acquire shares of the Company’s common stock as a modification under the provisions of SFAS 123(R). The modification affected a total of 15 employees, including members of the Celldex Research board of directors. The total incremental compensation cost resulting from the modifications was $2.6 million, of which $0.9 million was related to vested awards and was recognized immediately as stock-based compensation during the three months ended March 31, 2008.</w:t>
      </w:r>
    </w:p>
    <w:p>
      <w:pPr>
        <w:spacing w:after="0" w:line="15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June 30, 2009, total compensation cost related to non-vested employee and non-employee director stock options not yet recognized was $4.6 million, net of estimated forfeitures, which is expected to be recognized as expense over a weighted average period of 2.9 years. The total fair value of employee and non-employee director stock options vested during the three and six months ended June 30, 2009 was $0.6 million and $1.9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values of employee and non-employee stock options and employee stock purchases granted during the three and six months ended June 30, 2009 and 2008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(employees)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stock price volatility (non-employee directors)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(2004 ESPP)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 (employees)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6.1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6.1-6.3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3-6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(non-employee directors)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 years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 years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term (2004 ESPP)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calculates the expected term using the simplified method for “plain-vanilla” stock options in accordance with SEC Staff Accounting Bulletin No. 110 (“SAB 110”). The simplified method estimates the expected term as the mid-point between the vesting date and the expiration date. The Company uses its daily historical stock price volatility consistent with the expected term of grant as the basis for its expected volatility assumption in accordance with SFAS 123(R).</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risk-free interest rate is based upon on the yield of U.S. Treasury securities consistent with the expected term of the option. The dividend yield assumption is based on the Company’s history of zero dividend payouts and expectation that no dividends will be paid in the foreseeable future. Forfeitures</w:t>
      </w:r>
    </w:p>
    <w:p>
      <w:pPr>
        <w:sectPr>
          <w:pgSz w:w="11900" w:h="16838" w:orient="portrait"/>
          <w:cols w:equalWidth="0" w:num="1">
            <w:col w:w="11420"/>
          </w:cols>
          <w:pgMar w:left="240" w:top="104" w:right="239" w:bottom="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t>were estimated based on historical experience by applying a ten and zero percent forfeiture rate to employee and non-employee director stock option awards granted during the three and six months ended June 30 2009, respectively.</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Gain on Sale of Intangible Asset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December 31, 2008, the Company had recorded $0.3 million in intangible assets related to the Megan poultry vaccines as a long-lived asset to be disposed of by sale due to the Company’s negotiations with Lohmann Animal Health International (“LAHI”). On January 9, 2009, the Company entered into a purchase agreement (“LAHI Agreement”) to sell its poultry vaccines assets to LAHI. Under the LAHI Agreement, LAHI paid an upfront fee of $0.9 million and agreed to pay potential milestone payments. The Company recorded a gain of $0.6 million related to the LAHI Agreement based on the upfront fee less the net book value of the related asset.</w:t>
      </w:r>
    </w:p>
    <w:p>
      <w:pPr>
        <w:spacing w:after="0" w:line="18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Effective with the AVANT Merger, the Company became a combined group for tax reporting purposes. As a result of the AVANT Merger, all of the prior tax attributes of the combined group will carry forward for potential future use subject to potential limitations.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Massachusetts and New Jersey are the two states in which the Company primarily operates or has operated and has income tax nexus. Open federal and state return years subject to examination by major tax jurisdictions include the tax years ended December 31, 2005, 2006, 2007 and 2008 (which has not yet been filed). Carryforward attributes that were generated prior to 2005 may still be adjusted upon examination by the Internal Revenue Service if they either have been or will be used in a future period. The Company is currently not under examination by the Internal Revenue Service or any other jurisdictions for any tax years.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2009 and December 31, 2008.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Revenue Arrangements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 rotavirus vaccine in 1995 and owes a license fee of 30% to Cincinnati Children’s Hospital Medical Center (“CCH”) on net royalties received from Glaxo. The Company is obligated to maintain a license with CCH with respect to the Glaxo agreement. All licensing fees are included in research and development expense. The term of the Glaxo agreement is through the expiration of the last of the relevant patents covered by the agreement, although Glaxo may terminate the agreement upon 90 days prior written notice.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2005, the Company entered into an agreement whereby an affiliate of PRF purchased an interest in the net royalties the Company will receive on worldwide sales of Rotarix®. Under the PRF agreement, the Company retained 50% of Glaxo milestone payments beginning on the effective date of the agreement with PRF, with 70% and 30% of the remaining balance payable to PRF and CCH, respectively. The Company’s retained interests in Rotarix® net royalties which were not sold to PRF are recorded as product royalty revenue and a corresponding amount that is payable to CCH is recorded as royalty expense, which is included in research and development expense. Product royalty revenue and royalty expense related to the Company’s retained interests in Rotarix® was $1.2 million and $3.2 million for the three and six months ended June 30, 2009, respectively, and $0.8 million for the three and six months ended June 30, 2008.</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April 3, 2008, Rotarix® received FDA market approval for the prevention of rotavirus gastroenteritis in infants, which triggered a $1.5 million milestone payment to the Company from Glaxo, 50% of which the Company has retained under its agreement with PRF. During the three months ended June 30, 2008, the Company also recorded $0.2 million in revenue and an offsetting amount in royalty expense for the payable due to CCH for its portion of the Glaxo milestone. The market launch of Rotarix® by Glaxo in the U.S. market during the three months ended September 30, 2008 resulted in a $10 million milestone payment to the Company from PRF, which the Company received on October 1, 2008. As of March 31, 2008, the Company recorded the expected present value of the $10 million milestone payment due from PRF of $9.1 million, the purchase accounting value assigned to the PRF milestone payment at the time of the AVANT Merger. During the three months ended September 30, 2008, the Company recognized the balance of $0.9 million as other income in the condensed consolidated statement of operations. The Company has received $60 million in total milestone payments under the PRF agreement. No additional milestone payments are due from PRF under the agreement.</w:t>
      </w:r>
    </w:p>
    <w:p>
      <w:pPr>
        <w:spacing w:after="0" w:line="18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Royalty rates on Rotarix®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 vaccine at the lower of the two royalty rates under their 1997 license agreement. Glaxo’s decision to pay the lower royalty rate (which is 70% of the full rate) is based upon Glaxo’s assertion that Rotarix® is not covered by the patents Glaxo licensed from the Company in Australia and certain European countries. The Company is currently evaluating the basis for Glaxo’s action and the Company’s potential remedies. If Glaxo’s position stands, the royalties to which PRF is entitled will no longer be limited by a $27.5 million annual threshold, which the Company projected may have been reached in later years as sales of Rotarix® increased. Irrespective of Glaxo’s position, the Company will still retain approximately 65% of the royalties on worldwide sales of Rotarix® once PRF receives 2.45 times the aggregate cash payments of $60 million it made to the Company, though the potential amount of such residual royalties will be lower if Glaxo’s position stands.</w:t>
      </w:r>
    </w:p>
    <w:p>
      <w:pPr>
        <w:sectPr>
          <w:pgSz w:w="11900" w:h="16838" w:orient="portrait"/>
          <w:cols w:equalWidth="0" w:num="1">
            <w:col w:w="11420"/>
          </w:cols>
          <w:pgMar w:left="240" w:top="125"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 License and Development Agreement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April 16, 2008, the Company and Pfizer entered into a License and Development Agreement (the “Pfizer Agreement”) under which Pfizer was granted an exclusive worldwide license to a therapeutic cancer vaccine candidate, CDX-110, in Phase 2 development for the treatment of glioblastoma multiforme. The Pfizer Agreement also gives Pfizer exclusive rights to the use of EGFRvIII vaccines in other potential indications. Under the Pfizer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on May 19, 2008.</w:t>
      </w:r>
    </w:p>
    <w:p>
      <w:pPr>
        <w:spacing w:after="0" w:line="16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has applied the provisions of EITF 00-21 and determined that its performance obligations under this collaboration should be accounted for as a single unit of accounting. The Company’s deliverables under this collaboration primarily include an exclusive license to its CDX-110 product candidate and its EGFRvIII technologies, research and development services as required under the collaboration and participation in the joint clinical development committee. The Company has estimated that its performance period under the collaboration will be 9.5 years based on an assessment of the period over which the Company will have met its performance obligations under the collaboration. Revenue, including research and development reimbursements, is being recognized on a straight-line basis over this period using the Contingency Adjusted Performance Model (“CAPM”). The $40 million upfront payment, less the $0.9 million in excess fair value for the Company’s common stock discussed above, was recorded as deferred revenue and is being amortized over the 9.5-year performance period at a rate of $1.0 million per quarter.</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agreement also provides for reimbursement by Pfizer of all costs incurred by the Company in connection with the collaboration since the effective date. The Company invoices Pfizer monthly for its reimbursable costs and records the invoiced amount as deferred revenue. These deferred revenue amounts are amortized to revenue over the expected 9.5-year performance period on a straight-line basis using the CAPM model. The Company incurred and invoiced Pfizer reimbursable costs related to the Pfizer collaboration of $1.1 million and $2.6 million for the three and six months ended June 30, 2009, respectively, and $1.4 million for the three and six months ended June 30, 2008.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product development and licensing agreements revenue under the Pfizer Agreement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Up-front portion</w:t>
            </w:r>
          </w:p>
        </w:tc>
        <w:tc>
          <w:tcPr>
            <w:tcW w:w="242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Reimbursable costs portion</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0"/>
        </w:trPr>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2009, the Company had total deferred revenue of $41.1 million related to the Pfizer Agreement.</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connection with the Pfizer Agreement as discussed further in Note 9, the Company paid a total of $6.9 million in sublicense fees to Duke University and Thomas Jefferson University. The Company recorded these deferred sublicense fees to other assets in the condensed consolidated balance sheets and is amortizing them over the 9.5-year performance period at a rate of $0.2 million per quarter. At June 30, 2009, the unamortized balance of deferred costs was $6.1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Animal Health Agreement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entered into a licensing agreement in December 2000 with Pfizer’s Animal Health Division whereby Pfizer has licensed Megan’s technology for the development of animal health and food safety vaccines. Under the agreement, the Company may receive additional milestone payments of up to $3 million based upon attainment of specified milestones. The Company may receive royalty payments on eventual product sales. The term of this agreement is through the expiration of the last of the patents covered by the agreement. The Company has no obligation to incur any research and development costs in connection with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 and Gates Grand Challenge Award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collaborating on the development of a vaccine, CDX-2401, aimed at providing protection from infection with HIV, the virus known to cause AIDS. This program is in a Bill &amp; Melinda Gates Foundation funded partnership with collaborators at Rockefeller and the Aaron Diamond AIDS Research Center, who have shown in model systems that protective immunity can be induced with such a vaccine. Preclinical studies and manufacturing development are in progress and payments to the Company are made on a time and materials basis. The Company recognized grant revenue from Rockefeller of $0.1 million for the six months ended June 30, 2009 and $0.2 million for the three and six months ended June 30, 2008. The Company recognized no grant revenue from Rockefeller for the three months ended June 30, 2009. At June 30, 2009, the Company had total deferred revenue of $0.3 million related to the Rockefeller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 Technologies, Inc. (“VTI”)</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On January 12, 2009, the Company entered into a license agreement with VTI under which the Company granted a worldwide exclusive license to VTI to develop and commercialize the Company’s CholeraGarde® and ETEC vaccine programs. Financial terms of the agreement with VTI included an upfront license fee and provide for milestone payments and royalties on net sales of licensed products during the term of the agreement.</w:t>
      </w:r>
    </w:p>
    <w:p>
      <w:pPr>
        <w:sectPr>
          <w:pgSz w:w="11900" w:h="16838" w:orient="portrait"/>
          <w:cols w:equalWidth="0" w:num="1">
            <w:col w:w="11420"/>
          </w:cols>
          <w:pgMar w:left="240" w:top="368" w:right="239" w:bottom="0" w:gutter="0" w:footer="0" w:header="0"/>
        </w:sectPr>
      </w:pPr>
    </w:p>
    <w:bookmarkStart w:id="12" w:name="page13"/>
    <w:bookmarkEnd w:id="12"/>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Collaboration Agreements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has entered into licensing agreements with several universities and research organizations. Under the terms of these agreements,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and continuing patent prosecution costs. In addition, the Company has committed to make potential future milestone payments to third parties of up to approximately $121 million as part of our various collaborations including licensing and development programs. Payments under these agreements generally become due and payable only upon achievement of certain developmental, regulatory and/or commercial milestones. Nonrefundable license fee expense was $0.1 million and $0.3 million for the three months ended June 30, 2009 and 2008 and $0.4 million and $0.3 million for the six months ended June 30, 2009 and 2008,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(“Medarex”)</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Medarex, a related party to the Company, owns approximately 18.6% of the Company’s outstanding common stock at June 30, 2009. The Company and Medarex have entered into the following agreements, each of which was approved by a majority of its independent directors who did not have an interest in the transaction. These agreements include:</w:t>
      </w:r>
    </w:p>
    <w:p>
      <w:pPr>
        <w:spacing w:after="0" w:line="181" w:lineRule="exact"/>
        <w:rPr>
          <w:sz w:val="20"/>
          <w:szCs w:val="20"/>
          <w:color w:val="auto"/>
        </w:rPr>
      </w:pPr>
    </w:p>
    <w:p>
      <w:pPr>
        <w:ind w:left="980" w:right="1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w:t>
      </w:r>
    </w:p>
    <w:p>
      <w:pPr>
        <w:spacing w:after="0" w:line="170" w:lineRule="exact"/>
        <w:rPr>
          <w:rFonts w:ascii="Arial" w:cs="Arial" w:eastAsia="Arial" w:hAnsi="Arial"/>
          <w:sz w:val="18"/>
          <w:szCs w:val="18"/>
          <w:color w:val="auto"/>
        </w:rPr>
      </w:pPr>
    </w:p>
    <w:p>
      <w:pPr>
        <w:ind w:left="980" w:right="180" w:hanging="324"/>
        <w:spacing w:after="0" w:line="342" w:lineRule="auto"/>
        <w:tabs>
          <w:tab w:leader="none" w:pos="9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Research and Commercialization Agreement, as amended, (“Research and Commercialization Agreement”) that provides the Company with certain rights to obtain exclusive commercial licenses to proprietary monoclonal antibodies raised against certain antigens;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Master Services Agreement, that sets forth Medarex’s agreement to provide the Company with certain services to be mutually agreed upon, which may include, among others, clinical and regulatory assistance.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Under the terms of the Assignment and License Agreement and Research and Commercialization Agreement, the Company may be required to pay license fees and milestone payments to Medarex with respect to the development of any products containing such licensed antibodies. These fees and milestones may total up to $7 to $10 million per licensed antibody if a product containing such licensed antibody receives approval from the FDA and/or equivalent foreign agencies. Potential future milestone payments may or may not be triggered, vary in size and are generally payable only upon achievement of certain clinical and regulatory milestones. No licensed antibody is currently in clinical development.</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may also be required to pay royalties on any product sales containing licensed antibodies. The royalties will be payable on a country-by-country and product-by-product basis until the date which is the later of: (i) the expiration of the last-to-expire of the Medarex patents covering the product in such country or (ii) the tenth anniversary of the first commercial sale of a product in such country. The Company will also be responsible for the payment of any royalties, license fees and milestone and other payments due to third parties if the Company licenses any additional technology in order to commercialize such products. To date, the Company has not made any royalty payments on sales of any products and believes it is at least a number of years away from selling any products that would require the Company to make any such royalty payments. Whether the Company will be obligated to make milestone or royalty payments in the future is subject to the success of the Company’s product development efforts and, accordingly, is inherently uncertain.</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and Medarex entered into a settlement and mutual release agreement on October 19, 2007, whereby the parties agreed to a settlement with respect to a disputed return of capital related to certain unsuccessful initial public offering costs that were funded by Medarex on behalf of the Company in prior years. The Company issued to Medarex 351,692 shares of the Company’s common stock equal in value to $3.0 million, based on the per share price of $8.64 set on the second trading day prior to the closing date of the AVANT Merger. Both parties have agreed to mutual releases under the settlement and mutual release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a payable due Medarex related to the Master Services Agreement of $3.0 million at June 30, 2009 and December 31, 2008.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November 1,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In addition, the Company acknowledges that Rockefeller has granted Howard Hughes Medical Institute (“HHMI”) a paid-up, nonexclusive, irrevocable license to use the patent rights, biological materials, and technical information for HHMI’s research purposes, but with no right to sublicense. The Company may also be required to pay royalties on any product sales. The royalties will be payable on a country-by-country and licensed product-by-licensed product basis until the date which is the later of (i) the expiration of the last to expire of the patents covering the licensed product in such country or (ii) ten years following the first commercial sale of a licensed product in such country.</w:t>
      </w:r>
    </w:p>
    <w:p>
      <w:pPr>
        <w:spacing w:after="0" w:line="19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may be required to pay license fees and milestone payments to Rockefeller with respect to development of the human DEC-205 receptor. These fees and milestones may total up to $2 million to $4 million per product candidate that receives approval from the FDA and equivalent foreign agencies.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of Duke University (“Duke”)</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On September 1, 2006, the Company and Duke entered into a license agreement that gave the Company access and reference to the clinical data generated by Duke and its collaborators in order for the Company to generate its own filing with the FDA relating to its CDX-110 product.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may be required to pay license fees and milestone payments to Duke with respect to development of the CDX-110 product. These fees and milestones may total up to $1.2 million if CDX-110 receives approval from the FDA and equivalent foreign agencies. The Company may also be required to pay royalties upon approval of CDX-110. The royalties will be payable on a country-by-country and licensed product-by-licensed product basis until the date of the expiration of the last to expire of the patents covering the licensed product in such country.</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connection with the Pfizer Agreement discussed in Note 8, the Company determined that $2.4 million was payable to Duke as a sublicense fee. As provided for under the Duke license, the Company chose to pay 50% of this amount to Duke in the form of 81,512 shares of the Company’s common stock in October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October 20, 2006, the Company and Ludwig entered into an agreement for the nonexclusive rights to six cancer tumor targets for use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combination with the Company’s APC Targeting Technology. The term of the agreement is for ten years. Under the Ludwig license, the Company agreed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an annual license fee until such antigens enter a randomized Phase 1 clinical trial. In addition, the Company may be required to pay license fees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payments to Ludwig for the use of the cancer targets in combination with the Company’s technology. The fees and milestones may total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million to $2.5 million on a product candidate that receives approval from the FDA and equivalent foreign agencies. The Company may also be required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pay royalties upon approval of any product candidate. The royalties will be payable on a country-by-country and licensed product-by-licensed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basis until the date of the expiration of the last to expire of the patents covering the licensed product in such country.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October 2005, the Company completed the acquisition of Alteris. The Company may be required to pay Alteris up to $5.0 million upon obtaining the first approval for commercial sale of an EGFRvIII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February 2003, the Company entered into three exclusive license agreements with TJU. Under these licenses, the Company will be obligated to pay TJU milestone payments which may total up to $3 million for the first licensed product developed during the term of the license agreements, an annual license fee, patent and other expenses associated with licenses, as well as royalties on net sales of licensed products during the term of the license agreements. In the event that TJU provides notice of default and the default is not cured within 60 days of such notice, TJU may terminate the license agreements.</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Pfizer Agreement discussed in Note 8, the Company amended its licenses with TJU to add additional sublicensing rights and paid $4.5 million in sublicense fees to TJU in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 (“3M Company”)</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On June 11, 2008, the Company and 3M Company entered into a license agreement for the exclusive worldwide rights to access 3M Company’s proprietary Immune Response Modifier, Resiquimod™, (and additional Toll-Like Receptor 7/8 agonists (“TLR”)) for clinical study with the Company’s proprietary APC Targeting Technology, for use as vaccine adjuvants, with the right to sublicense the technology.</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paid 3M Company a one-time upfront license fee which was charged to research and development expense during the three months ended June 30, 2008. The Company may be required to pay annual license fees and milestone payments to 3M Company with respect to development of Resiquimod™.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In November 2008, the Company entered into an Exclusive Patent and Know-How License Agreement with Southampton to develop human antibodies towards CD27, a potentially important target for immunotherapy of various cancers. CD27 is a critical molecule in the activation pathway of lymphocytes, is downstream from CD40, and may provide a novel way to regulate the immune responses. In preclinical models, antibodies to CD27 have been shown to mediate anti-tumor effects alone, and may be particularly effective in combination with the Company’s other immunotherapies.</w:t>
      </w:r>
    </w:p>
    <w:p>
      <w:pPr>
        <w:spacing w:after="0" w:line="15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paid Southampton a one-time upfront license fee which was charged to research and development expense during the three months ended December 31, 2008. The Company may be required to pay annual license fees and milestone payments to Southampton with respect to development of CD27.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March 2009, the Company entered into a license agreement with Amgen to expand its Precision Targeted Immunotherapy Platform by acquiring exclusive rights to FMS-like tyrosine kinase 3 ligand (Flt3L) and CD40 ligand (CD40L). Flt3L and CD40L are immune modulating molecules that increase the numbers and activity of immune cells that control immune responses. The Company paid Amgen a one-time upfront license fee which was charged to research and development expense in the three months ended March 31, 2009. The Company may be required to pay milestone and royalty payments to Amgen with respect to development and commercialization of Flt3L and CD40L.</w:t>
      </w:r>
    </w:p>
    <w:p>
      <w:pPr>
        <w:spacing w:after="0" w:line="16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Arrangements</w:t>
      </w:r>
    </w:p>
    <w:p>
      <w:pPr>
        <w:sectPr>
          <w:pgSz w:w="11900" w:h="16838" w:orient="portrait"/>
          <w:cols w:equalWidth="0" w:num="1">
            <w:col w:w="11420"/>
          </w:cols>
          <w:pgMar w:left="240" w:top="368" w:right="239" w:bottom="0" w:gutter="0" w:footer="0" w:header="0"/>
        </w:sectPr>
      </w:pPr>
    </w:p>
    <w:bookmarkStart w:id="14" w:name="page15"/>
    <w:bookmarkEnd w:id="14"/>
    <w:p>
      <w:pPr>
        <w:ind w:right="80" w:firstLine="648"/>
        <w:spacing w:after="0" w:line="255" w:lineRule="auto"/>
        <w:rPr>
          <w:sz w:val="20"/>
          <w:szCs w:val="20"/>
          <w:color w:val="auto"/>
        </w:rPr>
      </w:pPr>
      <w:r>
        <w:rPr>
          <w:rFonts w:ascii="Arial" w:cs="Arial" w:eastAsia="Arial" w:hAnsi="Arial"/>
          <w:sz w:val="18"/>
          <w:szCs w:val="18"/>
          <w:color w:val="auto"/>
        </w:rPr>
        <w:t>Dr. Ronald C. Newbold, former Senior Vice President, Business Development, resigned from his position effective March 1, 2009 pursuant to the provision of his employment agreement that deems a resignation within the year following a change of control (in this case, the AVANT Merger) as a termination resulting from a change of control. In accordance with Dr. Newbold’s employment agreement, the Company recorded severance expense during the three months ended March 31, 2009 of $0.4 million. In addition, the Company recorded stock-based compensation expense during the three months ended March 31, 2009 of $0.4 million related to the acceleration of vesting of options to purchase 107,485 shares of Company common stock as provided for under Dr. Newbold’s employment agreement.</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and Dr. Una S. Ryan, former President and Chief Executive Officer of the Company, executed a separation agreement effective July 16, 2008 (the “Separation Agreement”) setting forth such terms regarding Dr. Ryan’s separation from the Company. Pursuant to the Separation Agreement, the Company recorded severance expense during the three months ended June 30, 2008 of $1.4 million. The Separation Agreement also provided for the vesting of options to purchase 153,125 shares of Company common stock (of the options to purchase 612,500 shares of Company common stock which had been granted to Dr. Ryan on March 7, 2008). The remainder of Dr. Ryan’s options terminated as of July 16, 2008. The Company recorded stock-based compensation expense of $1.3 million to general and administrative expense related to the acceleration of vesting of options in July 2008, when the criteria for establishing a grant date under SFAS 123(R) were met.</w:t>
      </w:r>
    </w:p>
    <w:p>
      <w:pPr>
        <w:spacing w:after="0" w:line="174"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AVANT Merger</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part of the AVANT Merger, the Company acquired the CDX-1135, cholera, ETEC, typhoid fever and cholesterol management vaccine programs. In January 2009, the Company out-licensed its cholera and ETEC vaccine programs to VTI and no longer expects to incur significant costs on these projects. The Company is presently seeking partners for its typhoid fever and cholesterol management vaccine programs to complete the clinical development and commercialization of these projects. The Company does not expect to incur significant resources on these programs going forward. The Company is continuing the development of CDX-1135 and expects to incur approximately $6.3 million to move this project to the point of potentially out-licensing it to a third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Estimated revenues from the typhoid-ETEC-cholera vaccine, the cholesterol management vaccine, and CDX-1135 are expected to be generated beginning in 2014, 2015 and 2014, respectively.</w:t>
      </w:r>
    </w:p>
    <w:p>
      <w:pPr>
        <w:spacing w:after="0" w:line="170"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raise sufficient capital on terms acceptable to us, or at all;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or CuraGen’s stockholders to approve the CuraGen Merger;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or CuraGen’s inability to satisfy the closing conditions of, and to consummate, the CuraGen Merger;</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integrate our and CuraGen’s businesses, to integrate our and CuraGen’s business without causing delays in the research and development necessary to select drug development candidates and/or delays in clinical trials, and to operate the combined business efficiently;</w:t>
      </w:r>
    </w:p>
    <w:p>
      <w:pPr>
        <w:spacing w:after="0" w:line="181"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adapt our vectoring systems to develop new, safe and effective orally administered vaccines against disease causing agents;</w:t>
      </w:r>
    </w:p>
    <w:p>
      <w:pPr>
        <w:spacing w:after="0" w:line="236" w:lineRule="exact"/>
        <w:rPr>
          <w:rFonts w:ascii="Arial" w:cs="Arial" w:eastAsia="Arial" w:hAnsi="Arial"/>
          <w:sz w:val="17"/>
          <w:szCs w:val="17"/>
          <w:color w:val="auto"/>
        </w:rPr>
      </w:pPr>
    </w:p>
    <w:p>
      <w:pPr>
        <w:ind w:left="980" w:right="140" w:hanging="324"/>
        <w:spacing w:after="0" w:line="264"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CDX-110, CDX-1307, Ty800, CDX-1135 (formerly TP10), CDX-1401 and other products and the growth of the markets for those product candidates;</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CDX-110, CDX-1307, Ty800, CDX-1135 (formerly TP10), CDX-1401 and other preclinical and clinical testing;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 including CETi;</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25" w:lineRule="exact"/>
        <w:rPr>
          <w:rFonts w:ascii="Arial" w:cs="Arial" w:eastAsia="Arial" w:hAnsi="Arial"/>
          <w:sz w:val="18"/>
          <w:szCs w:val="18"/>
          <w:color w:val="auto"/>
        </w:rPr>
      </w:pPr>
    </w:p>
    <w:p>
      <w:pPr>
        <w:jc w:val="both"/>
        <w:ind w:left="980" w:right="320" w:hanging="324"/>
        <w:spacing w:after="0" w:line="264"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Pfizer’s plans for CDX-110, GlaxoSmithKline’s plans with respect to Rotarix® and Vaccine Technologies’ plans concerning the CholeraGarde® (Peru-15) and ETEC E. coli vaccines, which are not within our control, and our ability to maintain strong, mutually beneficial relationships with those partners;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ectPr>
          <w:pgSz w:w="11900" w:h="16838" w:orient="portrait"/>
          <w:cols w:equalWidth="0" w:num="1">
            <w:col w:w="11420"/>
          </w:cols>
          <w:pgMar w:left="240" w:top="125" w:right="239" w:bottom="0" w:gutter="0" w:footer="0" w:header="0"/>
        </w:sectPr>
      </w:pPr>
    </w:p>
    <w:bookmarkStart w:id="15" w:name="page16"/>
    <w:bookmarkEnd w:id="15"/>
    <w:p>
      <w:pPr>
        <w:spacing w:after="0" w:line="27" w:lineRule="exact"/>
        <w:rPr>
          <w:sz w:val="20"/>
          <w:szCs w:val="20"/>
          <w:color w:val="auto"/>
        </w:rPr>
      </w:pPr>
    </w:p>
    <w:p>
      <w:pPr>
        <w:ind w:left="980" w:right="30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2008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a biopharmaceutical company that uses novel applications of immunology to develop products for the prevention and treatment of diseases. Using our Precision Targeted Immunotherapy Platform, we are developing a broad portfolio of vaccines, therapeutic antibodies and other targeted immunotherapeutics addressing a wide range of applications including oncology, inflammatory and infectious diseases. These include therapeutic cancer vaccines, monoclonal antibodies, single-dose, oral vaccines that protect against important disease-causing infectious agents and a treatment to reduce complement-mediated tissue damage. We are advancing a robust pipeline of clinical and preclinical product candidates, the most advanced of which are for treatment of various cancers. Our lead programs are therapeutic cancer vaccines designed to instruct the patient’s immune system to recognize and destroy cancer cells.</w:t>
      </w:r>
    </w:p>
    <w:p>
      <w:pPr>
        <w:spacing w:after="0" w:line="189"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Our strategy is to demonstrate proof-of-concept for our product candidates before leveraging their value through partnerships or, in appropriate situations, continuing late stage development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Our current collaborations encompass the commercialization of an oral human rotavirus vaccine, the development of oral cholera, typhoid fever, ETEC and HIV vaccines, and a therapeutic brain cancer vaccine. Our product candidates address large market opportunities for which we believe current therapies are inadequate or non-existent.</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targeting our efforts where we can add the greatest value to the development of our products and technologies. We out-license technology and programs that do not match our development focus or where we lack sufficient resources for the technology’s or program’s efficient development or where certain uses of the technology are outside of our focus. Our goal is to demonstrate clinical proof-of-concept for each product, and then seek excellent partners to help see those products through to commercialization.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between AVANT and Celldex</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March 7, 2008, we (formerly known as AVANT Immunotherapeutics, Inc.) (“AVANT”) merged with and into Celldex Research Corporation (formerly known as Celldex Therapeutics, Inc.) (“Celldex Research”), a privately-held company, (the “AVANT Merger”). Effective October 1, 2008, we changed our name from AVANT Immunotherapeutics, Inc. to Celldex Therapeutics, Inc.</w:t>
      </w:r>
    </w:p>
    <w:p>
      <w:pPr>
        <w:spacing w:after="0" w:line="18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AVANT Merger was accounted for using the purchase method of accounting and was treated as an acquisition by Celldex Research of AVANT even though AVANT was the issuer of common stock and the surviving legal entity in the transaction. Because Celldex Research was determined to be the acquirer for accounting purposes, the historical financial statements of Celldex Research became our historical financial as of the closing of the AVANT Merger. Accordingly, our financial statements prior to the AVANT Merger reflect the financial position, results of operations and cash flows of Celldex Research, which during the historical periods presented in the accompanying consolidated financial statements, was then majority-owned by Medarex, Inc. (“Medarex”). Following the AVANT Merger, the financial statements reflect the financial position, results of operation and cash flows of the combined companies. The results of operations of AVANT are included in our results of operations beginning March 8,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 between us and CuraGen</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On May 29, 2009, we and CuraGen Corporation (“CuraGen”), a public company, announced that our and CuraGen’s boards of directors</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unanimously approved a definitive merger agreement dated May 28, 2009 (the “CuraGen Merger Agreement”) under which CuraGen will merge with and</w:t>
      </w:r>
    </w:p>
    <w:p>
      <w:pPr>
        <w:sectPr>
          <w:pgSz w:w="11900" w:h="16865" w:orient="portrait"/>
          <w:cols w:equalWidth="0" w:num="1">
            <w:col w:w="11420"/>
          </w:cols>
          <w:pgMar w:left="240" w:top="341" w:right="239" w:bottom="0" w:gutter="0" w:footer="0" w:header="0"/>
        </w:sectPr>
      </w:pPr>
    </w:p>
    <w:bookmarkStart w:id="16" w:name="page17"/>
    <w:bookmarkEnd w:id="16"/>
    <w:p>
      <w:pPr>
        <w:jc w:val="center"/>
        <w:ind w:right="360"/>
        <w:spacing w:after="0"/>
        <w:rPr>
          <w:sz w:val="20"/>
          <w:szCs w:val="20"/>
          <w:color w:val="auto"/>
        </w:rPr>
      </w:pPr>
      <w:r>
        <w:rPr>
          <w:rFonts w:ascii="Arial" w:cs="Arial" w:eastAsia="Arial" w:hAnsi="Arial"/>
          <w:sz w:val="16"/>
          <w:szCs w:val="16"/>
          <w:color w:val="auto"/>
        </w:rPr>
        <w:t>into us in a stock for stock transaction (the “CuraGen Merger”). Under the terms of the CuraGen Merger Agreement, each issued and outstanding share of</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CuraGen common stock will be converted into our shares based on an exchange ratio as described in the CuraGen Merger Agreement. The CuraGen Merger Agreement provides for certain termination rights for both us and CuraGen and under specified circumstances, we or CuraGen may be required to pay a termination fee of $3.5 million to the other party. The transaction remains subject to our and CuraGen’s shareholder approvals and the satisfaction of customary closing conditions. The transaction is expected to close in the third quarter of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PROGRAMS AND PARTNERSHIPS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products are derived from a broad set of complementary technologies which have the ability to utilize the human immune system and enable the creation of preventative and therapeutic agents. We are using these technologies to develop vaccines and targeted immunotherapeutics that prevent or treat cancer and disease caused by infectious organisms, and treatment vaccines that modify undesirable activity by the body’s own proteins or cells. A number of our immunotherapeutic and vaccine product candidates are in various stages of clinical trials. We expect that a large percentage of our research and development expenses will be incurred in support of our current and future clinical trial programs.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table of our currently active programs: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4"/>
                <w:szCs w:val="14"/>
                <w:color w:val="auto"/>
              </w:rPr>
            </w:pP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350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Indication/Field</w:t>
            </w:r>
          </w:p>
        </w:tc>
        <w:tc>
          <w:tcPr>
            <w:tcW w:w="2040" w:type="dxa"/>
            <w:vAlign w:val="bottom"/>
          </w:tcPr>
          <w:p>
            <w:pPr>
              <w:ind w:left="780"/>
              <w:spacing w:after="0"/>
              <w:rPr>
                <w:sz w:val="20"/>
                <w:szCs w:val="20"/>
                <w:color w:val="auto"/>
              </w:rPr>
            </w:pPr>
            <w:r>
              <w:rPr>
                <w:rFonts w:ascii="Arial" w:cs="Arial" w:eastAsia="Arial" w:hAnsi="Arial"/>
                <w:sz w:val="14"/>
                <w:szCs w:val="14"/>
                <w:b w:val="1"/>
                <w:bCs w:val="1"/>
                <w:color w:val="auto"/>
              </w:rPr>
              <w:t>Partner</w:t>
            </w:r>
          </w:p>
        </w:tc>
        <w:tc>
          <w:tcPr>
            <w:tcW w:w="22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ONCOLOGY</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CDX-110</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Glioblastoma multiforme</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CDX-1307</w:t>
            </w:r>
          </w:p>
        </w:tc>
        <w:tc>
          <w:tcPr>
            <w:tcW w:w="37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Colorectal, bladder, pancreas, ovarian and</w:t>
            </w: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breast tumors</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CDX-1401</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Multiple solid tumors</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CDX-1127</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Immuno-modulation, multiple tumors</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INFLAMMATORY</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CDX-1135</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Transplantation</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DISEASE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(formerly TP10)</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Renal disease</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CDX-1189</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Renal disease</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INFECTIOUS DISEASE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CholeraGarde</w:t>
            </w:r>
            <w:r>
              <w:rPr>
                <w:rFonts w:ascii="Arial" w:cs="Arial" w:eastAsia="Arial" w:hAnsi="Arial"/>
                <w:sz w:val="25"/>
                <w:szCs w:val="25"/>
                <w:color w:val="auto"/>
                <w:vertAlign w:val="superscript"/>
              </w:rPr>
              <w:t>®</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Cholera</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Vaccine Technologies</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ETEC</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Enterotoxigenic </w:t>
            </w:r>
            <w:r>
              <w:rPr>
                <w:rFonts w:ascii="Arial" w:cs="Arial" w:eastAsia="Arial" w:hAnsi="Arial"/>
                <w:sz w:val="18"/>
                <w:szCs w:val="18"/>
                <w:i w:val="1"/>
                <w:iCs w:val="1"/>
                <w:color w:val="auto"/>
              </w:rPr>
              <w:t>E coli</w:t>
            </w:r>
            <w:r>
              <w:rPr>
                <w:rFonts w:ascii="Arial" w:cs="Arial" w:eastAsia="Arial" w:hAnsi="Arial"/>
                <w:sz w:val="18"/>
                <w:szCs w:val="18"/>
                <w:color w:val="auto"/>
              </w:rPr>
              <w:t xml:space="preserve"> infection</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Vaccine Technologies</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Ty800</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Typhoid fever</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CDX-2401</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HIV</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Rockefeller University</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MARKETED PRODUCTS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Rotarix</w:t>
            </w:r>
            <w:r>
              <w:rPr>
                <w:rFonts w:ascii="Arial" w:cs="Arial" w:eastAsia="Arial" w:hAnsi="Arial"/>
                <w:sz w:val="25"/>
                <w:szCs w:val="25"/>
                <w:color w:val="auto"/>
                <w:vertAlign w:val="superscript"/>
              </w:rPr>
              <w:t>®</w:t>
            </w:r>
          </w:p>
        </w:tc>
        <w:tc>
          <w:tcPr>
            <w:tcW w:w="3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Rotavirus infection</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GlaxoSmithKline</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Marketed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Clinical Phase</w:t>
            </w:r>
          </w:p>
        </w:tc>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5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Phase 2</w:t>
            </w:r>
          </w:p>
        </w:tc>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1 - 5 Years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5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1 - 5 Years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00" w:type="dxa"/>
            <w:vAlign w:val="bottom"/>
          </w:tcPr>
          <w:p>
            <w:pPr>
              <w:jc w:val="right"/>
              <w:ind w:right="289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ectPr>
          <w:pgSz w:w="11900" w:h="16838" w:orient="portrait"/>
          <w:cols w:equalWidth="0" w:num="1">
            <w:col w:w="11460"/>
          </w:cols>
          <w:pgMar w:left="240" w:top="125" w:right="199" w:bottom="15" w:gutter="0" w:footer="0" w:header="0"/>
        </w:sectPr>
      </w:pPr>
    </w:p>
    <w:bookmarkStart w:id="17" w:name="page18"/>
    <w:bookmarkEnd w:id="17"/>
    <w:p>
      <w:pPr>
        <w:ind w:right="16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During the past five years through December 31, 2008, we incurred an aggregate of $55.6 million in research and development expenses. The following table indicates the amount incurred for each of our significant research programs and for other identified research and development activities during the year ended December 31, 2008 and the six months ended June 30, 2009 and 2008. The amounts disclosed in the following table reflect direct research and development costs, license fees associated with the underlying technology and an allocation of indirect research and development costs to each program. Prior to 2008, the privately-held Celldex Research did not maintain records that allowed for quantification of research and development expenses by project.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320" w:type="dxa"/>
            <w:vAlign w:val="bottom"/>
            <w:gridSpan w:val="6"/>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Oncology:</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CDX-110</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4,766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CDX-1307</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CDX-1401</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3,056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CDX-1127</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Inflammatory Disease: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CDX-1135</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CDX-1189</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Infectious Disease: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Bacterial Vaccines (CholeraGarde®/ETEC/Ty800)</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1,349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CDX-2401</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Marketed Products: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Rotarix®</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Other Programs: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1,618</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1,439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Vaccine Development Programs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CDX-110: </w:t>
      </w:r>
      <w:r>
        <w:rPr>
          <w:rFonts w:ascii="Arial" w:cs="Arial" w:eastAsia="Arial" w:hAnsi="Arial"/>
          <w:sz w:val="17"/>
          <w:szCs w:val="17"/>
          <w:color w:val="auto"/>
        </w:rPr>
        <w:t>Our lead clinical development program, CDX-110, is a peptide-based immunotherapy that targets the tumor specific molecule called</w:t>
      </w:r>
      <w:r>
        <w:rPr>
          <w:rFonts w:ascii="Arial" w:cs="Arial" w:eastAsia="Arial" w:hAnsi="Arial"/>
          <w:sz w:val="17"/>
          <w:szCs w:val="17"/>
          <w:i w:val="1"/>
          <w:iCs w:val="1"/>
          <w:color w:val="auto"/>
        </w:rPr>
        <w:t xml:space="preserve"> </w:t>
      </w:r>
      <w:r>
        <w:rPr>
          <w:rFonts w:ascii="Arial" w:cs="Arial" w:eastAsia="Arial" w:hAnsi="Arial"/>
          <w:sz w:val="17"/>
          <w:szCs w:val="17"/>
          <w:color w:val="auto"/>
        </w:rPr>
        <w:t>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breast, ovarian, prostate, colorectal, and head &amp; neck cancer.</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April 16, 2008, we and Pfizer Inc. (“Pfizer”) entered into a License and Development Agreement (the “Pfizer Agreement”) under which Pfizer was granted an exclusive worldwide license to CDX-110. The Pfizer Agreement also gives Pfizer exclusive rights to the use of EGFRvIII vaccines in other potential indications. Pfizer funds all development costs for these programs. We and Pfizer are currently pursuing the development of CDX-110 for GBM therapy and plan to expand the clinical development into other cancers through additional clinical studies. The FDA has granted orphan drug designation for CDX-110 for the treatment of EGFRvIII expressing GBM as well as fast track designation.</w:t>
      </w:r>
    </w:p>
    <w:p>
      <w:pPr>
        <w:spacing w:after="0" w:line="173"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initiated a Phase 2b/3 randomized study (ACT III) of CDX-110 combined with standard of care, temozolomide, versus standard of care alone in patients with GBM in over 30 sites throughout the United States. In December 2008, we announced an amendment to convert the ACT III study to a single-arm Phase 2 clinical trial in which all patients will receive CDX-110 in combination with temozolomide. We expect to enroll approximately 60 patients. The</w:t>
      </w:r>
    </w:p>
    <w:p>
      <w:pPr>
        <w:sectPr>
          <w:pgSz w:w="11900" w:h="16838" w:orient="portrait"/>
          <w:cols w:equalWidth="0" w:num="1">
            <w:col w:w="11420"/>
          </w:cols>
          <w:pgMar w:left="240" w:top="125" w:right="239" w:bottom="0" w:gutter="0" w:footer="0" w:header="0"/>
        </w:sectPr>
      </w:pPr>
    </w:p>
    <w:bookmarkStart w:id="18" w:name="page19"/>
    <w:bookmarkEnd w:id="18"/>
    <w:p>
      <w:pPr>
        <w:ind w:right="340"/>
        <w:spacing w:after="0" w:line="257" w:lineRule="auto"/>
        <w:rPr>
          <w:sz w:val="20"/>
          <w:szCs w:val="20"/>
          <w:color w:val="auto"/>
        </w:rPr>
      </w:pPr>
      <w:r>
        <w:rPr>
          <w:rFonts w:ascii="Arial" w:cs="Arial" w:eastAsia="Arial" w:hAnsi="Arial"/>
          <w:sz w:val="18"/>
          <w:szCs w:val="18"/>
          <w:color w:val="auto"/>
        </w:rPr>
        <w:t>decision, which follows the recommendation of the Independent Data Monitoring Committee, was based on the observation that the majority of patients randomized to the control (standard of care) arm withdrew from this open-label study after being randomized to the control arm. Patients currently participating on the control arm of the study will be offered the option to receive treatment with CDX-110. Under this amendment, the ACT III study will provide a multi-center, non-randomized dataset for CDX-110 in patients with newly diagnosed GBM. These data will provide important additional information that can be used to better design the future development of CDX-110.</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CDX-1307: </w:t>
      </w:r>
      <w:r>
        <w:rPr>
          <w:rFonts w:ascii="Arial" w:cs="Arial" w:eastAsia="Arial" w:hAnsi="Arial"/>
          <w:sz w:val="18"/>
          <w:szCs w:val="18"/>
          <w:color w:val="auto"/>
        </w:rPr>
        <w:t>Our lead APC Targeting Technology™ product candidate, CDX-1307, is in development for the treatment of epithelial tumors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colorectal, pancreatic, bladder, ovarian and breast cancers. CDX-1307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completing two Phase 1 studies at multiple centers that are designed to explore safety and dose/effect relationships via two administration routes—intradermal (ID), a traditional vaccine route that allows efficient access to local dermal dendritic cells and intravenous (IV), a novel systemic approach to vaccination that might target a much larger population of dendritic cells. In both studies, there are dose escalations of CDX-1307 alone and CDX-1307 with the adjuvant GM-CSF (known to increase mannose receptor expression on dendritic cells). At the highest dose levels planned, additional immune system modulators (Toll-Like Receptor Agonists, or TLR agonists) have been added to determine what effect they have in augmenting an immune response. Patients with an assortment of different tumor types that are known to express hCG-Beta are being accrued with retrospective analysis for hCG-Beta expression. A four dose regimen is utilized with the possibility of retreatment if patients demonstrate tumor regression or stable disease.</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Over seventy (70) patients with epithelial cancers have been treated in the Phase 1 clinical trials and more than half have evidence of hCG-Beta expression by their tumor. The immunotherapy has been well tolerated with only minor adverse events observed (reddening at the injection site). Analysis of the initial cohorts with GM-CSF have revealed that several patients developed good humoral responses to hCG-Beta, and some have demonstrated enhancement of circulating hCG-Beta-specific CD8 T cells. Thus, we are encouraged that CDX-1307 is providing similar results as predicted in the preclinical studies. In addition, seven patients with breast, colorectal or pancreatic cancers experienced disease stabilization from 2.2 to over 6.5 months. The safety of CDX-1307 in combination with defined immune system modulators is now being evaluated with intent to enter Phase 2 clinical research around year-end 2009.</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CDX-1401: </w:t>
      </w:r>
      <w:r>
        <w:rPr>
          <w:rFonts w:ascii="Arial" w:cs="Arial" w:eastAsia="Arial" w:hAnsi="Arial"/>
          <w:sz w:val="17"/>
          <w:szCs w:val="17"/>
          <w:color w:val="auto"/>
        </w:rPr>
        <w:t>Our second APC Targeting Technology product candidate, CDX-1401, is a fusion protein consisting of a fully human monoclonal</w:t>
      </w:r>
      <w:r>
        <w:rPr>
          <w:rFonts w:ascii="Arial" w:cs="Arial" w:eastAsia="Arial" w:hAnsi="Arial"/>
          <w:sz w:val="17"/>
          <w:szCs w:val="17"/>
          <w:i w:val="1"/>
          <w:iCs w:val="1"/>
          <w:color w:val="auto"/>
        </w:rPr>
        <w:t xml:space="preserve"> </w:t>
      </w:r>
      <w:r>
        <w:rPr>
          <w:rFonts w:ascii="Arial" w:cs="Arial" w:eastAsia="Arial" w:hAnsi="Arial"/>
          <w:sz w:val="17"/>
          <w:szCs w:val="17"/>
          <w:color w:val="auto"/>
        </w:rPr>
        <w:t>antibody with specificity for the dendritic cell receptor, DEC-205, linked to the NY-ESO-1 tumor antigen. In humans, NY-ESO-1 is one of the most immunogenic tumor antigens and has been detected in 20-30% of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 An IND has been filed and we expect to begin enrollment in the third quarter of 2009 in a Phase 1 study with a combination regimen, including TLRs, for multiple tumors that express NY-ESO-1.</w:t>
      </w:r>
    </w:p>
    <w:p>
      <w:pPr>
        <w:spacing w:after="0" w:line="18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CDX-1127: </w:t>
      </w:r>
      <w:r>
        <w:rPr>
          <w:rFonts w:ascii="Arial" w:cs="Arial" w:eastAsia="Arial" w:hAnsi="Arial"/>
          <w:sz w:val="18"/>
          <w:szCs w:val="18"/>
          <w:color w:val="auto"/>
        </w:rPr>
        <w:t>We have entered into a License Agreement with the University of Southampton, UK, to develop human antibodies to CD27, a</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important target for immunotherapy of various cancers. In preclinical models, antibodies to CD27 alone have been shown to mediate anti-tumor effects, and may be particularly effective in combination with other immunotherapies. CD27 is a critical molecule in the activation pathway of lymphocytes. It is downstream from CD40, and may provide a novel way to regulate the immune responses. Engaging CD27 with the appropriate monoclonal antibody has proven highly effective at promoting anti-cancer immunity in mouse models. We are currently evaluating new human monoclonal antibodies in preclinical models.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Inflammatory Disease Development Programs</w:t>
      </w:r>
    </w:p>
    <w:p>
      <w:pPr>
        <w:spacing w:after="0" w:line="229"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i w:val="1"/>
          <w:iCs w:val="1"/>
          <w:color w:val="auto"/>
        </w:rPr>
        <w:t xml:space="preserve">CDX-1135 (formerly TP10): </w:t>
      </w:r>
      <w:r>
        <w:rPr>
          <w:rFonts w:ascii="Arial" w:cs="Arial" w:eastAsia="Arial" w:hAnsi="Arial"/>
          <w:sz w:val="18"/>
          <w:szCs w:val="18"/>
          <w:color w:val="auto"/>
        </w:rPr>
        <w:t>CDX-1135 is a molecule that inhibits a part of the immune system called the complement system. The complement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effectively inhibits the activation of the complement cascade in animal models and in human clinical trials. We believe that regulating the complement system could have therapeutic and prophylactic applications in several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acute and chronic conditions, including organ transplantation, multiple sclerosis, rheumatoid arthritis, age-related macular degeneration (“AMD”), atypical Hemolytic Uremic Syndrome (“aHUS”), Paroxysmal Nocturnal Hemaglobinuria (“PNH”), and myasthenia gravis. We are currently defining the most appropriate clinical development path for CDX-1135 and are focusing on rare disease conditions of unregulated complement activation as the fastest route to FDA approval.</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CDX-1189: </w:t>
      </w:r>
      <w:r>
        <w:rPr>
          <w:rFonts w:ascii="Arial" w:cs="Arial" w:eastAsia="Arial" w:hAnsi="Arial"/>
          <w:sz w:val="17"/>
          <w:szCs w:val="17"/>
          <w:color w:val="auto"/>
        </w:rPr>
        <w:t>We are developing therapeutic human antibodies to a signaling molecule known as CD89 or Fca receptor type I (FcaRI). CD89 is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by some white blood cells and leukemic cell lines, and has been shown to be important in controlling inflammation and tumor growth in animal models. We have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Development Programs</w:t>
      </w:r>
    </w:p>
    <w:p>
      <w:pPr>
        <w:sectPr>
          <w:pgSz w:w="11900" w:h="16838" w:orient="portrait"/>
          <w:cols w:equalWidth="0" w:num="1">
            <w:col w:w="11420"/>
          </w:cols>
          <w:pgMar w:left="240" w:top="125" w:right="239" w:bottom="0" w:gutter="0" w:footer="0" w:header="0"/>
        </w:sectPr>
      </w:pPr>
    </w:p>
    <w:bookmarkStart w:id="19" w:name="page20"/>
    <w:bookmarkEnd w:id="19"/>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CholeraGarde® and ETEC Vaccine: </w:t>
      </w:r>
      <w:r>
        <w:rPr>
          <w:rFonts w:ascii="Arial" w:cs="Arial" w:eastAsia="Arial" w:hAnsi="Arial"/>
          <w:sz w:val="18"/>
          <w:szCs w:val="18"/>
          <w:color w:val="auto"/>
        </w:rPr>
        <w:t>In January 2009, we entered into a license agreement with Vaccine Technologies, Inc. (“VTI”) under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 worldwide exclusive license to VTI to develop and commercialize our CholeraGarde® and ETEC vaccine programs. Financial terms of the agreement with VTI included an upfront license fee and provide for milestone payments and royalties on net sales of licensed products during the term of the agreement.</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Ty800 Typhoid Fever Vaccine: </w:t>
      </w:r>
      <w:r>
        <w:rPr>
          <w:rFonts w:ascii="Arial" w:cs="Arial" w:eastAsia="Arial" w:hAnsi="Arial"/>
          <w:sz w:val="18"/>
          <w:szCs w:val="18"/>
          <w:color w:val="auto"/>
        </w:rPr>
        <w:t>We have developed an oral vaccine to offer rapid, single-dose protection against</w:t>
      </w:r>
      <w:r>
        <w:rPr>
          <w:rFonts w:ascii="Arial" w:cs="Arial" w:eastAsia="Arial" w:hAnsi="Arial"/>
          <w:sz w:val="18"/>
          <w:szCs w:val="18"/>
          <w:i w:val="1"/>
          <w:iCs w:val="1"/>
          <w:color w:val="auto"/>
        </w:rPr>
        <w:t xml:space="preserve"> Salmonella typhi</w:t>
      </w:r>
      <w:r>
        <w:rPr>
          <w:rFonts w:ascii="Arial" w:cs="Arial" w:eastAsia="Arial" w:hAnsi="Arial"/>
          <w:sz w:val="18"/>
          <w:szCs w:val="18"/>
          <w:color w:val="auto"/>
        </w:rPr>
        <w:t>, the cause of</w:t>
      </w:r>
      <w:r>
        <w:rPr>
          <w:rFonts w:ascii="Arial" w:cs="Arial" w:eastAsia="Arial" w:hAnsi="Arial"/>
          <w:sz w:val="18"/>
          <w:szCs w:val="18"/>
          <w:i w:val="1"/>
          <w:iCs w:val="1"/>
          <w:color w:val="auto"/>
        </w:rPr>
        <w:t xml:space="preserve"> </w:t>
      </w:r>
      <w:r>
        <w:rPr>
          <w:rFonts w:ascii="Arial" w:cs="Arial" w:eastAsia="Arial" w:hAnsi="Arial"/>
          <w:sz w:val="18"/>
          <w:szCs w:val="18"/>
          <w:color w:val="auto"/>
        </w:rPr>
        <w:t>typhoid fever. Ty800 is targeted for both the travelers’ market and global health needs. Results from our Phase 2 trial of Ty800 showed that the single-dose, oral vaccine was well tolerated and immunogenic, demonstrating that the desired immune response was achieved. Incidence of reactogenicity symptoms and adverse events post-vaccination were similar to placebo.</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CDX-2401: </w:t>
      </w:r>
      <w:r>
        <w:rPr>
          <w:rFonts w:ascii="Arial" w:cs="Arial" w:eastAsia="Arial" w:hAnsi="Arial"/>
          <w:sz w:val="18"/>
          <w:szCs w:val="18"/>
          <w:color w:val="auto"/>
        </w:rPr>
        <w:t>We are also using our APC Targeting Technology™ to develop vaccines against infectious disease. The lead program is CDX-2401, an</w:t>
      </w:r>
      <w:r>
        <w:rPr>
          <w:rFonts w:ascii="Arial" w:cs="Arial" w:eastAsia="Arial" w:hAnsi="Arial"/>
          <w:sz w:val="18"/>
          <w:szCs w:val="18"/>
          <w:i w:val="1"/>
          <w:iCs w:val="1"/>
          <w:color w:val="auto"/>
        </w:rPr>
        <w:t xml:space="preserve"> </w:t>
      </w:r>
      <w:r>
        <w:rPr>
          <w:rFonts w:ascii="Arial" w:cs="Arial" w:eastAsia="Arial" w:hAnsi="Arial"/>
          <w:sz w:val="18"/>
          <w:szCs w:val="18"/>
          <w:color w:val="auto"/>
        </w:rPr>
        <w:t>APC Targeting prophylactic vaccine, aimed at providing protection from infection with HIV, the virus known to cause AIDS. This program is in a Bill &amp; Melinda Gates Foundation funded partnership with collaborators at Rockefeller University in New York City, who have shown in model systems that protective immunity can be induced with such a vaccine. Preclinical studies and manufacturing development are in progress and our collaborators plan to file an IND for Phase 1 clinical studies in the second half of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Rotavirus Vaccine: </w:t>
      </w:r>
      <w:r>
        <w:rPr>
          <w:rFonts w:ascii="Arial" w:cs="Arial" w:eastAsia="Arial" w:hAnsi="Arial"/>
          <w:sz w:val="17"/>
          <w:szCs w:val="17"/>
          <w:color w:val="auto"/>
        </w:rPr>
        <w:t>Rotavirus is a major cause of diarrhea and vomiting in infants and children. In 1997, we licensed our oral rotavirus strain to</w:t>
      </w:r>
      <w:r>
        <w:rPr>
          <w:rFonts w:ascii="Arial" w:cs="Arial" w:eastAsia="Arial" w:hAnsi="Arial"/>
          <w:sz w:val="17"/>
          <w:szCs w:val="17"/>
          <w:i w:val="1"/>
          <w:iCs w:val="1"/>
          <w:color w:val="auto"/>
        </w:rPr>
        <w:t xml:space="preserve"> </w:t>
      </w:r>
      <w:r>
        <w:rPr>
          <w:rFonts w:ascii="Arial" w:cs="Arial" w:eastAsia="Arial" w:hAnsi="Arial"/>
          <w:sz w:val="17"/>
          <w:szCs w:val="17"/>
          <w:color w:val="auto"/>
        </w:rPr>
        <w:t>GlaxoSmithKline (“Glaxo”). Glaxo gained approval for its rotavirus vaccine, Rotarix®, in Mexico in July 2004, which represented the first in a series of worldwide approvals and commercial launches for the product leading up to the approval in Europe in 2006 and in the U.S. in 2008. We licensed-in the rotavirus strain in 1995 and owe a license fee of 30% to Cincinnati Children’s Hospital Medical Center (“CCH”) on net royalties received from Glaxo. In May 2005, we entered into an agreement whereby an affiliate of Paul Royalty Fund (“PRF”) purchased an interest in the milestone payments and net royalties that we receive on the development and worldwide sales of Rotarix®. We have received a total of $60 million in milestone payments under the PRF agreement. No additional milestone payments are due from PRF under the agreement.</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September 2006, we received notice from Glaxo that Glaxo would begin paying royalties on sales of Rotarix® vaccine at the lower of two royalty rates under their 1997 license agreement. Glaxo’s decision to pay the lower royalty rate (which is 70% of the full rate) is based upon Glaxo’s assertion that Rotarix®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which we projected may have been reached in later years as sales of Rotarix® increased. Irrespective of Glaxo’s position, we will still retain approximately 65% of the royalties on worldwide sales of Rotarix® once PRF receives 2.45 times the aggregate cash payments of $60 million it made to us, though the potential amount of such residual royalties will be lower if Glaxo’s position stands.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critical accounting policies are more fully described in Note 1 to our consolidated financial statements included in our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December 31, 2008. We consider our most critical accounting policies include revenue recognition for agreements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various collaborators, the amortization policy for acquired intangible assets, the estimates of costs incurred and assumptions made in recording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clinical research and contract manufacturing costs and assumptions made in calculating the fair value of stock-based compensation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financial statements prior to the AVANT Merger reflect the financial position, results of operations and cash flows of Celldex Research. Following the AVANT Merger, our financial statements reflect the financial position, results of operation and cash flows of the combined companies. The expected trends in our results of operations below will be affected if our and CuraGen’s shareholders approve the CuraGen Merger and the CuraGen Merger is consummated. If the CuraGen Merger closes, we expect our operating expenses will increase as we develop the CuraGen product candidates and incur severance and transaction costs and that our interest expense and investment income will increase due to CuraGen’s debt and cash balances.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2009 Compared with Three Months Ended June 30,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32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320" w:type="dxa"/>
            <w:vAlign w:val="bottom"/>
            <w:gridSpan w:val="6"/>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871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626</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8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7,612</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3,511</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4,606</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11,408</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3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(8,723)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(8,705</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98" w:gutter="0" w:footer="0" w:header="0"/>
        </w:sectPr>
      </w:pPr>
    </w:p>
    <w:bookmarkStart w:id="20" w:name="page21"/>
    <w:bookmarkEnd w:id="20"/>
    <w:p>
      <w:pPr>
        <w:spacing w:after="0" w:line="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The $1.6 million decrease in our net loss for the three months ended June 30, 2009 compared to the three months ended June 30, 2008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increased revenues and lower general and administrative expenses. Our net loss of $0.55 per share for the three months ended June 30, 2009 was lower than the $0.67 per share for the three months ended June 30, 2008 due to our lower net loss and an increase in weighted average shares outstanding.</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The $0.6 million increase in our product development and licensing agreement revenue for the three months ended June 30, 2009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$0.8 million in Pfizer related revenue. The $0.3 million decrease in our contract and grant revenue for the three months ended June 30, 2009 was primarily due to us deferring $0.3 million in revenue related to our CDX-2401 program during the three months ended June 30, 2009. The $0.4 million increase in our product royalty revenue for the three months ended June 30, 2009 was related to our retained interests in Rotarix® net royalties which were not sold to PRF and which is equal to the amount payable to CCH and recognized in research and development expense by us.</w:t>
      </w:r>
    </w:p>
    <w:p>
      <w:pPr>
        <w:spacing w:after="0" w:line="15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expenses consist primarily of (i) personnel expenses, (ii) laboratory supply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development of our technology, (iii)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expenses related to our three facilities, (iv) product development expenses associated with our product candidates, and (v) license fees on in-licensed technologies and royalty fees on out-licensed programs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56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560" w:type="dxa"/>
            <w:vAlign w:val="bottom"/>
            <w:tcBorders>
              <w:bottom w:val="single" w:sz="8" w:color="auto"/>
            </w:tcBorders>
            <w:gridSpan w:val="3"/>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0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97"/>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2,515</w:t>
            </w:r>
          </w:p>
        </w:tc>
        <w:tc>
          <w:tcPr>
            <w:tcW w:w="104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171</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Laboratory Supplies</w:t>
            </w:r>
          </w:p>
        </w:tc>
        <w:tc>
          <w:tcPr>
            <w:tcW w:w="90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640</w:t>
            </w:r>
          </w:p>
        </w:tc>
        <w:tc>
          <w:tcPr>
            <w:tcW w:w="10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46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181</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1,125</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1,748</w:t>
            </w:r>
          </w:p>
        </w:tc>
        <w:tc>
          <w:tcPr>
            <w:tcW w:w="10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1,370</w:t>
            </w:r>
          </w:p>
        </w:tc>
        <w:tc>
          <w:tcPr>
            <w:tcW w:w="46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378</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License and Royalty</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1,487</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1,754</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(267)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payroll taxes and recruiting costs. The $0.2 million increase in our personnel expenses for the three months ended June 30, 2009 was primarily due to higher headcount offset by a decrease of $0.2 million in stock-based compensation expense. We expect personnel expenses to increase during the remainder of 2009 as we continue to develop our clinical pipeline, add new product candidates to our preclinical programs and increase our research and development activities.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Laboratory supply expenses include laboratory materials and supplies, services, and other related expenses incurred in the development of our technology. The $0.2 million increase in our laboratory supply expenses for the three months ended June 30, 2009 was primarily due to increased research, preclinical and manufacturing activities as a result of the continued development of our product candidates. We expect supply expenses to increase during the remainder of 2009 as a result of increased research and development activities.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three facilities (Phillipsburg, NJ and Needham and Fall River, MA). The $0.1 million decrease in our facility expenses for the three months ended June 30, 2009 was primarily due to lower depreciation and amortization expenses. We expect facility expenses to increase during the remainder of 2009 as a result of continued capital expansion.</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$0.4 million increase in our product development expenses for the three months ended June 30, 2009 was primarily due to expansion of our clinical trials for CDX-110 and CDX-1307. We expect product development expenses related to clinical trials to decrease during the remainder of 2009 due to the transfer of clinical management of our CDX-110 program to Pfizer. This decrease will be partially offset by an increase in clinical trial expenses related to our CDX-1307 and CDX-1401 programs.</w:t>
      </w:r>
    </w:p>
    <w:p>
      <w:pPr>
        <w:spacing w:after="0" w:line="173"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License and royalty expenses relate to license fees on in-licensed technologies and royalty fees on out-licensed programs. The $0.3 million decrease in our license and royalty expenses for the three months ended June 30, 2009 was primarily due to sublicense expense incurred during the three months ended June 30, 2008 relating to our TJU collaboration. We expect license and royalty expenses to increase during the remainder of 2009.</w:t>
      </w:r>
    </w:p>
    <w:p>
      <w:pPr>
        <w:spacing w:after="0" w:line="166"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The $1.1 million decrease in our general and administrative expenses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2009 was primarily due to the $1.4 million in severance expense incurred during the three months ended June 30, 2008 related to our former President and Chief Executive Officer. The effect of this decrease was partially offset by an increase in consultant and legal expense of $0.4 million during the three months ended June 30, 2009 primarily related to the CuraGen Merger. We expect general and administrative expense to increase during the remainder of 2009 as we incur transaction costs related to the CuraGen Merger and add infrastructure to support our therapeutic product pipeline and new product candidates.</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Amortization Expense: </w:t>
      </w:r>
      <w:r>
        <w:rPr>
          <w:rFonts w:ascii="Arial" w:cs="Arial" w:eastAsia="Arial" w:hAnsi="Arial"/>
          <w:sz w:val="18"/>
          <w:szCs w:val="18"/>
          <w:color w:val="auto"/>
        </w:rPr>
        <w:t>We expect amortization expense of acquired intangible assets to remain relatively consistent during the remainder of 2009</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estimated lives of our acquired intangible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36"/>
        <w:spacing w:after="0" w:line="264" w:lineRule="auto"/>
        <w:rPr>
          <w:sz w:val="20"/>
          <w:szCs w:val="20"/>
          <w:color w:val="auto"/>
        </w:rPr>
      </w:pPr>
      <w:r>
        <w:rPr>
          <w:rFonts w:ascii="Arial" w:cs="Arial" w:eastAsia="Arial" w:hAnsi="Arial"/>
          <w:sz w:val="18"/>
          <w:szCs w:val="18"/>
          <w:i w:val="1"/>
          <w:iCs w:val="1"/>
          <w:color w:val="auto"/>
        </w:rPr>
        <w:t xml:space="preserve">Investment and Other Income, Net: </w:t>
      </w:r>
      <w:r>
        <w:rPr>
          <w:rFonts w:ascii="Arial" w:cs="Arial" w:eastAsia="Arial" w:hAnsi="Arial"/>
          <w:sz w:val="18"/>
          <w:szCs w:val="18"/>
          <w:color w:val="auto"/>
        </w:rPr>
        <w:t>The $0.1 million decrease in our investment and other income, net for the three months ended June 30, 2009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average cash balances and lower average interest rates in 2009. We anticipate investment income to decrease during the remainder of 2009 due to the utilization of cash in the normal course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2009 Compared with Six Months Ended June 30, 2008</w:t>
      </w:r>
    </w:p>
    <w:p>
      <w:pPr>
        <w:sectPr>
          <w:pgSz w:w="11900" w:h="16843" w:orient="portrait"/>
          <w:cols w:equalWidth="0" w:num="1">
            <w:col w:w="11420"/>
          </w:cols>
          <w:pgMar w:left="240" w:top="125" w:right="239" w:bottom="0" w:gutter="0" w:footer="0" w:header="0"/>
        </w:sectPr>
      </w:pPr>
    </w:p>
    <w:bookmarkStart w:id="21" w:name="page22"/>
    <w:bookmarkEnd w:id="21"/>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2,999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2,009</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3,279</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2,442</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12,117</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4,371</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6,851</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7,620</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(769)</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Charge for In-Process 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14,756</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(14,756)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22,926</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3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The $16.0 million decrease in our net loss for the six months ended June 30, 2009 compared to the six months ended June 30, 2008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result of a decrease in charges for acquired in-process research and development combined with increased revenue, partially offset by increased research and development expenses. Our net loss of $1.04 per share for the six months ended June 30, 2009 was lower than the $2.56 per share for the six months ended June 30, 2008 due to our lower net loss and an increase in weighted average shares outstanding.</w:t>
      </w:r>
    </w:p>
    <w:p>
      <w:pPr>
        <w:spacing w:after="0" w:line="17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The $2.0 million increase in our product development and licensing agreement revenue for the six months ended June 30, 2009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$2.1 million in Pfizer related revenue. The $0.1 decrease in our contract and grant revenue for the six months ended June 30, 2009 was primarily due to us deferring $0.3 million in revenue related to our CDX-2401 program during the three months ended June 30, 2009. The $2.4 million increase in our product royalty revenue for the six months ended June 30, 2009 was primarily related to our retained interests in Rotarix® net royalties which were not sold to PRF and which is equal to the amount payable to CCH and recognized in research and development expense by 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14"/>
                <w:szCs w:val="14"/>
                <w:color w:val="auto"/>
              </w:rPr>
            </w:pPr>
          </w:p>
        </w:tc>
        <w:tc>
          <w:tcPr>
            <w:tcW w:w="134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Research and Development Expense:</w:t>
            </w: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5,057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643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Laboratory Supplies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1,236</w:t>
            </w:r>
          </w:p>
        </w:tc>
        <w:tc>
          <w:tcPr>
            <w:tcW w:w="4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798</w:t>
            </w:r>
          </w:p>
        </w:tc>
        <w:tc>
          <w:tcPr>
            <w:tcW w:w="48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438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2,373</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1,854</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519</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3,225</w:t>
            </w:r>
          </w:p>
        </w:tc>
        <w:tc>
          <w:tcPr>
            <w:tcW w:w="4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2,440</w:t>
            </w:r>
          </w:p>
        </w:tc>
        <w:tc>
          <w:tcPr>
            <w:tcW w:w="48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785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License and Royalty</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4,025</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2,265</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$0.6 million increase in our personnel expenses for the six months ended June 30, 2009 was primarily due to significantly higher headcount as a result of the AVANT Merger offset by a decrease of $0.7 million in stock-based compensation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$0.4 million increase in our laboratory supply expenses for the six months ended June 30, 2009 was primarily due to increased research, preclinical and manufacturing activities as a result of the continued development of our product candidates.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$0.5 million increase in our facility expenses for the six months ended June 30, 2009 was primarily due to the combination of expenses for three facilities as a result of the AVANT Merger.</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$0.8 million increase in our product development expenses for the six months ended June 30, 2009 was primarily due to expansion of our clinical trials for CDX-110 and CDX-1307.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$2.3 million increase in our license and royalty expenses for the six months ended June 30, 2009 was primarily due to higher CCH royalty fee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The $0.8 million decrease in our general and administrative expenses for the six months ended June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the $1.4 million in severance expense incurred during the six months ended June 30, 2008 primarily related to our former President and Chief Executive Officer. The effect of this decrease was partially offset by $0.7 million in severance expense, including related non-cash stock-based compensation expense, incurred during the six months ended June 30, 2009 related to our former SVP, Business Development.</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Amortization Expense: </w:t>
      </w:r>
      <w:r>
        <w:rPr>
          <w:rFonts w:ascii="Arial" w:cs="Arial" w:eastAsia="Arial" w:hAnsi="Arial"/>
          <w:sz w:val="18"/>
          <w:szCs w:val="18"/>
          <w:color w:val="auto"/>
        </w:rPr>
        <w:t>The increase in our amortization expense of acquired intangible assets for the six months ended June 30, 2009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intangible assets acquired in connection with the AVANT Merger.</w:t>
      </w:r>
    </w:p>
    <w:p>
      <w:pPr>
        <w:spacing w:after="0" w:line="170" w:lineRule="exact"/>
        <w:rPr>
          <w:sz w:val="20"/>
          <w:szCs w:val="20"/>
          <w:color w:val="auto"/>
        </w:rPr>
      </w:pPr>
    </w:p>
    <w:p>
      <w:pPr>
        <w:ind w:right="80" w:firstLine="636"/>
        <w:spacing w:after="0" w:line="308" w:lineRule="auto"/>
        <w:rPr>
          <w:sz w:val="20"/>
          <w:szCs w:val="20"/>
          <w:color w:val="auto"/>
        </w:rPr>
      </w:pPr>
      <w:r>
        <w:rPr>
          <w:rFonts w:ascii="Arial" w:cs="Arial" w:eastAsia="Arial" w:hAnsi="Arial"/>
          <w:sz w:val="17"/>
          <w:szCs w:val="17"/>
          <w:i w:val="1"/>
          <w:iCs w:val="1"/>
          <w:color w:val="auto"/>
        </w:rPr>
        <w:t xml:space="preserve">Investment and Other Income, Net: </w:t>
      </w:r>
      <w:r>
        <w:rPr>
          <w:rFonts w:ascii="Arial" w:cs="Arial" w:eastAsia="Arial" w:hAnsi="Arial"/>
          <w:sz w:val="17"/>
          <w:szCs w:val="17"/>
          <w:color w:val="auto"/>
        </w:rPr>
        <w:t>The decrease in our investment and other income, net for the six months ended June 30, 2009 was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lower average interest rates in 2009. The effect of this decrease was partially offset by higher average cash balances in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liquidity will be affected if our and CuraGen’s shareholders approve the CuraGen Merger and the CuraGen Merger is consummated. At June 30, 2009, CuraGen reported in their Form 10-Q filed with the SEC on August 5, 2009 cash and investments of $76.0 million, working capital of $73.8 million, and 4% convertible subordinated debt due in February 2011 of $14.1 million.</w:t>
      </w:r>
    </w:p>
    <w:p>
      <w:pPr>
        <w:sectPr>
          <w:pgSz w:w="11900" w:h="16918" w:orient="portrait"/>
          <w:cols w:equalWidth="0" w:num="1">
            <w:col w:w="11420"/>
          </w:cols>
          <w:pgMar w:left="240" w:top="320" w:right="239" w:bottom="0" w:gutter="0" w:footer="0" w:header="0"/>
        </w:sectPr>
      </w:pPr>
    </w:p>
    <w:bookmarkStart w:id="22" w:name="page23"/>
    <w:bookmarkEnd w:id="22"/>
    <w:p>
      <w:pPr>
        <w:ind w:firstLine="648"/>
        <w:spacing w:after="0" w:line="257" w:lineRule="auto"/>
        <w:rPr>
          <w:sz w:val="20"/>
          <w:szCs w:val="20"/>
          <w:color w:val="auto"/>
        </w:rPr>
      </w:pPr>
      <w:r>
        <w:rPr>
          <w:rFonts w:ascii="Arial" w:cs="Arial" w:eastAsia="Arial" w:hAnsi="Arial"/>
          <w:sz w:val="18"/>
          <w:szCs w:val="18"/>
          <w:color w:val="auto"/>
        </w:rPr>
        <w:t>At June 30, 2009, our principal sources of liquidity consisted of cash and cash equivalents of $31.6 million. Our working capital at June 30, 2009 was $20.7 million. We incurred a loss of $8.7 million and $16.4 million for the three and six months ended June 30, 2009, respectively. Net cash used in operations for the six months ended June 30, 2009 was $13.5 million. We believe that without the CuraGen Merger, the cash inflows from existing grants and collaborations, interest income on invested funds and our current cash and cash equivalents at June 30, 2009 are sufficient to meet estimated working capital requirements fund planned operations for at least the next twelve months.</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w:t>
      </w:r>
    </w:p>
    <w:p>
      <w:pPr>
        <w:spacing w:after="0" w:line="18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2009, we may take further steps to raise additional capital to meet our long-term liquidity needs including, but not limited to, the licensing of technology programs with existing or new collaborative partners, possible business combinations, or the issuance of common stock via private placements or public offerings. While we may continue to seek capital through a number of means, there can be no assurance that additional financing will be available on acceptable terms, if at all, particularly in light of the recent disruptions in the financial markets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programs, license out programs earlier than expected, raise funds at significant discount or on other unfavorable terms, or sell all or part of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Net cash used in operating activities was $13.5 million for the six months ended June 30, 2009 compared to net cash provided by operating activities of $26.0 million for the six months ended June 30, 2008. The increase in net cash used in operating activities was primarily due to Pfizer’s up-front payment of $40 million received during the six months ended June 30, 2008. We expect that cash used in operations will continue to increase in 2009 as we continue to develop our therapeutic product pipeline and bring forward new product candidates into clinical development. If the CuraGen Merger closes, we expect our cash used in operating activities will increase as we develop the CuraGen product candidates and incur severance, transaction and interest costs, partially offset by an increase in investment income.</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 We also expect to incur future facility costs as a result of continued capital expansion, renovations and replacements. We expect our general and administrative costs to increase as we expand our administrative and business development activities. Furthermore, we expect investment income to decrease as we fund future operations and capital expenditures from our cash reserves.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cash provided by investing activities was $0.5 million for the six months ended June 30, 2009 compared to $10.6 million for the six months ended June 30, 2008. The decrease in net cash provided by investing activities was primarily due to the AVANT Merger in 2008. We expect to incur future facility cost as a result of continued capital expansion, renovation and replacements. Our investment in capital equipment is discretionary and there may be significant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Net cash provided by financing activities was $0.4 million for the six months ended June 30, 2009 compared to $11.0 million for the six months ended June 30, 2008. The decrease in net cash provided by financing activities was primarily due to Pfizer’s one-time $10 million equity investment during the six months ended June 30,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the Pfizer Agreement, Pfizer made an upfront payment $40 million, an equity investment of $10.0 million and will fund all development costs for the licensed programs. We are also eligible to receive potential milestone payments exceeding $390.0 million for the successful development and commercialization of CDX-110 and additional EGFRvIII vaccine products, as well as royalties on any product sales.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ectPr>
          <w:pgSz w:w="11900" w:h="16838" w:orient="portrait"/>
          <w:cols w:equalWidth="0" w:num="1">
            <w:col w:w="11400"/>
          </w:cols>
          <w:pgMar w:left="240" w:top="341" w:right="259" w:bottom="0" w:gutter="0" w:footer="0" w:header="0"/>
        </w:sectPr>
      </w:pPr>
    </w:p>
    <w:bookmarkStart w:id="23" w:name="page24"/>
    <w:bookmarkEnd w:id="23"/>
    <w:p>
      <w:pPr>
        <w:spacing w:after="0" w:line="1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2008 which was filed with the SEC on March 2, 2009 have not materially changed since we filed that report.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committed to make potential future milestone payments to third parties of up to approximately $121 million as part of our various collaborations including licensing and development programs. Payments under these agreements generally become due and payable only upon achievement of certain developmental, regulatory and/or commercial milestones. Because the achievement of these milestones had not occurred as of June 30, 2009, such contingencies have not been recorded in our financial statements. We expect to incur approximately $0.9 million of milestone payments during the remainder of 2009.</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May 2009, we signed the CuraGen Merger Agreement. Under the terms of the CuraGen Merger Agreement, each issued and outstanding share of CuraGen common stock will be converted into our shares based on an exchange ratio as described in the CuraGen Merger Agreement. The CuraGen Merger Agreement provides for certain termination rights for both us and CuraGen and under specified circumstances, we or CuraGen may be required to pay a termination fee of $3.5 million to the other party. The transaction remains subject to our and CuraGen’s shareholder approvals and the satisfaction of customary closing conditions. The transaction is expected to close in the third quarter of 2009.</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40" w:firstLine="630"/>
        <w:spacing w:after="0" w:line="255"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in marketable securities. These marketable securities only include securities with active secondary or resale markets to help insure liquidity. We have implemented investment policies regarding the amount and credit ratings of investments. Because of the short-term nature of these investments, we do not believe we have material exposure due to market risk. The impact to our financial position and results of operations from likely changes in interest rates is not material.</w:t>
      </w:r>
    </w:p>
    <w:p>
      <w:pPr>
        <w:spacing w:after="0" w:line="189" w:lineRule="exact"/>
        <w:rPr>
          <w:sz w:val="20"/>
          <w:szCs w:val="20"/>
          <w:color w:val="auto"/>
        </w:rPr>
      </w:pPr>
    </w:p>
    <w:p>
      <w:pPr>
        <w:ind w:right="340" w:firstLine="630"/>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June 30, 2009 due to the short-term maturities of these instruments.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by us in our reports that we file and submit under the Securities Exchange Act of 1934, as amended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required by Rule 13a-15 under the Exchange Act, as of June 30, 2009, we carried out an evaluation under the supervision and with the participation of our management, including our Chief Executive Officer and Chief Financial Officer, of the effectiveness of the design and operation of our disclosure controls and procedures as of the three months ended June 30, 2009.</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have concluded that our disclosure controls and procedures were effective as of June 30, 2009.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340" w:firstLine="79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June 30, 2009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the Material Weakness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disclosed in our 2009 Form 10-Q for the three months ended March 31, 2009, we added personnel to our accounting staff with appropriate levels of experience to remediate the aforementioned material weakness. As of June 30, 2009, the additional personnel and the resulting improvements in our internal controls have been in place for a sufficient period of time such that we have concluded that the material weakness disclosed in our 2008 Annual Report on Form 10-K related to the insufficient level of experience within our accounting department has been remediated. We have evaluated the remediation measure described above in connection with the execution of our quarterly disclosure controls and procedures as of June 30,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Following the announcement of the proposed acquisition by Celldex of CuraGen, a putative class action complaint, </w:t>
      </w:r>
      <w:r>
        <w:rPr>
          <w:rFonts w:ascii="Arial" w:cs="Arial" w:eastAsia="Arial" w:hAnsi="Arial"/>
          <w:sz w:val="17"/>
          <w:szCs w:val="17"/>
          <w:i w:val="1"/>
          <w:iCs w:val="1"/>
          <w:color w:val="auto"/>
        </w:rPr>
        <w:t>Margaret Capps v. Timothy</w:t>
      </w:r>
      <w:r>
        <w:rPr>
          <w:rFonts w:ascii="Arial" w:cs="Arial" w:eastAsia="Arial" w:hAnsi="Arial"/>
          <w:sz w:val="17"/>
          <w:szCs w:val="17"/>
          <w:color w:val="auto"/>
        </w:rPr>
        <w:t xml:space="preserve"> </w:t>
      </w:r>
      <w:r>
        <w:rPr>
          <w:rFonts w:ascii="Arial" w:cs="Arial" w:eastAsia="Arial" w:hAnsi="Arial"/>
          <w:sz w:val="17"/>
          <w:szCs w:val="17"/>
          <w:i w:val="1"/>
          <w:iCs w:val="1"/>
          <w:color w:val="auto"/>
        </w:rPr>
        <w:t>Shannon, et al.</w:t>
      </w:r>
      <w:r>
        <w:rPr>
          <w:rFonts w:ascii="Arial" w:cs="Arial" w:eastAsia="Arial" w:hAnsi="Arial"/>
          <w:sz w:val="17"/>
          <w:szCs w:val="17"/>
          <w:color w:val="auto"/>
        </w:rPr>
        <w:t>, was filed in the Connecticut Superior Court, Judicial District of New Haven, on June 9, 2009. A second putative class action complaint,</w:t>
      </w:r>
      <w:r>
        <w:rPr>
          <w:rFonts w:ascii="Arial" w:cs="Arial" w:eastAsia="Arial" w:hAnsi="Arial"/>
          <w:sz w:val="17"/>
          <w:szCs w:val="17"/>
          <w:i w:val="1"/>
          <w:iCs w:val="1"/>
          <w:color w:val="auto"/>
        </w:rPr>
        <w:t xml:space="preserve"> Cheryl Smith v. CuraGen Corporation, et al.</w:t>
      </w:r>
      <w:r>
        <w:rPr>
          <w:rFonts w:ascii="Arial" w:cs="Arial" w:eastAsia="Arial" w:hAnsi="Arial"/>
          <w:sz w:val="17"/>
          <w:szCs w:val="17"/>
          <w:color w:val="auto"/>
        </w:rPr>
        <w:t>, was filed in the Court of Chancery of the State of Delaware on June 15, 2009. Both lawsuits (the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purport to be brought on behalf of all public stockholders of CuraGen, and name CuraGen, all of its directors, Celldex, and Cottrell Merger Sub as defendants. The complaints allege, among other things, that the merger consideration to be paid to CuraGen stockholders in the merger is unfair and undervalues CuraGen. In addition, the complaints allege that CuraGen’s directors violated their fiduciary duties by, among other things, failing to maximize stockholder value and failing to engage in a fair sale process. The Plaintiffs in the Actions also sought to add claims that CuraGen’s directors breached their fiduciary duty of disclosure by making purportedly misleading and incomplete disclosures in the preliminary proxy statement concerning the merger. The complaints also allege that CuraGen and Celldex aided and abetted the alleged breaches of fiduciary duties by CuraGen’s directors.</w:t>
      </w:r>
    </w:p>
    <w:p>
      <w:pPr>
        <w:sectPr>
          <w:pgSz w:w="11900" w:h="16850" w:orient="portrait"/>
          <w:cols w:equalWidth="0" w:num="1">
            <w:col w:w="11420"/>
          </w:cols>
          <w:pgMar w:left="240" w:top="125" w:right="239" w:bottom="0" w:gutter="0" w:footer="0" w:header="0"/>
        </w:sectPr>
      </w:pPr>
    </w:p>
    <w:bookmarkStart w:id="24" w:name="page25"/>
    <w:bookmarkEnd w:id="24"/>
    <w:p>
      <w:pPr>
        <w:ind w:right="60" w:firstLine="648"/>
        <w:spacing w:after="0" w:line="270" w:lineRule="auto"/>
        <w:rPr>
          <w:sz w:val="20"/>
          <w:szCs w:val="20"/>
          <w:color w:val="auto"/>
        </w:rPr>
      </w:pPr>
      <w:r>
        <w:rPr>
          <w:rFonts w:ascii="Arial" w:cs="Arial" w:eastAsia="Arial" w:hAnsi="Arial"/>
          <w:sz w:val="17"/>
          <w:szCs w:val="17"/>
          <w:color w:val="auto"/>
        </w:rPr>
        <w:t>On July 21, 2009, the attorneys for the parties in the Actions executed a memorandum of understanding (the “MOU”) pursuant to which such Actions will be dismissed with prejudice, subject to final court approval of the settlement in the MOU. CuraGen agreed to make certain revisions to the joint proxy statement/prospectus as part of the agreement among the parties to settle the Actions and agreed to pay attorneys’ fees and expenses as awarded by the court (which payment of attorneys’ fees and expenses is expressly conditioned on, among things, the closing of the merger). The settlement of the Actions, subject to court approval, will result in a dismissal of all merger-related claims against CuraGen’s Board of Directors, CuraGen and Celldex. The MOU resolves the allegations by the plaintiffs against the defendants in connection with the proposed acquisition, and includes no admission of wrongdoing. The settlement outlined in the MOU is subject to, among other things, (i) drafting and execution of a formal stipulation of settlement and such other documentation as may be required to obtain final court approval of the settlement, (ii) consummation of the merger, (iii) final court approval of the settlement and entry of a final order and judgment by the court providing for such release language as is contained in the settlement documents, and (iv) the entry of orders dismissing the Actions with prejudice on the merits.</w:t>
      </w:r>
    </w:p>
    <w:p>
      <w:pPr>
        <w:spacing w:after="0" w:line="17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2008, which could materially affect our business, financial condition or future results. The risks described in our Annual Report on Form 10-K may not be the only risks facing us. Additional risks and uncertainties not currently known to us or that we currently deems to be immaterial also may materially adversely affect our business, financial condition and/or operating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Except for risk factors relating to the CuraGen Merger set forth below, there were no material changes to the risk factors previously disclosed in our Annual Report on Form 10-K filed with the Securities and Exchange Commission on March 2, 2009.</w:t>
      </w:r>
    </w:p>
    <w:p>
      <w:pPr>
        <w:spacing w:after="0" w:line="166"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Because certain of the components of the exchange ratio will fluctuate prior to closing, CuraGen’s and Celldex’s stockholders cannot be certain of the value of the CuraGen Merger consideration or their percentage ownership of the combined company following the CuraGen Merger.</w:t>
      </w:r>
    </w:p>
    <w:p>
      <w:pPr>
        <w:spacing w:after="0" w:line="12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Upon completion of the CuraGen Merger, each share of CuraGen common stock will be converted into the right to receive a number of shares of Celldex’s common stock in accordance with an exchange ratio calculated based upon a formula described in the CuraGen Merger Agreement. Because the exchange ratio formula is based in part on CuraGen’s net cash and related resources at the time of the closing, as well as the average market price of Celldex’s stock over a period of time prior to the closing, it will be impossible to determine at the time of the CuraGen and Celldex stockholder meetings the precise value of the merger consideration payable in respect of each share of CuraGen common stock, the number of shares of Celldex common stock that will be issued pursuant to the merger, or the percentage of the combined company that will be owned by former CuraGen stockholders immediately after the effective time of the merger. However, the merger agreement provides that, to the extent the exchange ratio formula would require Celldex to issue shares of its common stock pursuant to the CuraGen Merger (including shares issued upon exercise of CuraGen in-the-money options assumed by Celldex in the CuraGen Merger) equal to more than 58% of the sum of the total number of shares of Celldex common stock outstanding immediately after the effective time of the CuraGen Merger (which number includes the shares of CuraGen common stock outstanding immediately prior to the effective time of the CuraGen Merger that are converted into shares of Celldex common stock in the CuraGen Merger) plus the maximum number of shares of Celldex common stock issuable upon exercise of CuraGen in-the-money options assumed by Celldex in the CuraGen Merger, the exchange ratio will become fixed so that Celldex will issue pursuant to the CuraGen Merger shares constituting 58% of such number of shares. Similarly, the CuraGen Merger Agreement provides that, to the extent the exchange ratio would require Celldex to issue shares of Celldex’s common stock pursuant to the CuraGen Merger (including shares issued upon exercise of CuraGen in-the-money options assumed by Celldex in the CuraGen Merger) equal to less than 32.5% of the sum of the total number of shares of Celldex common stock outstanding immediately after the effective time of the CuraGen Merger (which number includes the shares of CuraGen common stock outstanding immediately prior to the effective time of the CuraGen Merger that are converted into shares of Celldex common stock in the CuraGen Merger) plus the maximum number of shares of Celldex common stock issuable upon exercise of CuraGen in-the-money options assumed by Celldex in the CuraGen Merger, the exchange ratio will become fixed so that Celldex will issue shares pursuant to the CuraGen Merger constituting 32.5% of such number of shares.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Neither Celldex nor CuraGen is permitted to terminate the CuraGen Merger Agreement or re-solicit the vote of its stockholders solely because of changes in the market prices of either company’s stock or CuraGen’s net cash and related resources at closing. There will be no adjustment to the exchange ratio formula for changes in the market price of shares of CuraGen or Celldex common stock. Stock price changes may result from a variety of factors, including general market and economic conditions, changes in Celldex’s or CuraGen’s business, operations and prospects, and regulatory considerations. Many of these factors are beyond Celldex’s and CuraGen’s control. You should obtain current market quotations for shares of Celldex common stock and for shares of CuraGen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Each of Celldex and CuraGen will be subject to business uncertainties and contractual restrictions while the CuraGen Merger is pending.</w:t>
      </w:r>
    </w:p>
    <w:p>
      <w:pPr>
        <w:spacing w:after="0" w:line="241"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Uncertainty about the effect of the CuraGen Merger on employees and customers may have an adverse effect on CuraGen and consequently on Celldex. These uncertainties may impair CuraGen’s ability to attract, retain and motivate key personnel until the merger is consummated, and could cause customers and others that deal with CuraGen to seek to change existing business relationships with CuraGen. Retention of certain employees may be challenging during the pendency of the CuraGen Merger, as certain employees may experience uncertainty about their future roles with Celldex. If key employees depart because of issues relating to the uncertainty and difficulty of integration or a desire not to remain with Celldex, Celldex’s business following the CuraGen Merger could be harmed. In addition, the CuraGen Merger Agreement restricts each of CuraGen and Celldex from making certain acquisitions and taking other specified actions until the merger occurs without the consent of the other party. These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restrictions may prevent each of Celldex and CuraGen from pursuing attractive business opportunities that may arise prior to the completion of the CuraGen Merger.</w:t>
      </w:r>
    </w:p>
    <w:p>
      <w:pPr>
        <w:sectPr>
          <w:pgSz w:w="11900" w:h="16838" w:orient="portrait"/>
          <w:cols w:equalWidth="0" w:num="1">
            <w:col w:w="11420"/>
          </w:cols>
          <w:pgMar w:left="240" w:top="341" w:right="239" w:bottom="0" w:gutter="0" w:footer="0" w:header="0"/>
        </w:sectPr>
      </w:pPr>
    </w:p>
    <w:bookmarkStart w:id="25" w:name="page26"/>
    <w:bookmarkEnd w:id="25"/>
    <w:p>
      <w:pPr>
        <w:ind w:right="460"/>
        <w:spacing w:after="0" w:line="282" w:lineRule="auto"/>
        <w:rPr>
          <w:sz w:val="20"/>
          <w:szCs w:val="20"/>
          <w:color w:val="auto"/>
        </w:rPr>
      </w:pPr>
      <w:r>
        <w:rPr>
          <w:rFonts w:ascii="Arial" w:cs="Arial" w:eastAsia="Arial" w:hAnsi="Arial"/>
          <w:sz w:val="18"/>
          <w:szCs w:val="18"/>
          <w:b w:val="1"/>
          <w:bCs w:val="1"/>
          <w:color w:val="auto"/>
        </w:rPr>
        <w:t>If we are not successful in integrating CuraGen’s organization, we may not be able to operate efficiently after the CuraGen Merger, which may harm the value of our common stock.</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Achieving the benefits of the CuraGen Merger will depend in part on the successful integration of CuraGen’s operations and personnel in a timely and efficient manner. The integration process requires coordination of different development, regulatory, manufacturing and commercial teams, and involves the integration of systems, applications, policies, procedures, business processes and operations. This may be difficult and unpredictable because of possible cultural conflicts and different opinions on scientific and regulatory matters. If we cannot successfully integrate CuraGen’s operations and personnel, we may not realize the expected benefits of the CuraGen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Integrating CuraGen’s organization may divert management’s attention away from our operations.</w:t>
      </w:r>
    </w:p>
    <w:p>
      <w:pPr>
        <w:spacing w:after="0" w:line="22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Successful integration of CuraGen’s operations, products and personnel may place a significant burden on our management and internal resources. The diversion of management’s attention and any difficulties encountered in the transition and integration process could result in delays in the clinical trial programs of CuraGen and/or Celldex and could otherwise harm our business,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incur significant costs integrating Celldex and CuraGen into a single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incur significant costs integrating CuraGen’s operations, products and personnel. These costs may include costs for:</w:t>
      </w:r>
    </w:p>
    <w:p>
      <w:pPr>
        <w:spacing w:after="0" w:line="225"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redeployment or relocation;</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conversion of information systems;</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combining development, regulatory, manufacturing and commercial teams and processes;</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reorganization of facilities; and</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relocation or disposition of excess equipment.</w:t>
      </w:r>
    </w:p>
    <w:p>
      <w:pPr>
        <w:spacing w:after="0" w:line="20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one or more of our products cannot be shown to be safe and effective in clinical trials, is not approvable or not commercially successful, then the benefits of the merger may not be realized.</w:t>
      </w:r>
    </w:p>
    <w:p>
      <w:pPr>
        <w:spacing w:after="0" w:line="166"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combined company will have four products in clinical development and two products scheduled to enter clinical testing in 2010. All of these products must be rigorously tested in clinical trials, and shown to be safe and effective before the U.S. Food and Drug Administration, or its foreign counterparts, will consider them for approval. Failure to demonstrate that one or more of the products is safe and effective, or significant delays in demonstrating safety and efficacy, could diminish the benefits of the merger. All of these products must be approved by a government authority such as the U.S. Food and Drug Administration before they can be commercialized. Failure of one or more of the products to obtain such approval, or significant delays in obtaining such approval, could diminish the benefits of the merger. Once approved for sale, the products must be successfully commercialized. Failure to commercialize successfully one or more of the products could diminish the benefits of the CuraGen Merger.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CuraGen Merger could negatively impact the stock price and the future business and financial results of Celldex.</w:t>
      </w:r>
    </w:p>
    <w:p>
      <w:pPr>
        <w:spacing w:after="0" w:line="24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the CuraGen Merger is not completed, the ongoing businesses of Celldex may be adversely affected and, without realizing any of the benefits of having completed the merger, Celldex will be subject to a number of risks, including the following:</w:t>
      </w:r>
    </w:p>
    <w:p>
      <w:pPr>
        <w:spacing w:after="0" w:line="170" w:lineRule="exact"/>
        <w:rPr>
          <w:sz w:val="20"/>
          <w:szCs w:val="20"/>
          <w:color w:val="auto"/>
        </w:rPr>
      </w:pPr>
    </w:p>
    <w:p>
      <w:pPr>
        <w:ind w:left="880" w:right="820" w:hanging="224"/>
        <w:spacing w:after="0" w:line="277" w:lineRule="auto"/>
        <w:tabs>
          <w:tab w:leader="none" w:pos="8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Celldex may be required to pay CuraGen a termination fee of $3,500,000 if the CuraGen Merger Agreement is terminated under certain circumstances;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Celldex will be required to pay certain costs relating to the merger, whether or not the CuraGen Merger is completed; and</w:t>
      </w:r>
    </w:p>
    <w:p>
      <w:pPr>
        <w:spacing w:after="0" w:line="23" w:lineRule="exact"/>
        <w:rPr>
          <w:rFonts w:ascii="Arial" w:cs="Arial" w:eastAsia="Arial" w:hAnsi="Arial"/>
          <w:sz w:val="18"/>
          <w:szCs w:val="18"/>
          <w:color w:val="auto"/>
        </w:rPr>
      </w:pPr>
    </w:p>
    <w:p>
      <w:pPr>
        <w:ind w:left="880" w:right="220" w:hanging="224"/>
        <w:spacing w:after="0" w:line="255" w:lineRule="auto"/>
        <w:tabs>
          <w:tab w:leader="none" w:pos="8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matters relating to the CuraGen Merger (including integration planning) may require substantial commitments of time and resources by Celldex management, which could otherwise have been devoted to other opportunities that may have been beneficial to Celldex as an independent company.</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Celldex also could be subject to litigation related to any failure to complete the CuraGen Merger. If the CuraGen Merger is not completed, these risks may materialize and may adversely affect Celldex’s business, financial results and stock price.</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Celldex stockholders will have a reduced ownership and voting interest after the CuraGen Merger and will exercise less influence over management of the combined company.</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Celldex may issue shares of common stock in the merger equal to more than 50% of the total number of shares of Celldex common stock outstanding immediately after the CuraGen Merger. Regardless of the actual number of shares of Celldex common stock issued, after the effective time of the CuraGen Merger, Celldex stockholders will own in the aggregate a significantly smaller percentage of the combined company than they currently own. Immediately after the effective time of the CuraGen Merger, Celldex’s current stockholders will own between 42% and 67.5% of the combined company. Consequently, Celldex stockholders, as a general matter, may have less influence over the management and policies of the combined company than they currently exercise over the management and policies of Celldex.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Merger, dated as of May 28, 2009, by and among Celldex Therapeutics, Inc., CuraGen Corporation and Cottrell</w:t>
      </w:r>
    </w:p>
    <w:p>
      <w:pPr>
        <w:sectPr>
          <w:pgSz w:w="11900" w:h="16838" w:orient="portrait"/>
          <w:cols w:equalWidth="0" w:num="1">
            <w:col w:w="11420"/>
          </w:cols>
          <w:pgMar w:left="240" w:top="121" w:right="239" w:bottom="0" w:gutter="0" w:footer="0" w:header="0"/>
        </w:sectPr>
      </w:pPr>
    </w:p>
    <w:bookmarkStart w:id="26" w:name="page27"/>
    <w:bookmarkEnd w:id="26"/>
    <w:p>
      <w:pPr>
        <w:ind w:left="1120" w:right="700"/>
        <w:spacing w:after="0" w:line="258" w:lineRule="auto"/>
        <w:rPr>
          <w:sz w:val="20"/>
          <w:szCs w:val="20"/>
          <w:color w:val="auto"/>
        </w:rPr>
      </w:pPr>
      <w:r>
        <w:rPr>
          <w:rFonts w:ascii="Arial" w:cs="Arial" w:eastAsia="Arial" w:hAnsi="Arial"/>
          <w:sz w:val="18"/>
          <w:szCs w:val="18"/>
          <w:color w:val="auto"/>
        </w:rPr>
        <w:t>Merger Sub, Inc. incorporated by reference to Exhibit 2.1 of the Company’s Current Report on Form 8-K filed May 29, 2009 with the Securities and Exchange Commission.</w:t>
      </w:r>
    </w:p>
    <w:p>
      <w:pPr>
        <w:spacing w:after="0" w:line="1" w:lineRule="exact"/>
        <w:rPr>
          <w:sz w:val="20"/>
          <w:szCs w:val="20"/>
          <w:color w:val="auto"/>
        </w:rPr>
      </w:pPr>
    </w:p>
    <w:p>
      <w:pPr>
        <w:ind w:left="1120" w:right="60" w:hanging="794"/>
        <w:spacing w:after="0" w:line="250" w:lineRule="auto"/>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120" w:right="340" w:hanging="794"/>
        <w:spacing w:after="0" w:line="281" w:lineRule="auto"/>
        <w:tabs>
          <w:tab w:leader="none" w:pos="1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120" w:right="80" w:hanging="794"/>
        <w:spacing w:after="0" w:line="281" w:lineRule="auto"/>
        <w:tabs>
          <w:tab w:leader="none" w:pos="11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1120" w:right="40" w:hanging="794"/>
        <w:spacing w:after="0" w:line="250" w:lineRule="auto"/>
        <w:tabs>
          <w:tab w:leader="none" w:pos="11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1120" w:right="240" w:hanging="794"/>
        <w:spacing w:after="0" w:line="265" w:lineRule="auto"/>
        <w:tabs>
          <w:tab w:leader="none" w:pos="11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1120" w:right="100" w:hanging="794"/>
        <w:spacing w:after="0" w:line="265" w:lineRule="auto"/>
        <w:tabs>
          <w:tab w:leader="none" w:pos="11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1120" w:right="60" w:hanging="794"/>
        <w:spacing w:after="0" w:line="265" w:lineRule="auto"/>
        <w:tabs>
          <w:tab w:leader="none" w:pos="11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ind w:left="1120" w:right="260" w:hanging="794"/>
        <w:spacing w:after="0" w:line="265" w:lineRule="auto"/>
        <w:tabs>
          <w:tab w:leader="none" w:pos="1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20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140" w:hanging="67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40" w:hanging="67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Dated: August 7, 2009</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Dated: August 7, 2009</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tcPr>
          <w:p>
            <w:pPr>
              <w:ind w:left="426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60" w:type="dxa"/>
            <w:vAlign w:val="bottom"/>
            <w:gridSpan w:val="4"/>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10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gridSpan w:val="2"/>
          </w:tcPr>
          <w:p>
            <w:pPr>
              <w:ind w:left="36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0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0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Agreement and Plan of Merger, dated as of May 28, 2009, by and among Celldex Therapeutics, Inc., CuraGen Corporation and Cottrell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6"/>
              </w:rPr>
              <w:t>Merger Sub, Inc. incorporated by reference to Exhibit 2.1 of the Company’s Current Report on Form 8-K filed May 29, 2009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5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7"/>
              </w:rPr>
              <w:t>Third Restated Certificate of Incorporation of the Company, incorporated by reference to Exhibit 3.1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5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5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7"/>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5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5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5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760" w:type="dxa"/>
            <w:vAlign w:val="bottom"/>
          </w:tcPr>
          <w:p>
            <w:pPr>
              <w:jc w:val="center"/>
              <w:ind w:right="190"/>
              <w:spacing w:after="0"/>
              <w:rPr>
                <w:sz w:val="20"/>
                <w:szCs w:val="20"/>
                <w:color w:val="auto"/>
              </w:rPr>
            </w:pPr>
            <w:r>
              <w:rPr>
                <w:rFonts w:ascii="Arial" w:cs="Arial" w:eastAsia="Arial" w:hAnsi="Arial"/>
                <w:sz w:val="18"/>
                <w:szCs w:val="18"/>
                <w:color w:val="auto"/>
                <w:w w:val="95"/>
              </w:rPr>
              <w:t>3.7</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76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760" w:type="dxa"/>
            <w:vAlign w:val="bottom"/>
          </w:tcPr>
          <w:p>
            <w:pPr>
              <w:jc w:val="center"/>
              <w:ind w:right="190"/>
              <w:spacing w:after="0"/>
              <w:rPr>
                <w:sz w:val="20"/>
                <w:szCs w:val="20"/>
                <w:color w:val="auto"/>
              </w:rPr>
            </w:pPr>
            <w:r>
              <w:rPr>
                <w:rFonts w:ascii="Arial" w:cs="Arial" w:eastAsia="Arial" w:hAnsi="Arial"/>
                <w:sz w:val="18"/>
                <w:szCs w:val="18"/>
                <w:color w:val="auto"/>
                <w:w w:val="95"/>
              </w:rPr>
              <w:t>4.3</w:t>
            </w:r>
          </w:p>
        </w:tc>
        <w:tc>
          <w:tcPr>
            <w:tcW w:w="10320" w:type="dxa"/>
            <w:vAlign w:val="bottom"/>
          </w:tcPr>
          <w:p>
            <w:pPr>
              <w:ind w:left="280"/>
              <w:spacing w:after="0"/>
              <w:rPr>
                <w:sz w:val="20"/>
                <w:szCs w:val="20"/>
                <w:color w:val="auto"/>
              </w:rPr>
            </w:pPr>
            <w:r>
              <w:rPr>
                <w:rFonts w:ascii="Arial" w:cs="Arial" w:eastAsia="Arial" w:hAnsi="Arial"/>
                <w:sz w:val="18"/>
                <w:szCs w:val="18"/>
                <w:color w:val="auto"/>
                <w:w w:val="90"/>
              </w:rPr>
              <w:t>Amendment No. 2 to Shareholder Rights Agreement dated November 5, 2004, between the Company and Computershare Trust Company,</w:t>
            </w:r>
          </w:p>
        </w:tc>
      </w:tr>
      <w:tr>
        <w:trPr>
          <w:trHeight w:val="216"/>
        </w:trPr>
        <w:tc>
          <w:tcPr>
            <w:tcW w:w="76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N.A. (formerly EquiServe Trust Company, N.A.) as Rights Agent, incorporated by reference to Exhibit 10.1 of the Company’s Registration</w:t>
            </w:r>
          </w:p>
        </w:tc>
      </w:tr>
      <w:tr>
        <w:trPr>
          <w:trHeight w:val="216"/>
        </w:trPr>
        <w:tc>
          <w:tcPr>
            <w:tcW w:w="76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760" w:type="dxa"/>
            <w:vAlign w:val="bottom"/>
          </w:tcPr>
          <w:p>
            <w:pPr>
              <w:jc w:val="center"/>
              <w:ind w:right="190"/>
              <w:spacing w:after="0"/>
              <w:rPr>
                <w:sz w:val="20"/>
                <w:szCs w:val="20"/>
                <w:color w:val="auto"/>
              </w:rPr>
            </w:pPr>
            <w:r>
              <w:rPr>
                <w:rFonts w:ascii="Arial" w:cs="Arial" w:eastAsia="Arial" w:hAnsi="Arial"/>
                <w:sz w:val="18"/>
                <w:szCs w:val="18"/>
                <w:color w:val="auto"/>
                <w:w w:val="95"/>
              </w:rPr>
              <w:t>*31.1</w:t>
            </w:r>
          </w:p>
        </w:tc>
        <w:tc>
          <w:tcPr>
            <w:tcW w:w="10320" w:type="dxa"/>
            <w:vAlign w:val="bottom"/>
          </w:tcPr>
          <w:p>
            <w:pPr>
              <w:ind w:left="28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760" w:type="dxa"/>
            <w:vAlign w:val="bottom"/>
          </w:tcPr>
          <w:p>
            <w:pPr>
              <w:jc w:val="center"/>
              <w:ind w:right="190"/>
              <w:spacing w:after="0"/>
              <w:rPr>
                <w:sz w:val="20"/>
                <w:szCs w:val="20"/>
                <w:color w:val="auto"/>
              </w:rPr>
            </w:pPr>
            <w:r>
              <w:rPr>
                <w:rFonts w:ascii="Arial" w:cs="Arial" w:eastAsia="Arial" w:hAnsi="Arial"/>
                <w:sz w:val="18"/>
                <w:szCs w:val="18"/>
                <w:color w:val="auto"/>
                <w:w w:val="95"/>
              </w:rPr>
              <w:t>*31.2</w:t>
            </w:r>
          </w:p>
        </w:tc>
        <w:tc>
          <w:tcPr>
            <w:tcW w:w="10320" w:type="dxa"/>
            <w:vAlign w:val="bottom"/>
          </w:tcPr>
          <w:p>
            <w:pPr>
              <w:ind w:left="28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30"/>
        </w:trPr>
        <w:tc>
          <w:tcPr>
            <w:tcW w:w="760" w:type="dxa"/>
            <w:vAlign w:val="bottom"/>
          </w:tcPr>
          <w:p>
            <w:pPr>
              <w:jc w:val="center"/>
              <w:ind w:right="190"/>
              <w:spacing w:after="0"/>
              <w:rPr>
                <w:sz w:val="20"/>
                <w:szCs w:val="20"/>
                <w:color w:val="auto"/>
              </w:rPr>
            </w:pPr>
            <w:r>
              <w:rPr>
                <w:rFonts w:ascii="Arial" w:cs="Arial" w:eastAsia="Arial" w:hAnsi="Arial"/>
                <w:sz w:val="18"/>
                <w:szCs w:val="18"/>
                <w:color w:val="auto"/>
                <w:w w:val="97"/>
              </w:rPr>
              <w:t>**32.1</w:t>
            </w:r>
          </w:p>
        </w:tc>
        <w:tc>
          <w:tcPr>
            <w:tcW w:w="1032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40" w:hanging="74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40" w:hanging="74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60" w:top="125" w:right="25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80" w:hanging="59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80" w:right="220" w:hanging="592"/>
        <w:spacing w:after="0" w:line="26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80" w:hanging="592"/>
        <w:spacing w:after="0" w:line="308" w:lineRule="auto"/>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592"/>
        <w:spacing w:after="0" w:line="26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60" w:right="180" w:hanging="682"/>
        <w:spacing w:after="0" w:line="264"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60" w:right="100" w:hanging="682"/>
        <w:spacing w:after="0" w:line="264"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60" w:right="260" w:hanging="682"/>
        <w:spacing w:after="0" w:line="342" w:lineRule="auto"/>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60" w:right="260" w:hanging="682"/>
        <w:spacing w:after="0" w:line="264"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100" w:hanging="592"/>
        <w:spacing w:after="0" w:line="308" w:lineRule="auto"/>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60" w:right="500" w:hanging="682"/>
        <w:spacing w:after="0" w:line="342" w:lineRule="auto"/>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60" w:right="200" w:hanging="682"/>
        <w:spacing w:after="0" w:line="277"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7, 2009</w:t>
            </w:r>
          </w:p>
        </w:tc>
        <w:tc>
          <w:tcPr>
            <w:tcW w:w="2900" w:type="dxa"/>
            <w:vAlign w:val="bottom"/>
          </w:tcPr>
          <w:p>
            <w:pPr>
              <w:ind w:left="21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290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900" w:type="dxa"/>
            <w:vAlign w:val="bottom"/>
          </w:tcPr>
          <w:p>
            <w:pPr>
              <w:ind w:left="218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2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80" w:hanging="59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80" w:right="220" w:hanging="592"/>
        <w:spacing w:after="0" w:line="264"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80" w:hanging="592"/>
        <w:spacing w:after="0" w:line="308" w:lineRule="auto"/>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592"/>
        <w:spacing w:after="0" w:line="264"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20" w:right="220" w:hanging="642"/>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20" w:right="140" w:hanging="642"/>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20" w:right="300" w:hanging="642"/>
        <w:spacing w:after="0" w:line="342" w:lineRule="auto"/>
        <w:tabs>
          <w:tab w:leader="none" w:pos="1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right="300" w:hanging="642"/>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100" w:hanging="592"/>
        <w:spacing w:after="0" w:line="308" w:lineRule="auto"/>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20" w:right="540" w:hanging="642"/>
        <w:spacing w:after="0" w:line="342" w:lineRule="auto"/>
        <w:tabs>
          <w:tab w:leader="none" w:pos="1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20" w:right="240" w:hanging="642"/>
        <w:spacing w:after="0" w:line="277"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7, 2009</w:t>
            </w:r>
          </w:p>
        </w:tc>
        <w:tc>
          <w:tcPr>
            <w:tcW w:w="2900" w:type="dxa"/>
            <w:vAlign w:val="bottom"/>
          </w:tcPr>
          <w:p>
            <w:pPr>
              <w:ind w:left="21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290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900" w:type="dxa"/>
            <w:vAlign w:val="bottom"/>
          </w:tcPr>
          <w:p>
            <w:pPr>
              <w:ind w:left="218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72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August 7, 2009</w:t>
            </w:r>
          </w:p>
        </w:tc>
        <w:tc>
          <w:tcPr>
            <w:tcW w:w="2940" w:type="dxa"/>
            <w:vAlign w:val="bottom"/>
          </w:tcPr>
          <w:p>
            <w:pPr>
              <w:ind w:left="21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40" w:type="dxa"/>
            <w:vAlign w:val="bottom"/>
          </w:tcPr>
          <w:p>
            <w:pPr>
              <w:spacing w:after="0"/>
              <w:rPr>
                <w:sz w:val="16"/>
                <w:szCs w:val="16"/>
                <w:color w:val="auto"/>
              </w:rPr>
            </w:pPr>
          </w:p>
        </w:tc>
        <w:tc>
          <w:tcPr>
            <w:tcW w:w="294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August 7, 2009</w:t>
            </w:r>
          </w:p>
        </w:tc>
        <w:tc>
          <w:tcPr>
            <w:tcW w:w="2940" w:type="dxa"/>
            <w:vAlign w:val="bottom"/>
          </w:tcPr>
          <w:p>
            <w:pPr>
              <w:ind w:left="21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40" w:type="dxa"/>
            <w:vAlign w:val="bottom"/>
          </w:tcPr>
          <w:p>
            <w:pPr>
              <w:spacing w:after="0"/>
              <w:rPr>
                <w:sz w:val="16"/>
                <w:szCs w:val="16"/>
                <w:color w:val="auto"/>
              </w:rPr>
            </w:pPr>
          </w:p>
        </w:tc>
        <w:tc>
          <w:tcPr>
            <w:tcW w:w="294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740" w:type="dxa"/>
            <w:vAlign w:val="bottom"/>
          </w:tcPr>
          <w:p>
            <w:pPr>
              <w:spacing w:after="0"/>
              <w:rPr>
                <w:sz w:val="18"/>
                <w:szCs w:val="18"/>
                <w:color w:val="auto"/>
              </w:rPr>
            </w:pPr>
          </w:p>
        </w:tc>
        <w:tc>
          <w:tcPr>
            <w:tcW w:w="2940" w:type="dxa"/>
            <w:vAlign w:val="bottom"/>
          </w:tcPr>
          <w:p>
            <w:pPr>
              <w:ind w:left="218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2019-12-10T06:10:57Z</dcterms:created>
  <dcterms:modified xsi:type="dcterms:W3CDTF">2019-12-10T06:10:57Z</dcterms:modified>
</cp:coreProperties>
</file>