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980" w:right="460" w:hanging="648"/>
        <w:spacing w:after="0" w:line="286" w:lineRule="auto"/>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000-15006</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CELLDEX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4"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3480" w:type="dxa"/>
            <w:vAlign w:val="bottom"/>
          </w:tcPr>
          <w:p>
            <w:pPr>
              <w:jc w:val="center"/>
              <w:ind w:right="1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6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13-3191702</w:t>
            </w:r>
          </w:p>
        </w:tc>
      </w:tr>
      <w:tr>
        <w:trPr>
          <w:trHeight w:val="148"/>
        </w:trPr>
        <w:tc>
          <w:tcPr>
            <w:tcW w:w="3480" w:type="dxa"/>
            <w:vAlign w:val="bottom"/>
          </w:tcPr>
          <w:p>
            <w:pPr>
              <w:jc w:val="center"/>
              <w:ind w:right="17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60" w:type="dxa"/>
            <w:vAlign w:val="bottom"/>
          </w:tcPr>
          <w:p>
            <w:pPr>
              <w:jc w:val="center"/>
              <w:ind w:left="170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48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60" w:type="dxa"/>
            <w:vAlign w:val="bottom"/>
          </w:tcPr>
          <w:p>
            <w:pPr>
              <w:jc w:val="center"/>
              <w:ind w:left="170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Perryville III Building, 53 Frontage Road, Suite 220, Hampton, New Jersey 08827</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(908) 200-7500</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37"/>
        </w:trPr>
        <w:tc>
          <w:tcPr>
            <w:tcW w:w="3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Title of Each Class:</w:t>
            </w:r>
          </w:p>
        </w:tc>
        <w:tc>
          <w:tcPr>
            <w:tcW w:w="3820" w:type="dxa"/>
            <w:vAlign w:val="bottom"/>
            <w:gridSpan w:val="3"/>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980" w:type="dxa"/>
            <w:vAlign w:val="bottom"/>
          </w:tcPr>
          <w:p>
            <w:pPr>
              <w:jc w:val="center"/>
              <w:ind w:right="666"/>
              <w:spacing w:after="0"/>
              <w:rPr>
                <w:sz w:val="20"/>
                <w:szCs w:val="20"/>
                <w:color w:val="auto"/>
              </w:rPr>
            </w:pPr>
            <w:r>
              <w:rPr>
                <w:rFonts w:ascii="Times New Roman" w:cs="Times New Roman" w:eastAsia="Times New Roman" w:hAnsi="Times New Roman"/>
                <w:sz w:val="11"/>
                <w:szCs w:val="11"/>
                <w:b w:val="1"/>
                <w:bCs w:val="1"/>
                <w:color w:val="auto"/>
                <w:w w:val="98"/>
              </w:rPr>
              <w:t>Name of Each Exchange Where Registered:</w:t>
            </w:r>
          </w:p>
        </w:tc>
      </w:tr>
      <w:tr>
        <w:trPr>
          <w:trHeight w:val="134"/>
        </w:trPr>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Common Stock, par value $.001</w:t>
            </w:r>
          </w:p>
        </w:tc>
        <w:tc>
          <w:tcPr>
            <w:tcW w:w="380" w:type="dxa"/>
            <w:vAlign w:val="bottom"/>
          </w:tcPr>
          <w:p>
            <w:pPr>
              <w:spacing w:after="0"/>
              <w:rPr>
                <w:sz w:val="11"/>
                <w:szCs w:val="11"/>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CLDX</w:t>
            </w:r>
          </w:p>
        </w:tc>
        <w:tc>
          <w:tcPr>
            <w:tcW w:w="3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tcPr>
          <w:p>
            <w:pPr>
              <w:jc w:val="center"/>
              <w:ind w:right="646"/>
              <w:spacing w:after="0"/>
              <w:rPr>
                <w:sz w:val="20"/>
                <w:szCs w:val="20"/>
                <w:color w:val="auto"/>
              </w:rPr>
            </w:pPr>
            <w:r>
              <w:rPr>
                <w:rFonts w:ascii="Times New Roman" w:cs="Times New Roman" w:eastAsia="Times New Roman" w:hAnsi="Times New Roman"/>
                <w:sz w:val="11"/>
                <w:szCs w:val="11"/>
                <w:color w:val="auto"/>
                <w:w w:val="97"/>
              </w:rPr>
              <w:t>NASDAQ Capital Market</w:t>
            </w:r>
          </w:p>
        </w:tc>
      </w:tr>
      <w:tr>
        <w:trPr>
          <w:trHeight w:val="214"/>
        </w:trPr>
        <w:tc>
          <w:tcPr>
            <w:tcW w:w="2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980" w:type="dxa"/>
            <w:vAlign w:val="bottom"/>
          </w:tcPr>
          <w:p>
            <w:pPr>
              <w:spacing w:after="0"/>
              <w:rPr>
                <w:sz w:val="18"/>
                <w:szCs w:val="18"/>
                <w:color w:val="auto"/>
              </w:rPr>
            </w:pPr>
          </w:p>
        </w:tc>
      </w:tr>
    </w:tbl>
    <w:p>
      <w:pPr>
        <w:spacing w:after="0" w:line="10" w:lineRule="exact"/>
        <w:rPr>
          <w:sz w:val="24"/>
          <w:szCs w:val="24"/>
          <w:color w:val="auto"/>
        </w:rPr>
      </w:pPr>
    </w:p>
    <w:p>
      <w:pPr>
        <w:ind w:left="340" w:right="192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6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4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1" w:right="999" w:bottom="1440" w:gutter="0" w:footer="0" w:header="0"/>
        </w:sectPr>
      </w:pPr>
    </w:p>
    <w:p>
      <w:pPr>
        <w:spacing w:after="0" w:line="31" w:lineRule="exact"/>
        <w:rPr>
          <w:sz w:val="24"/>
          <w:szCs w:val="24"/>
          <w:color w:val="auto"/>
        </w:rPr>
      </w:pPr>
    </w:p>
    <w:p>
      <w:pPr>
        <w:ind w:left="62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46" w:lineRule="exact"/>
        <w:rPr>
          <w:sz w:val="24"/>
          <w:szCs w:val="24"/>
          <w:color w:val="auto"/>
        </w:rPr>
      </w:pPr>
    </w:p>
    <w:p>
      <w:pPr>
        <w:sectPr>
          <w:pgSz w:w="11900" w:h="16838" w:orient="portrait"/>
          <w:cols w:equalWidth="0" w:num="5">
            <w:col w:w="2500" w:space="720"/>
            <w:col w:w="860" w:space="60"/>
            <w:col w:w="740" w:space="720"/>
            <w:col w:w="1600" w:space="720"/>
            <w:col w:w="2000"/>
          </w:cols>
          <w:pgMar w:left="980" w:top="661" w:right="999" w:bottom="1440" w:gutter="0" w:footer="0" w:header="0"/>
          <w:type w:val="continuous"/>
        </w:sect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8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0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10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80" w:firstLine="324"/>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as of June 30, 2023 was $1.6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2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The number of shares of common stock outstanding at February 14, 2024 was 55,900,679 shares.</w:t>
      </w:r>
    </w:p>
    <w:p>
      <w:pPr>
        <w:spacing w:after="0" w:line="2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Portions of the definitive Proxy Statement for our 2024 Annual Meeting of Stockholders are incorporated by reference into Part III of this Report.</w:t>
      </w:r>
    </w:p>
    <w:p>
      <w:pPr>
        <w:spacing w:after="0" w:line="46" w:lineRule="exact"/>
        <w:rPr>
          <w:sz w:val="24"/>
          <w:szCs w:val="24"/>
          <w:color w:val="auto"/>
        </w:rPr>
      </w:pPr>
    </w:p>
    <w:p>
      <w:pPr>
        <w:ind w:left="1120"/>
        <w:spacing w:after="0"/>
        <w:tabs>
          <w:tab w:leader="none" w:pos="3780" w:val="left"/>
          <w:tab w:leader="none" w:pos="7200" w:val="left"/>
        </w:tabs>
        <w:rPr>
          <w:sz w:val="20"/>
          <w:szCs w:val="20"/>
          <w:color w:val="auto"/>
        </w:rPr>
      </w:pPr>
      <w:r>
        <w:rPr>
          <w:rFonts w:ascii="Times New Roman" w:cs="Times New Roman" w:eastAsia="Times New Roman" w:hAnsi="Times New Roman"/>
          <w:sz w:val="13"/>
          <w:szCs w:val="13"/>
          <w:color w:val="auto"/>
        </w:rPr>
        <w:t>Auditor Firm ID: 238</w:t>
      </w:r>
      <w:r>
        <w:rPr>
          <w:sz w:val="20"/>
          <w:szCs w:val="20"/>
          <w:color w:val="auto"/>
        </w:rPr>
        <w:tab/>
      </w:r>
      <w:r>
        <w:rPr>
          <w:rFonts w:ascii="Times New Roman" w:cs="Times New Roman" w:eastAsia="Times New Roman" w:hAnsi="Times New Roman"/>
          <w:sz w:val="13"/>
          <w:szCs w:val="13"/>
          <w:color w:val="auto"/>
        </w:rPr>
        <w:t>Auditor Name: PricewaterhouseCoopers LLP</w:t>
      </w:r>
      <w:r>
        <w:rPr>
          <w:sz w:val="20"/>
          <w:szCs w:val="20"/>
          <w:color w:val="auto"/>
        </w:rPr>
        <w:tab/>
      </w:r>
      <w:r>
        <w:rPr>
          <w:rFonts w:ascii="Times New Roman" w:cs="Times New Roman" w:eastAsia="Times New Roman" w:hAnsi="Times New Roman"/>
          <w:sz w:val="12"/>
          <w:szCs w:val="12"/>
          <w:color w:val="auto"/>
        </w:rPr>
        <w:t>Auditor Location: Boston,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45085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88265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6"/>
              </w:rPr>
              <w:t>Part I</w:t>
            </w:r>
          </w:p>
        </w:tc>
        <w:tc>
          <w:tcPr>
            <w:tcW w:w="860" w:type="dxa"/>
            <w:vAlign w:val="bottom"/>
            <w:gridSpan w:val="7"/>
            <w:vMerge w:val="restart"/>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gridSpan w:val="2"/>
            <w:vMerge w:val="continue"/>
          </w:tcPr>
          <w:p>
            <w:pPr>
              <w:spacing w:after="0"/>
              <w:rPr>
                <w:sz w:val="14"/>
                <w:szCs w:val="14"/>
                <w:color w:val="auto"/>
              </w:rPr>
            </w:pPr>
          </w:p>
        </w:tc>
        <w:tc>
          <w:tcPr>
            <w:tcW w:w="86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62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758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4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32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1B.</w:t>
            </w:r>
          </w:p>
        </w:tc>
        <w:tc>
          <w:tcPr>
            <w:tcW w:w="520" w:type="dxa"/>
            <w:vAlign w:val="bottom"/>
            <w:gridSpan w:val="2"/>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1C.</w:t>
            </w:r>
          </w:p>
        </w:tc>
        <w:tc>
          <w:tcPr>
            <w:tcW w:w="520" w:type="dxa"/>
            <w:vAlign w:val="bottom"/>
            <w:gridSpan w:val="2"/>
          </w:tcPr>
          <w:p>
            <w:pPr>
              <w:spacing w:after="0"/>
              <w:rPr>
                <w:sz w:val="17"/>
                <w:szCs w:val="17"/>
                <w:color w:val="auto"/>
              </w:rPr>
            </w:pP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1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2.</w:t>
            </w:r>
          </w:p>
        </w:tc>
        <w:tc>
          <w:tcPr>
            <w:tcW w:w="100" w:type="dxa"/>
            <w:vAlign w:val="bottom"/>
            <w:tcBorders>
              <w:top w:val="single" w:sz="8" w:color="0000EE"/>
            </w:tcBorders>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2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73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w:t>
            </w:r>
          </w:p>
        </w:tc>
        <w:tc>
          <w:tcPr>
            <w:tcW w:w="900" w:type="dxa"/>
            <w:vAlign w:val="bottom"/>
            <w:vMerge w:val="restart"/>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20" w:type="dxa"/>
            <w:vAlign w:val="bottom"/>
            <w:tcBorders>
              <w:bottom w:val="single" w:sz="8" w:color="0000EE"/>
            </w:tcBorders>
            <w:gridSpan w:val="21"/>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5.</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620" w:type="dxa"/>
            <w:vAlign w:val="bottom"/>
            <w:gridSpan w:val="4"/>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6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48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6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480" w:type="dxa"/>
            <w:vAlign w:val="bottom"/>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9B.</w:t>
            </w: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4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9C.</w:t>
            </w:r>
          </w:p>
        </w:tc>
        <w:tc>
          <w:tcPr>
            <w:tcW w:w="520" w:type="dxa"/>
            <w:vAlign w:val="bottom"/>
            <w:gridSpan w:val="2"/>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2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Part III</w:t>
            </w:r>
          </w:p>
        </w:tc>
        <w:tc>
          <w:tcPr>
            <w:tcW w:w="7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520" w:type="dxa"/>
            <w:vAlign w:val="bottom"/>
            <w:gridSpan w:val="2"/>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520" w:type="dxa"/>
            <w:vAlign w:val="bottom"/>
            <w:gridSpan w:val="2"/>
          </w:tcPr>
          <w:p>
            <w:pPr>
              <w:spacing w:after="0"/>
              <w:rPr>
                <w:sz w:val="17"/>
                <w:szCs w:val="17"/>
                <w:color w:val="auto"/>
              </w:rPr>
            </w:pP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520" w:type="dxa"/>
            <w:vAlign w:val="bottom"/>
            <w:gridSpan w:val="2"/>
          </w:tcPr>
          <w:p>
            <w:pPr>
              <w:spacing w:after="0"/>
              <w:rPr>
                <w:sz w:val="17"/>
                <w:szCs w:val="17"/>
                <w:color w:val="auto"/>
              </w:rPr>
            </w:pPr>
          </w:p>
        </w:tc>
        <w:tc>
          <w:tcPr>
            <w:tcW w:w="5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7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520" w:type="dxa"/>
            <w:vAlign w:val="bottom"/>
            <w:gridSpan w:val="2"/>
          </w:tcPr>
          <w:p>
            <w:pPr>
              <w:spacing w:after="0"/>
              <w:rPr>
                <w:sz w:val="17"/>
                <w:szCs w:val="17"/>
                <w:color w:val="auto"/>
              </w:rPr>
            </w:pPr>
          </w:p>
        </w:tc>
        <w:tc>
          <w:tcPr>
            <w:tcW w:w="29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32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w:t>
            </w:r>
          </w:p>
        </w:tc>
        <w:tc>
          <w:tcPr>
            <w:tcW w:w="520" w:type="dxa"/>
            <w:vAlign w:val="bottom"/>
            <w:gridSpan w:val="2"/>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2"/>
              </w:rPr>
              <w:t>Signatures</w:t>
            </w:r>
          </w:p>
        </w:tc>
        <w:tc>
          <w:tcPr>
            <w:tcW w:w="5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Annual Report on Form 10-K contains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product candidates that are still in development stages;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preclinical and clinical studies;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timing for preclinical development, regulatory submissions, commencement and completion of clinical trials and product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drug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preclinical and clinical testing;</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attributes of our product and development candidates, including pharmaceutical properties, efficacy, safety and dosing regimens;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uncertainty of obtaining regulatory approvals for our drug candidates;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commercial-grade materials produced by our own manufacturing facility or supplied by contract manufacturers, suppliers and partners;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drug candidates and the growth of the markets for those drug candidates;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75" w:lineRule="exact"/>
        <w:rPr>
          <w:rFonts w:ascii="Times New Roman" w:cs="Times New Roman" w:eastAsia="Times New Roman" w:hAnsi="Times New Roman"/>
          <w:sz w:val="18"/>
          <w:szCs w:val="18"/>
          <w:color w:val="auto"/>
        </w:rPr>
      </w:pPr>
    </w:p>
    <w:p>
      <w:pPr>
        <w:ind w:left="680" w:right="120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paying the regulatory approval milestone under the merger agreement by which we acquired Kolltan Pharmaceuticals, Inc. (“Kolltan”) and our related settlement agreement with Kolltan;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87"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our ability to avoid intellectual property litigation, which can be costly and divert management time and attention;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without infringing the intellectual property rights of third parties;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listed under “Risk Factors” in this Annual Report on Form 10-K.</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Celldex Therapeutics, Inc., which we refer to as “Celldex,” “we,” “us,” “our” or the “Company,” is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680" w:right="3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61" w:lineRule="exact"/>
        <w:rPr>
          <w:rFonts w:ascii="Times New Roman" w:cs="Times New Roman" w:eastAsia="Times New Roman" w:hAnsi="Times New Roman"/>
          <w:sz w:val="18"/>
          <w:szCs w:val="18"/>
          <w:color w:val="auto"/>
        </w:rPr>
      </w:pPr>
    </w:p>
    <w:p>
      <w:pPr>
        <w:ind w:left="1340" w:right="80" w:hanging="333"/>
        <w:spacing w:after="0" w:line="255" w:lineRule="auto"/>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Urticarias: In November 2023, we announced that our Phase 2 study in chronic spontaneous urticaria (CSU) achieved the primary efficacy endpoint (statistically significant mean change from baseline to week 12 of urticaria activity score compared to placebo) and was well tolerated. The study is ongoing and patients will continue to receive barzolvolimab for 52 weeks of treatment; we plan to report topline 52 week data in the second half of 2024. We are currently planning for the initiation of Phase 3 studies in CSU in summer 2024. A Phase 2 study in chronic inducible urticaria (CIndU) is currently enrolling patients and we expect to report data from this study in the second half of 2024;</w:t>
      </w:r>
    </w:p>
    <w:p>
      <w:pPr>
        <w:spacing w:after="0" w:line="188" w:lineRule="exact"/>
        <w:rPr>
          <w:rFonts w:ascii="Times New Roman" w:cs="Times New Roman" w:eastAsia="Times New Roman" w:hAnsi="Times New Roman"/>
          <w:sz w:val="18"/>
          <w:szCs w:val="18"/>
          <w:color w:val="auto"/>
        </w:rPr>
      </w:pPr>
    </w:p>
    <w:p>
      <w:pPr>
        <w:ind w:left="1340" w:right="240" w:hanging="333"/>
        <w:spacing w:after="0" w:line="266" w:lineRule="auto"/>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Prurigo Nodularis (PN): In November 2023, we reported positive data from a Phase 1b study in PN that supports further development of barzolvolimab in this indication and we are currently planning for the initiation of a Phase 2 study in PN in early 2024;</w:t>
      </w:r>
    </w:p>
    <w:p>
      <w:pPr>
        <w:spacing w:after="0" w:line="17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Eosinophilic Esophagitis (EoE): A Phase 2 study in EoE was initiated in June 2023 and enrollment is ongoing.</w:t>
      </w:r>
    </w:p>
    <w:p>
      <w:pPr>
        <w:spacing w:after="0" w:line="225" w:lineRule="exact"/>
        <w:rPr>
          <w:rFonts w:ascii="Times New Roman" w:cs="Times New Roman" w:eastAsia="Times New Roman" w:hAnsi="Times New Roman"/>
          <w:sz w:val="18"/>
          <w:szCs w:val="18"/>
          <w:color w:val="auto"/>
        </w:rPr>
      </w:pPr>
    </w:p>
    <w:p>
      <w:pPr>
        <w:ind w:left="680" w:right="20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generation bispecific antibody platform to support pipeline expansion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Barzolvolimab (also referred to as CDX-0159)</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Barzolvolimab was initially studied in chronic spontaneous urticaria (CSU) and chronic inducible urticaria (CIndU), diseases where mast cell degranulation plays a central role in the onset and progression of the disease. Phase 1 studies in CSU and CIndU were successfully completed and Phase 2 studies are ongoing. In November 2023, we reported that barzolvolimab achieved the primary efficacy endpoint in the ongoing Phase 2 CSU study, with a statistically significant mean change from baseline to week 12 of UAS7 (weekly urticaria activity score) compared to placebo and was well tolerated. We are currently planning Phase 3 studies in CSU which are expected to initiate in summer 2024.</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Based on the positive results reported in urticaria, we expanded development of barzolvolimab into additional indications where mast cells are believed to play an important role. We are conducting an ongoing Phase 2 study in eosinophilic esophagitis (EoE) and are preparing to initiate a Phase 2 study in prurigo nodularis (PN) in early 2024 after reporting positive data from a Phase 1b study in PN in late 2023. We continue to assess potential opportunities for barzolvolimab in other diseases where mast cells play an important role, such as dermatologic, respiratory, allergic, gastrointestinal and ophthalmic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Spontaneous Urticaria (CSU)</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181"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180" w:lineRule="exact"/>
        <w:rPr>
          <w:sz w:val="20"/>
          <w:szCs w:val="20"/>
          <w:color w:val="auto"/>
        </w:rPr>
      </w:pPr>
    </w:p>
    <w:p>
      <w:pPr>
        <w:ind w:left="680" w:right="2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reduction from baseline in weekly urticaria activity score (UAS7) at week 12 was 67% in the 1.5 mg/kg dose group (n=8), 67% in the 3.0 mg/kg dose group (n=9) and 82% in the 4.5 mg/kg dose group (n=9). Mean reduction from baseline in UAS7 at week 24 was 80% in the 1.5 mg/kg dose group (n=7), 70% in the 3.0 mg/kg dose group (n=6) and 77% in the 4.5 mg/kg dose group (n=7).</w:t>
      </w:r>
    </w:p>
    <w:p>
      <w:pPr>
        <w:spacing w:after="0" w:line="179"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response (UAS7=0) at week 12 was 57% in the 1.5 mg/kg dose group, 44% in the 3.0 mg/kg dose group and 67% in the 4.5 mg/kg dose group. Complete response (UAS7=0) at week 24 was 57% in the 1.5 mg/kg dose group, 67% in the 3.0 mg/kg dose group and 43% in the 4.5 mg/kg dose group.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Well-controlled disease (UCT≥ 12) at week 12 was 75% in the 1.5 mg/kg dose group, 63% in the 3.0 mg/kg dose group and 89% in the 4.5 mg/kg dose group. Well-controlled disease (UCT≥ 12) at week 24 was 75% in the 1.5 mg/kg dose group, 67% in the 3.0 mg/kg dose group and 67% in the 4.5 mg/kg dose group.</w:t>
      </w:r>
    </w:p>
    <w:p>
      <w:pPr>
        <w:spacing w:after="0" w:line="17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post-treatment follow up, 71% (10 of 14) of patients who had been treated with doses greater than or equal to 1.5 mg/kg and had a complete response (UAS7=0) at week 12, remained urticaria free at week 24 (patients received last dose of barzolvolimab at week 8).</w:t>
      </w:r>
    </w:p>
    <w:p>
      <w:pPr>
        <w:spacing w:after="0" w:line="175" w:lineRule="exact"/>
        <w:rPr>
          <w:rFonts w:ascii="Times New Roman" w:cs="Times New Roman" w:eastAsia="Times New Roman" w:hAnsi="Times New Roman"/>
          <w:sz w:val="18"/>
          <w:szCs w:val="18"/>
          <w:color w:val="auto"/>
        </w:rPr>
      </w:pPr>
    </w:p>
    <w:p>
      <w:pPr>
        <w:ind w:left="680" w:right="3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Profound and durable improvement in angioedema symptoms as measured through the weekly angioedema activity score (AAS7) was achieved across all dose levels evaluated with sustained activity observed with the 1.5 mg/kg and greater dose levels.</w:t>
      </w:r>
    </w:p>
    <w:p>
      <w:pPr>
        <w:spacing w:after="0" w:line="175"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7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Tryptase suppression, indicative of mast cell depletion, paralleled symptom improvement, demonstrating the impact of mast cell depletion on CSU disease activity.</w:t>
      </w:r>
    </w:p>
    <w:p>
      <w:pPr>
        <w:spacing w:after="0" w:line="161"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Most AEs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83" w:lineRule="exact"/>
        <w:rPr>
          <w:sz w:val="20"/>
          <w:szCs w:val="20"/>
          <w:color w:val="auto"/>
        </w:rPr>
      </w:pPr>
    </w:p>
    <w:p>
      <w:pPr>
        <w:jc w:val="both"/>
        <w:ind w:right="500" w:firstLine="324"/>
        <w:spacing w:after="0" w:line="289" w:lineRule="auto"/>
        <w:rPr>
          <w:sz w:val="20"/>
          <w:szCs w:val="20"/>
          <w:color w:val="auto"/>
        </w:rPr>
      </w:pPr>
      <w:r>
        <w:rPr>
          <w:rFonts w:ascii="Times New Roman" w:cs="Times New Roman" w:eastAsia="Times New Roman" w:hAnsi="Times New Roman"/>
          <w:sz w:val="17"/>
          <w:szCs w:val="17"/>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2022, we initiated dosing in a Phase 2 study in patients with CSU who remained symptomatic despite antihistamine therapy;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2023, we announced that enrollment was complete. The study is being conducted at approximately 75 sites across 9 countries.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is a randomized, double-blind, placebo-controlled, parallel group Phase 2 study evaluating the efficacy and safety profile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dose regimens of barzolvolimab to determine the optimal dosing strategy. 208 patients have been randomly assigned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ratio to receive subcutaneous injections of barzolvolimab at 75 mg every 4 weeks, 150 mg every 4 weeks, 300 mg every 8 weeks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placebo during a 16-week placebo-controlled treatment phase. After 16 weeks, patients then enter a 36-week active treatment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which patients receiving placebo or the 75 mg dose are randomized to receive barzolvolimab 150 mg every 4 weeks or 300 mg every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weeks; patients already randomized to the 150 mg and 300 mg treatment arms remain on the same regimen as during the placebo-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treatment period. After 52 weeks, patients then enter a follow-up period for an additional 24 weeks. The primary endpoint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is mean change in baseline to week 12 in UAS7 (weekly urticaria activity score). Secondary endpoints include safety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assessments of clinical activity including ISS7 (weekly itch severity score), HSS7 (weekly hive severity score) and AAS7 (weekly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angioedema activity score).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4380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4380230"/>
                    </a:xfrm>
                    <a:prstGeom prst="rect">
                      <a:avLst/>
                    </a:prstGeom>
                    <a:noFill/>
                  </pic:spPr>
                </pic:pic>
              </a:graphicData>
            </a:graphic>
          </wp:anchor>
        </w:drawing>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of Clinical Activity Assessments at Week 12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6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300 mg Q8W</w:t>
            </w:r>
          </w:p>
        </w:tc>
        <w:tc>
          <w:tcPr>
            <w:tcW w:w="230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150 mg Q4W</w:t>
            </w:r>
          </w:p>
        </w:tc>
        <w:tc>
          <w:tcPr>
            <w:tcW w:w="16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75 mg Q4W</w:t>
            </w:r>
          </w:p>
        </w:tc>
        <w:tc>
          <w:tcPr>
            <w:tcW w:w="15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Placebo</w:t>
            </w:r>
          </w:p>
        </w:tc>
      </w:tr>
      <w:tr>
        <w:trPr>
          <w:trHeight w:val="265"/>
        </w:trPr>
        <w:tc>
          <w:tcPr>
            <w:tcW w:w="256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(n=51)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(n=52)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(n=53)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(n=51)</w:t>
            </w:r>
          </w:p>
        </w:tc>
      </w:tr>
      <w:tr>
        <w:trPr>
          <w:trHeight w:val="40"/>
        </w:trPr>
        <w:tc>
          <w:tcPr>
            <w:tcW w:w="25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2"/>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UAS7 Changes</w:t>
            </w:r>
          </w:p>
        </w:tc>
        <w:tc>
          <w:tcPr>
            <w:tcW w:w="1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UAS7 (mean)</w:t>
            </w:r>
          </w:p>
        </w:tc>
        <w:tc>
          <w:tcPr>
            <w:tcW w:w="1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31.33</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30.75</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30.30</w:t>
            </w: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30.09</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-23.87</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-23.02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5"/>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difference from</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-13.41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-6.60</w:t>
            </w:r>
          </w:p>
        </w:tc>
        <w:tc>
          <w:tcPr>
            <w:tcW w:w="1580" w:type="dxa"/>
            <w:vAlign w:val="bottom"/>
          </w:tcPr>
          <w:p>
            <w:pPr>
              <w:spacing w:after="0"/>
              <w:rPr>
                <w:sz w:val="21"/>
                <w:szCs w:val="21"/>
                <w:color w:val="auto"/>
              </w:rPr>
            </w:pPr>
          </w:p>
        </w:tc>
      </w:tr>
      <w:tr>
        <w:trPr>
          <w:trHeight w:val="229"/>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placebo (Confidence Interval,</w:t>
            </w:r>
          </w:p>
        </w:tc>
        <w:tc>
          <w:tcPr>
            <w:tcW w:w="18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 -17.47, -9.34)</w:t>
            </w:r>
          </w:p>
        </w:tc>
        <w:tc>
          <w:tcPr>
            <w:tcW w:w="2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(CI:-16.56, -8.55)</w:t>
            </w:r>
          </w:p>
        </w:tc>
        <w:tc>
          <w:tcPr>
            <w:tcW w:w="16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(CI:-10.71, -2.49)</w:t>
            </w:r>
          </w:p>
        </w:tc>
        <w:tc>
          <w:tcPr>
            <w:tcW w:w="1580" w:type="dxa"/>
            <w:vAlign w:val="bottom"/>
          </w:tcPr>
          <w:p>
            <w:pPr>
              <w:spacing w:after="0"/>
              <w:rPr>
                <w:sz w:val="19"/>
                <w:szCs w:val="19"/>
                <w:color w:val="auto"/>
              </w:rPr>
            </w:pPr>
          </w:p>
        </w:tc>
      </w:tr>
      <w:tr>
        <w:trPr>
          <w:trHeight w:val="275"/>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 value)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p=0.0017</w:t>
            </w:r>
          </w:p>
        </w:tc>
        <w:tc>
          <w:tcPr>
            <w:tcW w:w="1580" w:type="dxa"/>
            <w:vAlign w:val="bottom"/>
          </w:tcPr>
          <w:p>
            <w:pPr>
              <w:spacing w:after="0"/>
              <w:rPr>
                <w:sz w:val="23"/>
                <w:szCs w:val="23"/>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2"/>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HSS7 Changes</w:t>
            </w:r>
          </w:p>
        </w:tc>
        <w:tc>
          <w:tcPr>
            <w:tcW w:w="1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HSS7 (mean)</w:t>
            </w:r>
          </w:p>
        </w:tc>
        <w:tc>
          <w:tcPr>
            <w:tcW w:w="1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14.92</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15.05</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14.86</w:t>
            </w: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14.47</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-12.19</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-11.19</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-4.95</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5"/>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difference from</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-7.24</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-3.31</w:t>
            </w:r>
          </w:p>
        </w:tc>
        <w:tc>
          <w:tcPr>
            <w:tcW w:w="1580" w:type="dxa"/>
            <w:vAlign w:val="bottom"/>
          </w:tcPr>
          <w:p>
            <w:pPr>
              <w:spacing w:after="0"/>
              <w:rPr>
                <w:sz w:val="21"/>
                <w:szCs w:val="21"/>
                <w:color w:val="auto"/>
              </w:rPr>
            </w:pPr>
          </w:p>
        </w:tc>
      </w:tr>
      <w:tr>
        <w:trPr>
          <w:trHeight w:val="230"/>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placebo (Confidence Interval,</w:t>
            </w:r>
          </w:p>
        </w:tc>
        <w:tc>
          <w:tcPr>
            <w:tcW w:w="18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(CI:-9.36, -5.12)</w:t>
            </w:r>
          </w:p>
        </w:tc>
        <w:tc>
          <w:tcPr>
            <w:tcW w:w="2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(CI:-8.33, -4.16),</w:t>
            </w:r>
          </w:p>
        </w:tc>
        <w:tc>
          <w:tcPr>
            <w:tcW w:w="16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(CI:-5.40, -1.22),</w:t>
            </w:r>
          </w:p>
        </w:tc>
        <w:tc>
          <w:tcPr>
            <w:tcW w:w="1580" w:type="dxa"/>
            <w:vAlign w:val="bottom"/>
          </w:tcPr>
          <w:p>
            <w:pPr>
              <w:spacing w:after="0"/>
              <w:rPr>
                <w:sz w:val="19"/>
                <w:szCs w:val="19"/>
                <w:color w:val="auto"/>
              </w:rPr>
            </w:pPr>
          </w:p>
        </w:tc>
      </w:tr>
      <w:tr>
        <w:trPr>
          <w:trHeight w:val="275"/>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 value)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p=0.0020</w:t>
            </w:r>
          </w:p>
        </w:tc>
        <w:tc>
          <w:tcPr>
            <w:tcW w:w="1580" w:type="dxa"/>
            <w:vAlign w:val="bottom"/>
          </w:tcPr>
          <w:p>
            <w:pPr>
              <w:spacing w:after="0"/>
              <w:rPr>
                <w:sz w:val="23"/>
                <w:szCs w:val="23"/>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2"/>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ISS7 Changes</w:t>
            </w:r>
          </w:p>
        </w:tc>
        <w:tc>
          <w:tcPr>
            <w:tcW w:w="1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ISS7 (mean)</w:t>
            </w:r>
          </w:p>
        </w:tc>
        <w:tc>
          <w:tcPr>
            <w:tcW w:w="1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16.42</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15.70</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15.44</w:t>
            </w: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15.61</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-11.79</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-11.68</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-5.47</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5"/>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difference from</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-6.32</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-3.16</w:t>
            </w:r>
          </w:p>
        </w:tc>
        <w:tc>
          <w:tcPr>
            <w:tcW w:w="1580" w:type="dxa"/>
            <w:vAlign w:val="bottom"/>
          </w:tcPr>
          <w:p>
            <w:pPr>
              <w:spacing w:after="0"/>
              <w:rPr>
                <w:sz w:val="21"/>
                <w:szCs w:val="21"/>
                <w:color w:val="auto"/>
              </w:rPr>
            </w:pPr>
          </w:p>
        </w:tc>
      </w:tr>
      <w:tr>
        <w:trPr>
          <w:trHeight w:val="230"/>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placebo (Confidence Interval,</w:t>
            </w:r>
          </w:p>
        </w:tc>
        <w:tc>
          <w:tcPr>
            <w:tcW w:w="18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 -8.50, -4.13),</w:t>
            </w:r>
          </w:p>
        </w:tc>
        <w:tc>
          <w:tcPr>
            <w:tcW w:w="23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(CI: -8.38, -4.04),</w:t>
            </w:r>
          </w:p>
        </w:tc>
        <w:tc>
          <w:tcPr>
            <w:tcW w:w="1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 -5.41, -0.91),</w:t>
            </w:r>
          </w:p>
        </w:tc>
        <w:tc>
          <w:tcPr>
            <w:tcW w:w="1580" w:type="dxa"/>
            <w:vAlign w:val="bottom"/>
          </w:tcPr>
          <w:p>
            <w:pPr>
              <w:spacing w:after="0"/>
              <w:rPr>
                <w:sz w:val="19"/>
                <w:szCs w:val="19"/>
                <w:color w:val="auto"/>
              </w:rPr>
            </w:pPr>
          </w:p>
        </w:tc>
      </w:tr>
      <w:tr>
        <w:trPr>
          <w:trHeight w:val="275"/>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 value)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p=0.0061</w:t>
            </w:r>
          </w:p>
        </w:tc>
        <w:tc>
          <w:tcPr>
            <w:tcW w:w="1580" w:type="dxa"/>
            <w:vAlign w:val="bottom"/>
          </w:tcPr>
          <w:p>
            <w:pPr>
              <w:spacing w:after="0"/>
              <w:rPr>
                <w:sz w:val="23"/>
                <w:szCs w:val="23"/>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2"/>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Responder Analyses/Clinical Responses</w:t>
            </w:r>
          </w:p>
        </w:tc>
        <w:tc>
          <w:tcPr>
            <w:tcW w:w="2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UAS7=0 (Complete Control)</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UAS7≤6 (Well-controlled)</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UAS7, HSS7 and ISS7 data were analyzed using ANCOVA model and multiple imputation.</w:t>
      </w:r>
    </w:p>
    <w:p>
      <w:pPr>
        <w:spacing w:after="0" w:line="22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Patients on study will continue to receive barzolvolimab for 52 weeks and we plan to report 52 week data in late 2024. We believe these results strongly support the further development of barzolvolimab in CSU and are currently planning two Phase 3 studies of barzolvolimab which we plan to initiate in summer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Inducible Urticaria (CIndU)</w:t>
      </w:r>
    </w:p>
    <w:p>
      <w:pPr>
        <w:spacing w:after="0" w:line="227"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completed a Phase 1b open label clinical trial in CIndU in patients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Rapid (as early as 1 week) and durable responses were observed in patients as assessed by provocation testing.</w:t>
      </w:r>
    </w:p>
    <w:p>
      <w:pPr>
        <w:spacing w:after="0" w:line="225" w:lineRule="exact"/>
        <w:rPr>
          <w:sz w:val="20"/>
          <w:szCs w:val="20"/>
          <w:color w:val="auto"/>
        </w:rPr>
      </w:pPr>
    </w:p>
    <w:p>
      <w:pPr>
        <w:ind w:left="680" w:right="20" w:hanging="321"/>
        <w:spacing w:after="0" w:line="255"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188"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179"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p>
      <w:pPr>
        <w:spacing w:after="0" w:line="17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7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53"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191"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188"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July 2022, we announced that the first patient had been dosed in a Phase 2 study in patients with CIndU who remain symptomatic despite antihistamine therapy.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 Data from this study are expected in the second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Prurigo Nodularis (PN)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weeks. Patients on study generally had moderate to severe disease with mean baselines scores across all arms of 8.6 for WI-NRS and 3.3 for IGA.</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single IV dose of 3.0 mg/kg barzolvolimab resulted in rapid and durable reductions in itch and healing of skin lesions in patients with moderate to severe PN and that barzolvolimab was generally well tolerated.</w:t>
      </w:r>
    </w:p>
    <w:p>
      <w:pPr>
        <w:spacing w:after="0" w:line="162" w:lineRule="exact"/>
        <w:rPr>
          <w:sz w:val="20"/>
          <w:szCs w:val="20"/>
          <w:color w:val="auto"/>
        </w:rPr>
      </w:pPr>
    </w:p>
    <w:p>
      <w:pPr>
        <w:ind w:left="680" w:hanging="321"/>
        <w:spacing w:after="0" w:line="26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six which was distinct from both the 1.5 mg/kg barzolvolimab and placebo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5040630" cy="951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40630" cy="951230"/>
                    </a:xfrm>
                    <a:prstGeom prst="rect">
                      <a:avLst/>
                    </a:prstGeom>
                    <a:noFill/>
                  </pic:spPr>
                </pic:pic>
              </a:graphicData>
            </a:graphic>
          </wp:anchor>
        </w:drawing>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of Subjects with ≥4-point decrease in WI-NRS</w:t>
      </w:r>
    </w:p>
    <w:p>
      <w:pPr>
        <w:spacing w:after="0" w:line="65" w:lineRule="exact"/>
        <w:rPr>
          <w:sz w:val="20"/>
          <w:szCs w:val="20"/>
          <w:color w:val="auto"/>
        </w:rPr>
      </w:pPr>
    </w:p>
    <w:tbl>
      <w:tblPr>
        <w:tblLayout w:type="fixed"/>
        <w:tblInd w:w="1000" w:type="dxa"/>
        <w:tblCellMar>
          <w:top w:w="0" w:type="dxa"/>
          <w:left w:w="0" w:type="dxa"/>
          <w:bottom w:w="0" w:type="dxa"/>
          <w:right w:w="0" w:type="dxa"/>
        </w:tblCellMar>
      </w:tblPr>
      <w:tr>
        <w:trPr>
          <w:trHeight w:val="248"/>
        </w:trPr>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Dose</w:t>
            </w:r>
          </w:p>
        </w:tc>
        <w:tc>
          <w:tcPr>
            <w:tcW w:w="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Week 1</w:t>
            </w:r>
          </w:p>
        </w:tc>
        <w:tc>
          <w:tcPr>
            <w:tcW w:w="7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Week 2</w:t>
            </w:r>
          </w:p>
        </w:tc>
        <w:tc>
          <w:tcPr>
            <w:tcW w:w="76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Week 3</w:t>
            </w:r>
          </w:p>
        </w:tc>
        <w:tc>
          <w:tcPr>
            <w:tcW w:w="78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4</w:t>
            </w:r>
          </w:p>
        </w:tc>
        <w:tc>
          <w:tcPr>
            <w:tcW w:w="76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5</w:t>
            </w:r>
          </w:p>
        </w:tc>
        <w:tc>
          <w:tcPr>
            <w:tcW w:w="78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6</w:t>
            </w:r>
          </w:p>
        </w:tc>
        <w:tc>
          <w:tcPr>
            <w:tcW w:w="78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7</w:t>
            </w: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8</w:t>
            </w:r>
          </w:p>
        </w:tc>
      </w:tr>
      <w:tr>
        <w:trPr>
          <w:trHeight w:val="49"/>
        </w:trPr>
        <w:tc>
          <w:tcPr>
            <w:tcW w:w="1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8"/>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 mg/kg</w:t>
            </w:r>
          </w:p>
        </w:tc>
        <w:tc>
          <w:tcPr>
            <w:tcW w:w="7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r>
      <w:tr>
        <w:trPr>
          <w:trHeight w:val="49"/>
        </w:trPr>
        <w:tc>
          <w:tcPr>
            <w:tcW w:w="1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2"/>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7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71</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57</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45"/>
        </w:trPr>
        <w:tc>
          <w:tcPr>
            <w:tcW w:w="17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8"/>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placebo</w:t>
            </w:r>
          </w:p>
        </w:tc>
        <w:tc>
          <w:tcPr>
            <w:tcW w:w="7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88"/>
              </w:rPr>
              <w:t>0</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r>
      <w:tr>
        <w:trPr>
          <w:trHeight w:val="49"/>
        </w:trPr>
        <w:tc>
          <w:tcPr>
            <w:tcW w:w="1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ind w:left="680" w:hanging="321"/>
        <w:spacing w:after="0" w:line="258"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136525</wp:posOffset>
            </wp:positionV>
            <wp:extent cx="5040630" cy="951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40630" cy="951230"/>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of Subjects with IGA 0/1</w:t>
      </w:r>
    </w:p>
    <w:p>
      <w:pPr>
        <w:spacing w:after="0" w:line="65" w:lineRule="exact"/>
        <w:rPr>
          <w:sz w:val="20"/>
          <w:szCs w:val="20"/>
          <w:color w:val="auto"/>
        </w:rPr>
      </w:pPr>
    </w:p>
    <w:tbl>
      <w:tblPr>
        <w:tblLayout w:type="fixed"/>
        <w:tblInd w:w="1000" w:type="dxa"/>
        <w:tblCellMar>
          <w:top w:w="0" w:type="dxa"/>
          <w:left w:w="0" w:type="dxa"/>
          <w:bottom w:w="0" w:type="dxa"/>
          <w:right w:w="0" w:type="dxa"/>
        </w:tblCellMar>
      </w:tblPr>
      <w:tr>
        <w:trPr>
          <w:trHeight w:val="248"/>
        </w:trPr>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Dose</w:t>
            </w:r>
          </w:p>
        </w:tc>
        <w:tc>
          <w:tcPr>
            <w:tcW w:w="1520" w:type="dxa"/>
            <w:vAlign w:val="bottom"/>
            <w:tcBorders>
              <w:top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Baseline</w:t>
            </w:r>
          </w:p>
        </w:tc>
        <w:tc>
          <w:tcPr>
            <w:tcW w:w="132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Week 2</w:t>
            </w:r>
          </w:p>
        </w:tc>
        <w:tc>
          <w:tcPr>
            <w:tcW w:w="130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Week 4</w:t>
            </w:r>
          </w:p>
        </w:tc>
        <w:tc>
          <w:tcPr>
            <w:tcW w:w="13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Week 8</w:t>
            </w:r>
          </w:p>
        </w:tc>
      </w:tr>
      <w:tr>
        <w:trPr>
          <w:trHeight w:val="49"/>
        </w:trPr>
        <w:tc>
          <w:tcPr>
            <w:tcW w:w="2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28"/>
        </w:trPr>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 mg/kg</w:t>
            </w:r>
          </w:p>
        </w:tc>
        <w:tc>
          <w:tcPr>
            <w:tcW w:w="152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88"/>
              </w:rPr>
              <w:t>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49"/>
        </w:trPr>
        <w:tc>
          <w:tcPr>
            <w:tcW w:w="2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2"/>
        </w:trPr>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mg/kg</w:t>
            </w:r>
          </w:p>
        </w:tc>
        <w:tc>
          <w:tcPr>
            <w:tcW w:w="152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w:t>
            </w:r>
          </w:p>
        </w:tc>
        <w:tc>
          <w:tcPr>
            <w:tcW w:w="13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r>
      <w:tr>
        <w:trPr>
          <w:trHeight w:val="45"/>
        </w:trPr>
        <w:tc>
          <w:tcPr>
            <w:tcW w:w="2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8"/>
        </w:trPr>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placebo</w:t>
            </w:r>
          </w:p>
        </w:tc>
        <w:tc>
          <w:tcPr>
            <w:tcW w:w="152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88"/>
              </w:rPr>
              <w:t>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49"/>
        </w:trPr>
        <w:tc>
          <w:tcPr>
            <w:tcW w:w="2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ind w:left="680" w:right="22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75" w:lineRule="exact"/>
        <w:rPr>
          <w:rFonts w:ascii="Times New Roman" w:cs="Times New Roman" w:eastAsia="Times New Roman" w:hAnsi="Times New Roman"/>
          <w:sz w:val="18"/>
          <w:szCs w:val="18"/>
          <w:color w:val="auto"/>
        </w:rPr>
      </w:pPr>
    </w:p>
    <w:p>
      <w:pPr>
        <w:ind w:left="680" w:right="20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AEs seen during the 24-week follow-up period were consistent with comorbidities commonly observed in the PN population.</w:t>
      </w:r>
    </w:p>
    <w:p>
      <w:pPr>
        <w:spacing w:after="0" w:line="180" w:lineRule="exact"/>
        <w:rPr>
          <w:sz w:val="20"/>
          <w:szCs w:val="20"/>
          <w:color w:val="auto"/>
        </w:rPr>
      </w:pPr>
    </w:p>
    <w:p>
      <w:pPr>
        <w:ind w:right="20" w:firstLine="324"/>
        <w:spacing w:after="0" w:line="218" w:lineRule="exact"/>
        <w:rPr>
          <w:sz w:val="20"/>
          <w:szCs w:val="20"/>
          <w:color w:val="auto"/>
        </w:rPr>
      </w:pPr>
      <w:r>
        <w:rPr>
          <w:rFonts w:ascii="Times New Roman" w:cs="Times New Roman" w:eastAsia="Times New Roman" w:hAnsi="Times New Roman"/>
          <w:sz w:val="18"/>
          <w:szCs w:val="18"/>
          <w:color w:val="auto"/>
        </w:rPr>
        <w:t>We are currently planning for the initiation of a Phase 2 subcutaneous study in PN in early 2024. This randomized, double-blind, placebo-controlled, parallel group study will evaluate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will be randomly assigned on a 1:1:1 ratio to receive barzolvolimab injections of 150 mg Q4W after an initial loading dose of 450 mg, 300 mg Q4W after an initial loading dose of 450 mg, or placebo during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Phase. Participants will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Eosinophilic Esophagitis (EoE)</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Enrollment is ongoing.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Barzolvolimab Development Activities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2023, we completed the transfer of our current barzolvolimab manufacturing process to a CMO and successfully scaled up the drug substance manufacturing process to produce larger cGMP batches in support of late-stage trials and to prepare for potential commercialization. Drug product manufacturing into 1 mL pre-filled syringes has been completed in support of Phase 3 trials. We are in the process of scaling up our drug product manufacturing. We believe that barzolvolimab can be scaled up to permit drug product manufacturing in commercial quantities.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Bispecific Platform</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CDX-585</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CDX-585 combines our proprietary highly active PD-1 blockade and anti-ILT4 blockade to overcome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w:t>
      </w:r>
    </w:p>
    <w:p>
      <w:pPr>
        <w:spacing w:after="0" w:line="192"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In late May 2023, we announced that the first patient had been dosed in the Phase 1 study of CDX-585. This open-label, multi-center, intravenous study of CDX-585 is being evaluated in patients with advanced or metastatic solid tumors that have progressed during or after standard of care therapy. The dose-escalation phase of the study (n=~30 patients) is designed to determine a maximum tolerated dose (MTD) and to select CDX-585 dose(s) for future evaluation in tumor specific expansion cohorts. In the first phase, increasing doses of CDX-585 will be administered intravenously (0.03 mg/kg up to 10.0 mg/kg) every 2 weeks until confirmed disease progression, intolerance, or for a maximum of 2 years. In the second phase, potential expansion cohorts will evaluate the safety, tolerability and biologic effects, including anti-tumor activity, of selected dose level(s) of CDX-585 in specific tumor types. Enrollment is ongoing.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current clinical drug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 (Yale)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a license agreement with Yale, we may be required to make a one-time payment to Yale of $3.0 million with respect to barzolvolimab upon achievement of a specified commercial milestone. In addition, we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industry is intensely competitive and subject to rapid and significant technological change. Many of the products that we are attempting to develop and commercialize will be competing with existing therapies. Other</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targeted therapies and immune modulators. Some of our competitors possess substantially greater financial, technical and human resources than we do.</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competitors of which we are aware that have initiated a Phase 3 study or have obtained marketing approval for a potentially competitive drug to barzolvolimab for treatment of CSU, CIndU, PN and EoE include: Allakos (lirentelimab for EoE), Celltrion (CT-P39; omalizumab biosimilar for CSU), Galderma/Chugai (nemolizumab for PN), Novartis (remibrutinib for CSU), and Regeneron/Sanofi (Dupixent for CSU, CIndU, PN and EoE).</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face competition in recruiting and retaining highly qualified scientific personnel and consultants and in the development and acquisition of technologies.</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a research and development company and have limited experience in commercial manufacturing. To conduct late-stage clinical trials, as well as manufacture and commercialize our drug candidates, we engage Contract Manufacturing Organizations (CMOs) to manufacture our drug candidates on a large scale at a competitive cost and in accordance with current Good Manufacturing Practices (cGMP) and U.S. and foreign regulatory requirements, as applicable. We also rely on CMOs for labeling and storage for studies inside and outside the U.S.</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currently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drug candidates to clinical sites in the U.S., EU and ROW for early-stage clinical trials. We have manufactured barzolvolimab and CDX-585 drug substance in our Fall River facility for our current and planned Phase 1 and Phase 2 clinical trials. All products are then filled at CMOs. Any manufacturing failures or compliance issues at contract manufacturers could cause delays in our Phase 1 and Phase 2 clinical studies for these drug candidates.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barzolvolimab drug product is currently administered subcutaneously. The subcutaneous formulation will allow for potential self-administration at home setting versus the need for intravenous dosing in a hospital or clinic setting. The subcutaneous form could improve the patient experience if the product becomes available commercially. In 2023, we completed the transfer of our current barzolvolimab manufacturing process to a CMO and successfully scaled up the drug substance manufacturing process to produce larger cGMP batches in support of late-stage trials and to prepare for potential commercialization. Drug product manufacturing into 1 mL pre-filled syringes has been completed in support of Phase 3 trials. We are in the process of scaling up our drug product manufacturing. We believe that barzolvolimab can be scaled up to permit drug product manufacturing in commercial quantities.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Organization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limited commercial experience in marketing, sales, distribution and product reimbursement. We have the capability to provide current and future market insights to our research and development organization regarding our potential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Proprietary Rights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8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key patents and patent applications owned by us or licensed to us that we consider important to our current clinical programs include the following (except where stated otherwise, the indicated and estimated patent expiry dates are the estimated normal expirations if all maintenance fees and annuities are paid when due, and do not include any possible additional terms for Patent Term Adjustments (PTAs), Patent Term Extensions (PTEs), other term extensions or Supplementary Protection Certificates (SPCs), if these may be secured in due course):</w:t>
      </w:r>
    </w:p>
    <w:p>
      <w:pPr>
        <w:spacing w:after="0" w:line="183" w:lineRule="exact"/>
        <w:rPr>
          <w:sz w:val="20"/>
          <w:szCs w:val="20"/>
          <w:color w:val="auto"/>
        </w:rPr>
      </w:pPr>
    </w:p>
    <w:p>
      <w:pPr>
        <w:ind w:left="680" w:hanging="321"/>
        <w:spacing w:after="0" w:line="253"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portfolio of patents and patent applications directed to barzolvolimab and other anti-KIT receptor antibodies. These patents and patent applications include claims directed to particular anti-KIT antibody compositions of matter, including barzolvolimab compositions of matter, and methods of using such antibodies. A composition of matter patent has been issued in the U.S. which would have an estimated patent expiry date in 2034 (this includes additional term due to PTA, but does not include any PTE if this may be secured in due course) and further U.S. patent applications are pending. Patents have also been issued in Europe, Japan, Canada, China, Australia, New Zealand, Israel, India, the Republic of Korea, the Russian Federation, Singapore, Brazil, Mexico, South Africa and certain other countries. Where issued the foregoing would have estimated normal patent expiry dates ranging from 2032 to 2033. Further (later filed) patent applications (relating to Fc sequences used in barzolvolimab and certain uses of barzolvolimab) are pending in the U.S., the European Patent Office, Japan, Canada, China, Australia, New Zealand, Israel, India, the Republic of Korea, the Eurasian Patent Office, Brazil, Mexico and South Africa. If, when and where issued the latter would have estimated normal patent expiry dates in 2042.</w:t>
      </w:r>
    </w:p>
    <w:p>
      <w:pPr>
        <w:spacing w:after="0" w:line="19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family of patent applications directed to anti-ILT4 antibody sequences used in CDX-585 as compositions of matter. Patent applications in this family are pending in the U.S., the European Patent Office, Japan, Canada, China,</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0"/>
        <w:spacing w:after="0" w:line="254" w:lineRule="auto"/>
        <w:rPr>
          <w:sz w:val="20"/>
          <w:szCs w:val="20"/>
          <w:color w:val="auto"/>
        </w:rPr>
      </w:pPr>
      <w:r>
        <w:rPr>
          <w:rFonts w:ascii="Times New Roman" w:cs="Times New Roman" w:eastAsia="Times New Roman" w:hAnsi="Times New Roman"/>
          <w:sz w:val="18"/>
          <w:szCs w:val="18"/>
          <w:color w:val="auto"/>
        </w:rPr>
        <w:t>Australia, New Zealand, Israel, India, the Republic of Korea, the Eurasian Patent Office, Singapore, Brazil, Mexico and South Africa. If, when and where issued the foregoing would have estimated normal patent expiry dates in 2042. We also have rights outside of China, Taiwan, Hong Kong and Macao in further pending international and regional and national patent applications relating to the bispecific antibody CDX-585. Of these, a co-owned international patent application which includes composition of matter claims directed to the bispecific antibody CDX-585 is pending in the international phase, and licensed regional and national patent applications which include composition of matter claims directed to the anti-PD-1 antibody sequences used in CDX-585 are pending in the U.S., the European Patent Office, Japan, Canada, Australia and the Republic of Korea. If, when and where issued the foregoing would have estimated normal patent expiry dates ranging from 2041 to 2042.</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8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Third parties may have or may obtain valid and enforceable patents or proprietary rights that could block us from developing products using our technology, including:</w:t>
      </w:r>
    </w:p>
    <w:p>
      <w:pPr>
        <w:spacing w:after="0" w:line="162" w:lineRule="exact"/>
        <w:rPr>
          <w:sz w:val="20"/>
          <w:szCs w:val="20"/>
          <w:color w:val="auto"/>
        </w:rPr>
      </w:pPr>
    </w:p>
    <w:p>
      <w:pPr>
        <w:ind w:left="680" w:right="56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patents and pending patent applications in the United States and foreign countries relating to particular receptors, antigens and antigenic fragments targeted by our current drug candidates; and</w:t>
      </w:r>
    </w:p>
    <w:p>
      <w:pPr>
        <w:spacing w:after="0" w:line="161" w:lineRule="exact"/>
        <w:rPr>
          <w:rFonts w:ascii="Times New Roman" w:cs="Times New Roman" w:eastAsia="Times New Roman" w:hAnsi="Times New Roman"/>
          <w:sz w:val="18"/>
          <w:szCs w:val="18"/>
          <w:color w:val="auto"/>
        </w:rPr>
      </w:pPr>
    </w:p>
    <w:p>
      <w:pPr>
        <w:jc w:val="both"/>
        <w:ind w:left="680" w:right="6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patents and pending patent applications in the United States and foreign countries relating to antibodies targeting certain receptors and other targets including anti-ILT4 antibodies, anti-PD-1 antibodies, anti-SCF antibodies, anti-TSLP antibodies and certain other antibodies and their sequences and uses.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significant license agreements relating to technologies that are being developed by us. Typically,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 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Rights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Approval Process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drug or biological product may be marketed in the United States generally involves the following:</w:t>
      </w:r>
    </w:p>
    <w:p>
      <w:pPr>
        <w:spacing w:after="0" w:line="162" w:lineRule="exact"/>
        <w:rPr>
          <w:sz w:val="20"/>
          <w:szCs w:val="20"/>
          <w:color w:val="auto"/>
        </w:rPr>
      </w:pPr>
    </w:p>
    <w:p>
      <w:pPr>
        <w:ind w:left="680" w:right="4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formulation studies in compliance with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which must become effective before human clinical trials may begin;</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at each clinical site before each trial may be initiated;</w:t>
      </w:r>
    </w:p>
    <w:p>
      <w:pPr>
        <w:spacing w:after="0" w:line="225"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NDA, or a biologics license application, or BLA, as applicable;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that all of our clinical drug candidates will be subject to review as biological products under BLA standards.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process.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effort and financial resources, and each may take many years to complete. Data obtained from clinical activities are not always conclusive 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9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Even if the FDA approves a product, it may limit the approved indications for use for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Regulatory Procedures</w:t>
      </w:r>
    </w:p>
    <w:p>
      <w:pPr>
        <w:spacing w:after="0" w:line="22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 </w:t>
      </w:r>
      <w:r>
        <w:rPr>
          <w:rFonts w:ascii="Times New Roman" w:cs="Times New Roman" w:eastAsia="Times New Roman" w:hAnsi="Times New Roman"/>
          <w:sz w:val="18"/>
          <w:szCs w:val="18"/>
          <w:color w:val="auto"/>
        </w:rPr>
        <w:t>The FDA is required to facilitate the development and expedite the review of drugs and biologics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for the 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Priority review — </w:t>
      </w:r>
      <w:r>
        <w:rPr>
          <w:rFonts w:ascii="Times New Roman" w:cs="Times New Roman" w:eastAsia="Times New Roman" w:hAnsi="Times New Roman"/>
          <w:sz w:val="18"/>
          <w:szCs w:val="18"/>
          <w:color w:val="auto"/>
        </w:rPr>
        <w:t>Under FDA policies, a drug candidate may be eligible for priority review. The priority review program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expedited review or an 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Accelerated approval — </w:t>
      </w:r>
      <w:r>
        <w:rPr>
          <w:rFonts w:ascii="Times New Roman" w:cs="Times New Roman" w:eastAsia="Times New Roman" w:hAnsi="Times New Roman"/>
          <w:sz w:val="18"/>
          <w:szCs w:val="18"/>
          <w:color w:val="auto"/>
        </w:rPr>
        <w:t>Under the law and the FDA’s accelerated approval regulations, the FDA may approve a drug or biologic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 </w:t>
      </w:r>
      <w:r>
        <w:rPr>
          <w:rFonts w:ascii="Times New Roman" w:cs="Times New Roman" w:eastAsia="Times New Roman" w:hAnsi="Times New Roman"/>
          <w:sz w:val="18"/>
          <w:szCs w:val="18"/>
          <w:color w:val="auto"/>
        </w:rPr>
        <w:t>The FDA is also required to expedite the development and review of the application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drugs that are 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Orphan drug designation — </w:t>
      </w:r>
      <w:r>
        <w:rPr>
          <w:rFonts w:ascii="Times New Roman" w:cs="Times New Roman" w:eastAsia="Times New Roman" w:hAnsi="Times New Roman"/>
          <w:sz w:val="18"/>
          <w:szCs w:val="18"/>
          <w:color w:val="auto"/>
        </w:rPr>
        <w:t>Under the Orphan Drug Act, the FDA may grant orphan drug designation to a drug or biologic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treat a rare disease 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Information</w:t>
      </w:r>
    </w:p>
    <w:p>
      <w:pPr>
        <w:spacing w:after="0" w:line="227"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Under the Pediatric Research Equity Act of 2003, an NDA, BLA or supplement to an NDA or BLA must contain data that are adequate to assess the safety and effectiveness of the drug or biological product for the claimed indications in all relevant pediatric</w:t>
      </w:r>
    </w:p>
    <w:p>
      <w:pPr>
        <w:sectPr>
          <w:pgSz w:w="11900" w:h="16838" w:orient="portrait"/>
          <w:cols w:equalWidth="0" w:num="1">
            <w:col w:w="9920"/>
          </w:cols>
          <w:pgMar w:left="980" w:top="661"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 Approval</w:t>
      </w:r>
    </w:p>
    <w:p>
      <w:pPr>
        <w:spacing w:after="0" w:line="227"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6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187" w:lineRule="exact"/>
        <w:rPr>
          <w:sz w:val="20"/>
          <w:szCs w:val="20"/>
          <w:color w:val="auto"/>
        </w:rPr>
      </w:pPr>
    </w:p>
    <w:p>
      <w:pPr>
        <w:ind w:left="680" w:right="1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prosecution.</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shown to be highly similar to, or interchangeable with, an FDA-licensed reference biological product. The FDA has issued several guidance documents outlining an approach to review and approval of biosimilars.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BPCIA includes, among other provisions, a 12-year exclusivity period from the date of first licensure, or BLA approval, of the reference product, during which approval of a 351(k) application referencing that product may not be made effective; a four-year exclusivity period from the date of first licensure of the reference product, during which a 351(k) application referencing that product may not be submitted; and an exclusivity period for certain biological products that have been approved through the 351(k) pathway as interchangeable biosimilars.</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BPCIA also establishes procedures for identifying and resolving patent disputes involving applications submitted under section 351(k) of the PHSA.</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BPCIA is complex and its interpretation and implementation by the FDA remains unpredictable. In addition, government proposals have sought to reduce the 12-year reference product exclusivity period. Other aspects of the BPCIA, some of which may impact the BPCIA exclusivity provisions, have also been the subject of recent litigation. As a result, the ultimate effect, implementation, and meaning of the BPCIA is subject to uncertainty.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spacing w:after="0" w:line="18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w:t>
      </w:r>
    </w:p>
    <w:p>
      <w:pPr>
        <w:sectPr>
          <w:pgSz w:w="11900" w:h="16838" w:orient="portrait"/>
          <w:cols w:equalWidth="0" w:num="1">
            <w:col w:w="9880"/>
          </w:cols>
          <w:pgMar w:left="980" w:top="661"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EU regulatory system, we will submit all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European Medicines Agency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Processes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62"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Payor Coverage and Reimbursement</w:t>
      </w:r>
    </w:p>
    <w:p>
      <w:pPr>
        <w:spacing w:after="0" w:line="229" w:lineRule="exact"/>
        <w:rPr>
          <w:sz w:val="20"/>
          <w:szCs w:val="20"/>
          <w:color w:val="auto"/>
        </w:rPr>
      </w:pPr>
    </w:p>
    <w:p>
      <w:pPr>
        <w:jc w:val="both"/>
        <w:ind w:right="380" w:firstLine="324"/>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containment of health care costs has become a priority of federal, state and foreign governments, and the prices of drugs have been a focus in this effort. Given that the Inflation Reduction Act is now in place, potential implications for the biopharma industry are being assessed. In the meantime,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spacing w:after="0" w:line="194"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 border trade has existed for some time in the EU, allowing pharmacies in one country to import, at a lower price, drug from another country, further exerting pricing pressures across the EU. There is U.S. legislation that establishes a process for states to import less expensive drugs from Canada to the U.S. In January 2024, the FDA authorized the state of Florida to establish such a program, although Florida must take several other steps before drugs begin to be imported. There can be no assurance that any country that has price controls or reimbursement limitations for drug products will allow favorable reimbursement and pricing arrangements for any of our drugs.</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a mission driven organization, we believe the engagement and dedication of our employees is central to our success and employ talented individuals who have the skills and expertise to help us achieve our goals.</w:t>
      </w:r>
    </w:p>
    <w:p>
      <w:pPr>
        <w:spacing w:after="0" w:line="162"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2023, we had 160 full-time employees, 26 of whom have Ph.D. and/or M.D. degrees. Of these employees, 136 were engaged in or directly support research and development activities. We consider our relationship with our employees to be good.</w:t>
      </w:r>
    </w:p>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success depends in large part on our ability to attract and retain experienced and skilled employees. We endeavor to provide competitive compensation and benefits packages designed to attract, retain and reward talented individuals who possess the skills necessary to support our business objectives, assist in the achievement of our strategic goals and increase stockholder value. We employ a pay for performance philosophy. Annual salary increases, incentive bonuses and stock option grants are available to all employees and are based on merit and include individual and corporate performance factors.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that a diverse workforce brings.</w:t>
      </w:r>
    </w:p>
    <w:p>
      <w:pPr>
        <w:spacing w:after="0" w:line="176"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the health, safety and well-being of our employees at all times. We follow federal, state and local rules and guidelines to ensure the safety of our workforce and provide resources to assist our employees in managing their overall physical and mental health.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dedicated a significant portion of our resources to our efforts to develop our drug candidates. We incurred research and development expenses of $118.0 million, $82.3 million and $53.3 million during the years ended December 31, 2023, 2022 and 2021, respectively. We anticipate that a significant portion of our operating expenses will continue to be related to research and development in 2024 as we continue to advance our drug candidates through clinical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incorporated in Delaware. Our website is located at </w:t>
      </w:r>
      <w:r>
        <w:rPr>
          <w:rFonts w:ascii="Times New Roman" w:cs="Times New Roman" w:eastAsia="Times New Roman" w:hAnsi="Times New Roman"/>
          <w:sz w:val="18"/>
          <w:szCs w:val="18"/>
          <w:i w:val="1"/>
          <w:iCs w:val="1"/>
          <w:color w:val="auto"/>
        </w:rPr>
        <w:t>http://www.celldex.com.</w:t>
      </w:r>
      <w:r>
        <w:rPr>
          <w:rFonts w:ascii="Times New Roman" w:cs="Times New Roman" w:eastAsia="Times New Roman" w:hAnsi="Times New Roman"/>
          <w:sz w:val="18"/>
          <w:szCs w:val="18"/>
          <w:color w:val="auto"/>
        </w:rPr>
        <w:t xml:space="preserve"> On our website, investors can obtain, free of charge, a copy of our Annual Report on Form 10-K, Quarterly Reports on Form 10-Q, Current Reports on Form 8-K, our Code of Conduct and Business Ethics, including disclosure related to any amendments or waivers thereto, other reports and any amendments thereto filed or furnished pursuant to Section 13(a) or 15(d) of the Exchange Act of 1934, as amended, as soon as reasonably practicable after we file such material electronically with, or furnish it to, the Securities and Exchange Commission, or the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need for additional capital to fund our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Merger Agreement and related Settlement Agreement with Kolltan.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Drug Candidates</w:t>
      </w:r>
    </w:p>
    <w:p>
      <w:pPr>
        <w:spacing w:after="0" w:line="229" w:lineRule="exact"/>
        <w:rPr>
          <w:sz w:val="20"/>
          <w:szCs w:val="20"/>
          <w:color w:val="auto"/>
        </w:rPr>
      </w:pPr>
    </w:p>
    <w:p>
      <w:pPr>
        <w:ind w:left="680" w:right="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fund and complete the research and development activities and obtain regulatory approval for our program assets.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extensive and lengthy regulatory scrutiny to which we are subject.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commence, enroll, manage and complete our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serious adverse or unacceptable side effects identified related to our drug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collaboration agreements for our lead drug candidates that may not meet our expectations.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229"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difficulties or unanticipated costs in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acceptance of our drug candidates by physicians, patients and third-party payors.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reimbursement decisions by third-party payors.</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including the terms of FDA approval, that could affect the demand for and sales and profitability of any of our drug candidates.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failure to obtain regulatory approvals in foreign jurisdictions and risks related to international operations if we do obtain regulatory approval in foreign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9"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reliance on third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22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strategic transactions.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managing our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integrate and modify our technologies to create new drugs.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computer systems that we and third parties use and potential security breaches.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hazardous materials.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liability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9"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process for our drugs.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product candidate manufacturing or formulation.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compliance with laws and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history of losses and uncertainty of future profitability.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relates to the volatility of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use of our net operating loss carryforwards.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internal controls over financial reporting.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competitors may develop technologies that make ours obsolete.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health epidemics and outbreaks.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global economy and supply chain disruptions.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our key executives and scientists.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employees may engage in misconduct or other improper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compliance with the Nasdaq Listing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product revenue and will need to raise capital to operate our business.</w:t>
      </w:r>
    </w:p>
    <w:p>
      <w:pPr>
        <w:spacing w:after="0" w:line="229" w:lineRule="exact"/>
        <w:rPr>
          <w:sz w:val="20"/>
          <w:szCs w:val="20"/>
          <w:color w:val="auto"/>
        </w:rPr>
      </w:pPr>
    </w:p>
    <w:p>
      <w:pPr>
        <w:jc w:val="both"/>
        <w:ind w:right="59" w:firstLine="324"/>
        <w:spacing w:after="0" w:line="289" w:lineRule="auto"/>
        <w:rPr>
          <w:sz w:val="20"/>
          <w:szCs w:val="20"/>
          <w:color w:val="auto"/>
        </w:rPr>
      </w:pPr>
      <w:r>
        <w:rPr>
          <w:rFonts w:ascii="Times New Roman" w:cs="Times New Roman" w:eastAsia="Times New Roman" w:hAnsi="Times New Roman"/>
          <w:sz w:val="17"/>
          <w:szCs w:val="17"/>
          <w:color w:val="auto"/>
        </w:rPr>
        <w:t>To date, we have generated no product revenue and cannot predict when and if we will generate product revenue. We had an accumulated deficit of $1.4 billion as of December 31, 2023. Until, and unless, we complete clinical trials and other development activity, and receive approval from the FDA and other regulatory authorities, for our drug candidates, we cannot sell our drugs and</w:t>
      </w:r>
    </w:p>
    <w:p>
      <w:pPr>
        <w:sectPr>
          <w:pgSz w:w="11900" w:h="16838" w:orient="portrait"/>
          <w:cols w:equalWidth="0" w:num="1">
            <w:col w:w="9479"/>
          </w:cols>
          <w:pgMar w:left="980" w:top="661" w:right="1440" w:bottom="1440" w:gutter="0" w:footer="0" w:header="0"/>
        </w:sectPr>
      </w:pPr>
    </w:p>
    <w:p>
      <w:pPr>
        <w:spacing w:after="0" w:line="3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8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future losses and we may never become profitable.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incurred operating losses of $154.5 million, $115.2 million and $71.2 million during 2023, 2022 and 2021, respectively, and expect to incur an operating loss in 2024 and beyond. We believe that operating losses will continue in 2024 and beyond because we are planning to incur significant costs associated with the development of our drug candidates. During the years ended December 31, 2023, 2022 and 2021, we incurred $32.4 million, $23.8 million and $8.0 million in clinical trial expense and $24.1 million, $4.5 million and $1.7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8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expect to incur significant costs as we develop our drug candidates. The continuing development and commercialization of our drug candidates requires additional capital beyond our current resources. As of December 31, 2023, we had cash, cash equivalents and marketable securities of $423.6 million. During the next twelve months and beyond, we will take further steps to raise additional capital to fund our long-term liquidity needs. Our capital raising activities may include, but may not be limited to, one or more of the following:</w:t>
      </w:r>
    </w:p>
    <w:p>
      <w:pPr>
        <w:spacing w:after="0" w:line="180"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drug candidates with existing or new collaborative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business combinations;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debt;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or other securities via private placements or public offerings.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agreement pursuant to which we acquired Kolltan in 2016 (the “Merger Agreement”) as modified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settlement agreement (the “Settlement Agreement”) we entered on July 15, 2022 related to litigation arising from the Kolltan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in the event that regulatory approval by the United States Food and Drug Administration or European Medicines Agency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drug candidates are achieved, we will be required to pay to the former stockholders of Kolltan a milestone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$52,500,000, which milestone payment may be made, at our sole election, in cash, in shares of our common stock or a combination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subject to provisions of the Merger Agreement. If we elect to issue shares of our common stock to make this milestone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experience further dilution.</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require additional capital to fund the milestone payment in cash, depending on the facts and circumstances at the time such payment becomes due.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pay the milestone payment in shares of our common stock, our stockholders would experience substantial dilution.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Drug Candidates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heavily on our ability to fund and complete the research and development activities and obtain regulatory approval for our program assets.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failure can occur at any stage of clinical development. Clinical and preclinical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As part of development, we also must show that we can formulate and manufacture our product candidates in compliance with regulatory requirements.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will need substantial additional financing to complete the development of our drug candidates and comply with the regulatory requirements governing this process. Further, even if we complete the development of our drug candidates and gain marketing approvals from the FDA and comparable foreign regulatory authorities in a timely manner, we cannot be sure that such drug candidates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are subject to extensive regulatory scrutiny.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Premarket review of our product candidates by the FDA and/or other regulatory authorities is a lengthy and uncertain process and approval may be delayed, limited or denied, any of which would adversely affect our ability to generate operating revenues.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drug product candidates in the United States until we receive approval of an application by the FDA. The time required to obtain approval by the FDA is unpredictable, but typically takes multiple years following the commencement of clinical trials, and depends upon numerous factors, including the substantial discretion of the FDA and the type, complexity and novelty of the product candidates involved. Similar processes are used in countries outside of the U.S. We have not submitted a marketing application such as BLA or NDA to the FDA or any similar application to any other regulatory authority in any jurisdiction.</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FDA has substantial discretion in the drug approval process, including the ability to delay, limit or deny approval of a product candidate for many reasons. For example, the FDA:</w:t>
      </w:r>
    </w:p>
    <w:p>
      <w:pPr>
        <w:spacing w:after="0" w:line="162" w:lineRule="exact"/>
        <w:rPr>
          <w:sz w:val="20"/>
          <w:szCs w:val="20"/>
          <w:color w:val="auto"/>
        </w:rPr>
      </w:pPr>
    </w:p>
    <w:p>
      <w:pPr>
        <w:ind w:left="680" w:right="440" w:hanging="321"/>
        <w:spacing w:after="0" w:line="312" w:lineRule="auto"/>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determine that the information provided by us as part of an IND or BLA/NDA is inadequate, contains clinical deficiencies or otherwise fails to demonstrate safety and effectiveness of any of our product candidates for any indication;</w:t>
      </w:r>
    </w:p>
    <w:p>
      <w:pPr>
        <w:spacing w:after="0" w:line="139" w:lineRule="exact"/>
        <w:rPr>
          <w:rFonts w:ascii="Times New Roman" w:cs="Times New Roman" w:eastAsia="Times New Roman" w:hAnsi="Times New Roman"/>
          <w:sz w:val="17"/>
          <w:szCs w:val="17"/>
          <w:color w:val="auto"/>
        </w:rPr>
      </w:pPr>
    </w:p>
    <w:p>
      <w:pPr>
        <w:ind w:left="680" w:right="220" w:hanging="321"/>
        <w:spacing w:after="0" w:line="266"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find the data from pre-clinical and clinical trials sufficient to support the submission of a marketing application or to obtain marketing approval, including any findings that the safety risks outweigh clinical and other benefits of our product candidates;</w:t>
      </w:r>
    </w:p>
    <w:p>
      <w:pPr>
        <w:spacing w:after="0" w:line="17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us to perform additional studies to demonstrate the safety, efficacy, pharmacokinetics, or other properties of our product candidates prior to approval, or require such studies as a condition of approval;</w:t>
      </w:r>
    </w:p>
    <w:p>
      <w:pPr>
        <w:spacing w:after="0" w:line="161" w:lineRule="exact"/>
        <w:rPr>
          <w:rFonts w:ascii="Times New Roman" w:cs="Times New Roman" w:eastAsia="Times New Roman" w:hAnsi="Times New Roman"/>
          <w:sz w:val="18"/>
          <w:szCs w:val="18"/>
          <w:color w:val="auto"/>
        </w:rPr>
      </w:pPr>
    </w:p>
    <w:p>
      <w:pPr>
        <w:ind w:left="680" w:right="580" w:hanging="321"/>
        <w:spacing w:after="0" w:line="266"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with our clinical trial designs or our interpretation of data from product development manufacturing data, bioequivalence studies and/or clinical trials, or may change the requirements for approval even after it has reviewed and commented on the design for our trials;</w:t>
      </w:r>
    </w:p>
    <w:p>
      <w:pPr>
        <w:spacing w:after="0" w:line="17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the manufacturing processes or facilities of third-party manufacturers with which we enter into agreements for the supply of the API used in our product candidates;</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our own manufacturing processes or our proposed scale-up of the manufacturing processes or facilities for the production of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approve our product candidates for fewer or more limited indications than we request, or may grant approval contingent on the performance of costly post-approval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its approval policies or adopt new regulations; or</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labeling claims that we believe are necessary or desirable for the successful commercialization of our product candidates.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time and expense of the approval process, as well as the unpredictability of future clinical trial results and other contributing factors, may result in our failure to obtain regulatory approval to market, in the United States or other jurisdictions, barzolvolimab and other drug candidates that we are developing or may seek to develop in the future, which would significantly harm our business, results of operations and prospects. In such case, we may also not have the resources to conduct new clinical trials and/or we may determine that further clinical development of any such drug candidate is not justified and may discontinue any such programs.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before initiating human clinical trials.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may not be predictive of the results of later- 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testing is critical to the success of our drug candidates but subject to delay or cancellation if we have difficulty enrolling patients.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180"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clinical test;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receive a placebo or less effective treatment on the control arm of a clinical study;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distance between patients and clinical test sites;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cannot enroll patients as needed, our costs may increase, or we may be forced to delay or terminate testing for a product.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delays in commencing, enrolling and completing our clinical trials, and we may not complete them at all.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completed the clinical trials necessary to obtain FDA approval to market any of our drug candidates in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for our products in development may be delayed or terminated as a result of many factors, including the following:</w:t>
      </w:r>
    </w:p>
    <w:p>
      <w:pPr>
        <w:spacing w:after="0" w:line="207" w:lineRule="exact"/>
        <w:rPr>
          <w:sz w:val="20"/>
          <w:szCs w:val="20"/>
          <w:color w:val="auto"/>
        </w:rPr>
      </w:pPr>
    </w:p>
    <w:p>
      <w:pPr>
        <w:ind w:left="680" w:right="2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agreements on acceptable terms with prospective contract research organizations (CROs) and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enrolling patients in our clinical trials;</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necessary supplies of study drug and comparator to maintain predicted enrollment rates at clinical trial 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clinical trials due to dissatisfaction with the treatment, side effects or other reasons;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regulators to authorize us to commence a clinical trial;</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by regulators of clinical research for many reasons, including concerns about patient safety, bias or failure of our contract manufacturers to comply with cGMP requirements;</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clinical supply for our products necessary to conduct clinical trials from contract manufacturers, including commercial grade-clinical supply for our Phase 3 clinical trials;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maintain a sufficient number of trial sites, many of which may already be engaged in other clinical trial programs, including some that may be for the same indication as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demonstrating a lack of efficacy during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continue to fund clinical trials or to find a partner to fund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ongoing clinical trials and scheduling conflicts with participating clinicians;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data collection and analysis for clinical trials.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Any delay or failure to commence, enroll or complete clinical trials, fulfill regulatory requirements and obtain FDA approval for our drug candidates could have a material adverse effect on our cost to develop and commercialize, and our ability to generate revenue from, a particular drug candidate.</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or unacceptable side effects are identified during the development of our drug candidates, such events could prevent us from obtaining regulatory approval or achieving market acceptance of our drug candidates, and we may need to abandon or limit our development of some of our drug candidates.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drug candidates are associated with serious adverse events or undesirable side effects in clinical trials or have characteristics that are unexpected, such events could prevent us from obtaining regulatory approval or achieving market acceptance of our drug candidates, and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cancer and inflammatory diseases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those associated with other marketed therapies. In addition, when used in combination with other marketed therapies, our drug candidates may exacerbate adverse events associated with the marketed therapy.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drug candidates, including barzolvolimab, are monoclonal antibodies, which are biologics. Side effects from biologics may include hypersensitivity; severe reactions such as anaphylaxis or cytokine release syndrome; immune-mediated adverse reactions that may occur in any organ system or tissue, such as pneumonitis, colitis, hepatitis, endocrinopathies, nephritis, and dermatologic reactions; as well as infusion-related reactions, cellulitis, sepsis, pneumonia, urinary tract infection, fatigue, rash, and diarrhea.</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Most biologics, including our drug candidates, are injected, either subcutaneously or intravenously. There are risks inherent in subcutaneous injections, such as injection-site reactions (including redness, itching, swelling, pain, and tenderness) and other side effects. In addition, there are risks inherent in intravenous administration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biologics frequently causes an immune response, sometimes resulting in the creation of antibodies against the drug candidate which can impact the safety and/or efficacy associated with the treatment.</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8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multiple late-stage clinical trials for a variety of drug candidates simultaneously.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in a compliant manner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we could be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validate, develop and obtain regulatory approval for companion diagnostics for our drug candidates, if needed, could harm our drug development strategy and operational results.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biomarker it was developed to detect. We or our third-party collaborators may also experience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delay in obtaining regulatory approval would have an adverse impact on our ability to earn future revenues.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92"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7"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7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3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may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 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5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1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153"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 drug’s FDA-approved labeling;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standard of care or the availability of alternative drugs for the targeted indications for any of our drug candidates;</w:t>
      </w:r>
    </w:p>
    <w:p>
      <w:pPr>
        <w:spacing w:after="0" w:line="19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indications for our drug candidates;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availability, market acceptance and reimbursement for the companion diagnostic, where applicable;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drugs;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side effects;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sales, marketing and distribution support;</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drugs;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drug candidates or favorable publicity about competitive drugs;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our drug candidates;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third-party payors to reimburse for the cost of our drug candidates.</w:t>
      </w:r>
    </w:p>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our future drugs fail to achieve market acceptance, we will not be able to generate significant revenues and may never achieve profitability.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FDA approval, the terms of the approval may limit such drug’s commercial potential.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Additionally, even after receipt of FDA approval, such drug would be subject to substantial, ongoing regulatory requirements.</w:t>
      </w:r>
    </w:p>
    <w:p>
      <w:pPr>
        <w:spacing w:after="0" w:line="2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or under a Risk Evaluation and Mitigation Strategy (REMS) drug safety program.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6"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drugs or import bans.</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9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6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spacing w:after="0" w:line="14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could affect the demand for and sales and profitability of any drug candidates that we may commercialize in the future.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other factors that could affect the demand for and sales and profitability of our future drugs include, but are not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66" w:lineRule="exact"/>
        <w:rPr>
          <w:sz w:val="20"/>
          <w:szCs w:val="20"/>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 if any, of competitive drugs;</w:t>
      </w:r>
    </w:p>
    <w:p>
      <w:pPr>
        <w:spacing w:after="0" w:line="184"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other of our partners’ pricing decisions, as applicable, including a decision to increase or decrease the price of a drug, and the pricing decisions of our competitors;</w:t>
      </w:r>
    </w:p>
    <w:p>
      <w:pPr>
        <w:spacing w:after="0" w:line="134"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 reimbursement and coverage decisions that affect the utilization of our future drugs and competing drugs;</w:t>
      </w:r>
    </w:p>
    <w:p>
      <w:pPr>
        <w:spacing w:after="0" w:line="12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safety or efficacy data from new clinical studies conducted either in the U.S. or internationally by any party, which could cause the sales of our future drugs to decrease or a future drug to be recalled;</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patent protection afforded our future drugs by patents granted to or licensed by us and by the outcome of litigation involving our or any of our licensor’s patents;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exclusivity, if any, awarded by the FDA to our drugs;</w:t>
      </w:r>
    </w:p>
    <w:p>
      <w:pPr>
        <w:spacing w:after="0" w:line="184"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involving patents of other companies concerning our future drugs or processes related to production and formulation of those drugs or uses of those drugs;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use and development of alternate therapies;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market penetration by competing drugs;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or change in, existing arrangements with our partners.</w:t>
      </w:r>
    </w:p>
    <w:p>
      <w:pPr>
        <w:spacing w:after="0" w:line="18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have a material adverse effect on the sales of any drug candidates that we may commercialize in the future.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will prevent us from marketing our products internationally.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8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5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62"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 secret and patent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uncertain interest rate environments or political instability in particular foreign economies and markets;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employment regulations are different than, and labor unrest is more common than, in the United States;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hurricanes, floods and fires;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importing and exporting clinical trial materials and study samples.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8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 manufacturers over whom we have limited control. Should the cost, delivery and quality of clinical materials manufactured by us in our Fall River facility or supplied by contract manufacturers vary to our disadvantage, our business operations could suffer significant harm.</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have limited experience in commercial manufacturing. We rely on CMOs to manufacture drug substance and drug product for any late-stage clinical studies of our drug candidates as well as for future commercial supplies. Our ability to conduct late-stage clinical trials, manufacture and commercialize our drug candidates, if regulatory approval is obtained, depends on the ability of such CMOs to manufacture our drug candidates on a large scale at a competitive cost and in accordance with cGMP and foreign regulatory requirements, if applicable. We also rely on CMOs for labeling and storage for studies inside and outside the US. In order for us to establish our own commercial manufacturing facility, we would require substantial additional funds and would need to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 We therefore work with CMOs under established manufacturing arrangements that comply with the FDA’s requirements and other regulatory standards, although there is no assurance that the manufacturing will be successful.</w:t>
      </w:r>
    </w:p>
    <w:p>
      <w:pPr>
        <w:spacing w:after="0" w:line="19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also currently manufacture barzolvolimab and CDX-585 drug substance in our Fall River facility for our current and planned Phase 1 and Phase 2 clinical trials. All products are then filled at CMOs.</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Prior to approval of any drug candidate, the FDA must review and approve validation studies for both drug substance and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supply chain,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reliable sources of drug substance and drug product become critical to commercial success. The commercial viability of any of our drug candidates, if approved, will depend on the ability of our contract manufacturers to produce drug substance and drug product on a large scale. Failure to achieve this level of supply can jeopardize and prevent the successful commercialization of the drug.</w:t>
      </w:r>
    </w:p>
    <w:p>
      <w:pPr>
        <w:spacing w:after="0" w:line="197"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supply chain issues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assurances that contract manufacturers will be able to meet our timetable and requirements. While we believe that there is currently sufficient capacity worldwide for the production of our potential products through CMOs, establishing long-term relationships with CMOs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 key difficulty in qualifying more than one source for each product is the duplicated time and expense in doing so without the potential to mitigate these costs if the secondary source is never utilized.</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Use of third-party manufacturers also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third-party manufacturers fail to meet our manufacturing needs in an acceptable manner or fail to comply with regulatory requirements, we would face delays and additional costs while we develop internal manufacturing capabilities or find alternate third-party manufacturers. It may not be possible to have multiple third-party manufacturers ready to supply us with needed material at all or without incurring significant costs. Our dependence upon third parties for the manufacture of our products may adversely affect our profit margins and our ability to develop, manufacture, sell and deliver products on a timely and competitive basis. Any manufacturing failures, supply chain delays or compliance issues at our Fall River facility or at our CMOs could cause delays in our clinical studies for our drug candidates.</w:t>
      </w:r>
    </w:p>
    <w:p>
      <w:pPr>
        <w:spacing w:after="0" w:line="1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i w:val="1"/>
          <w:iCs w:val="1"/>
          <w:color w:val="auto"/>
        </w:rPr>
        <w:t>We may need to rely on third-party collaborators to develop and commercialize companion diagnostic tests for our drug candidates.</w:t>
      </w:r>
    </w:p>
    <w:p>
      <w:pPr>
        <w:spacing w:after="0" w:line="24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may need to rely on such third-party collaborators to obtain regulatory approval and commercialize such companion diagnostic tests. Such third-party collaborators:</w:t>
      </w:r>
    </w:p>
    <w:p>
      <w:pPr>
        <w:spacing w:after="0" w:line="183"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its obligations as expected or as required under our collaboration agreement;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encounter production difficulties that could constrain the supply of the companion diagnostic test;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difficulties gaining acceptance of the use of the companion diagnostic test in the clinical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the companion diagnostic test even if they receive any required regulatory approvals;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susceptible to third party cyber-attacks on our and their information security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the companion diagnostic test;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connection with the development and commercialization of our drug candidates or do so on commercially reasonable terms, which could adversely affect and/or delay the development or commercialization of our drug candidates.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consider strategic transactions, including acquisitions of companies,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9"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drug candidates or technologies;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impairment charges;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225"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7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59"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existing technology or to modify our technologies to create new immunotherapeutic drugs.</w:t>
      </w:r>
    </w:p>
    <w:p>
      <w:pPr>
        <w:spacing w:after="0" w:line="15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computer systems and those of our CROs, CMOs, and other contractors and consultants are vulnerable to damage from cyberattacks, malicious intrusion, computer viruses, unauthorized access, data breaches, phishing attacks, cybercriminals, natural disasters, terrorism, war and telecommunication, electrical failures or other significant disruption even with a cybersecurity risk mitigation program developed by our enterprise. Such information technology systems are additionally vulnerable to security breaches from inadvertent or intentional actions by our employees, third-party vendors, contractors, consultants, business partners, and/or other third parties. The risks of a security breach or disruption, particularly through cyber-attacks or cyber intrusion, including by traditional computer “hackers,” threat actors, personnel (such as through theft, inadvertent mistake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and distribute our products and product candidates. If any such events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Further, the risk of cyber-attacks or other privacy or data security incidents may be heightened due to common, external attempts to attack our information technology systems and data using means such as phishing, other social engineering and vulnerability exploitation. To the extent that any disruption or security breach were to result in a loss of or damage to our data or</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applications or inappropriate disclosure of confidential or proprietary information, we could incur liability and the further development or commercialization of our drug candidates could be delayed.</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material disruptions to our business, systems or operations as a result of a cybersecurity incident to date, if such an event were to occur and cause material interruptions in our operations, it could result in a material disruption of our independent drug development programs and our business overall.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further restricts all applicable personal data, including information masked by a coding system that is not considered deidentified data under applicable law. In addition to HIPAA and GDPR, numerous other federal and state laws, including, without limitation, state security breach notification laws, state health information privacy laws and federal and state consumer protection laws, govern the collection, use, disclosure, protection and storage of personal information. To the extent that any disruption or security breach of our information technology systems were to result in a loss of or damage to data or applications, or inappropriate disclosure of third-party notifiable confidential or proprietary information, personal health information, personal information or personal data, we could incur substantial liability under laws that protect the privacy of personal information, our reputation would be damaged, and the further development of our product candidates could be delayed, any of which could adversely affect our business. The costs related to significant security breaches or disruptions could be material and exceed the limits of the cybersecurity insurance we maintain against such risks.</w:t>
      </w:r>
    </w:p>
    <w:p>
      <w:pPr>
        <w:spacing w:after="0" w:line="19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us to use hazardous materials, which increases our exposure to dangerous and costly accidents.</w:t>
      </w:r>
    </w:p>
    <w:p>
      <w:pPr>
        <w:spacing w:after="0" w:line="229"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use of biological materials and small amounts of hazardous chemicals. The company has internal policies and procedures for the safe handling and disposal of these materials, in full compliance with applicable laws and regulations, including applicable OSHA, EPA, state and local regulations, and utilizing EPA licensed disposal companies and facilities. Although we believe we have reduced our risk and impacts from these materials through our safety procedures, we cannot completely eliminate the risk of accidental contamination or injury from these materials. The ongoing cost of complying with environmental laws and regulations is significant and may increase in the future. All risks of environmental damage inherent to our operations cannot be mitigated and failure to comply with applicable government regulations could result in the imposition of fines, restrictions, or increased operational costs, which could impact our ability to carry on with our operations.</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which could exceed our insurance coverage, and product recalls, each of which could deplete our cash resources.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 Product liability claims can be expensive to defend, even if the drug or drug candidate did not actually cause the alleged injury or harm.</w:t>
      </w:r>
    </w:p>
    <w:p>
      <w:pPr>
        <w:spacing w:after="0" w:line="18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Insurance covering product liability claims becomes increasingly expensive as a drug candidate moves through the development pipeline to commercialization.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negative publicity about our products and business and inhibit or prevent development of our drug candidates and, if approval is obtained, commercialization of our future drugs.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8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 We may also be unable to obtain patent term adjustments or extensions (or similar rights, such as Supplementary Protection Certificates, in foreign countries) at the relevant times, or the duration of any such adjustments, extensions or the like may be less than requested.</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Biotechnology patents involve complex legal, scientific and factual questions and are highly uncertain and may also result in different outcomes in different territories.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may potentially have them revoked or limit their scope, for example based on existing or newly identified prior art or other issues of validity.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and/or if inventorship were to be decided against us (or our licensor) in any relevant litigation, our use of the underlying product or technology will face restrictions, including elimination, and our ability to defend and/or enforce any affected patent rights could also be materially harmed.</w:t>
      </w:r>
    </w:p>
    <w:p>
      <w:pPr>
        <w:spacing w:after="0" w:line="19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the confidentiality of our trade secrets, thus harming our business and competitive position.</w:t>
      </w:r>
    </w:p>
    <w:p>
      <w:pPr>
        <w:spacing w:after="0" w:line="229"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which could be expensive, time- consuming and unsuccessful.</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8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22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We may seek orphan drug designation for some of our product candidates in the United States.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or priority review of applications for approval of our product candidates. If a drug is intended for the treatment of a serious or life- 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8"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sectPr>
          <w:pgSz w:w="11900" w:h="16838" w:orient="portrait"/>
          <w:cols w:equalWidth="0" w:num="1">
            <w:col w:w="9920"/>
          </w:cols>
          <w:pgMar w:left="980" w:top="661"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conducting clinical trials outside the United States and anticipate conducting additional clinical trials outside the United States, and the FDA may not accept data from such trials.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currently conducting clinical trials for our product candidates in countries outside of the United States and we anticipate that we will conduct additional clinical trials in countries outside the United States. Although the FDA may accept data from clinical trials conducted outside the United States, acceptance of such study data by the FDA is subject to certain conditions. For example, the clinical trial must be conducted in accordance with GCP requirements and the FDA must be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 A description of any studies related to overdosage is also required, including information on dialysis, antidotes, or other treatments, if known.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Risks inherent in conducting international clinical trials include, but are not limited to:</w:t>
      </w:r>
    </w:p>
    <w:p>
      <w:pPr>
        <w:spacing w:after="0" w:line="225" w:lineRule="exact"/>
        <w:rPr>
          <w:sz w:val="20"/>
          <w:szCs w:val="20"/>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negatively impact our financial condition since certain payments are paid in local currencies;</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During the course of a development program, sponsors may also change the contract manufacturers used to produce the product candidates. Such changes carry the risk that they will not achieve these intended objectives. Any of these changes could cause our product candidates to perform differently and affect the results of clinical trials. Such changes may also require additional testing, notification or approval by the FDA, EMA or other regulatory authorities. This could delay completion of clinical trials; require the conduct of bridging clinical trials or studies, or the repetition of one or more clinical trials; increase clinical trial costs; delay or prevent approval of our product candidates and jeopardize our ability to commence product sales and generate revenue.</w:t>
      </w:r>
    </w:p>
    <w:p>
      <w:pPr>
        <w:spacing w:after="0" w:line="1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5"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drugs or import bans.</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 care fraud and abuse laws, false claims laws, transparency and pricing laws and health information privacy and security laws. If we are unable to comply, or have not fully complied, with such laws, we could face substantial penalties.</w:t>
      </w:r>
    </w:p>
    <w:p>
      <w:pPr>
        <w:spacing w:after="0" w:line="17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83" w:lineRule="exact"/>
        <w:rPr>
          <w:sz w:val="20"/>
          <w:szCs w:val="20"/>
          <w:color w:val="auto"/>
        </w:rPr>
      </w:pPr>
    </w:p>
    <w:p>
      <w:pPr>
        <w:ind w:left="680" w:right="6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17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75" w:lineRule="exact"/>
        <w:rPr>
          <w:rFonts w:ascii="Times New Roman" w:cs="Times New Roman" w:eastAsia="Times New Roman" w:hAnsi="Times New Roman"/>
          <w:sz w:val="18"/>
          <w:szCs w:val="18"/>
          <w:color w:val="auto"/>
        </w:rPr>
      </w:pPr>
    </w:p>
    <w:p>
      <w:pPr>
        <w:ind w:left="680" w:right="380" w:hanging="321"/>
        <w:spacing w:after="0" w:line="289" w:lineRule="auto"/>
        <w:tabs>
          <w:tab w:leader="none" w:pos="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p>
      <w:pPr>
        <w:spacing w:after="0" w:line="157" w:lineRule="exact"/>
        <w:rPr>
          <w:rFonts w:ascii="Times New Roman" w:cs="Times New Roman" w:eastAsia="Times New Roman" w:hAnsi="Times New Roman"/>
          <w:sz w:val="17"/>
          <w:szCs w:val="17"/>
          <w:color w:val="auto"/>
        </w:rPr>
      </w:pPr>
    </w:p>
    <w:p>
      <w:pPr>
        <w:ind w:left="680" w:right="360" w:hanging="321"/>
        <w:spacing w:after="0" w:line="289" w:lineRule="auto"/>
        <w:tabs>
          <w:tab w:leader="none" w:pos="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transparency requirements under the Patient Protection and Affordable Care Act of 2010 (“ACA”)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57" w:lineRule="exact"/>
        <w:rPr>
          <w:rFonts w:ascii="Times New Roman" w:cs="Times New Roman" w:eastAsia="Times New Roman" w:hAnsi="Times New Roman"/>
          <w:sz w:val="17"/>
          <w:szCs w:val="17"/>
          <w:color w:val="auto"/>
        </w:rPr>
      </w:pPr>
    </w:p>
    <w:p>
      <w:pPr>
        <w:ind w:left="680" w:right="60" w:hanging="321"/>
        <w:spacing w:after="0" w:line="261"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and</w:t>
      </w:r>
    </w:p>
    <w:p>
      <w:pPr>
        <w:spacing w:after="0" w:line="179"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laws, such as the Physician Sunshine Act, directed at generating transparency on financial issues, including drug prices and payments made by drug companies to various entities and individuals involved in healthcare.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are subject to various domestic and international privacy and security regulations related to personal information, including health information, that are appliable to our business and associated data processing activities. The confidentiality, collection, use and disclosure of personal data, including clinical trial patient-specific information, are subject to governmental regulation generally in the country that the personal data were collected or used. In the United States, we are subject to various state and federal privacy and data security regulations, including but not limited to HIPAA and as amended by the HITECH Act. HIPAA imposes specified requirements relating to the privacy, security and transmission of individually identifiable health information, and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We may also be subject to state security breach notification laws, state laws protecting the privacy and security of health and personal information, and federal and state consumer protections laws which regulate the collection, use, disclosure and transmission of personal information. These laws may overlap and conflict with each other, and each of these laws is subject to varying interpretations by courts and government agencies, creating complex compliance issues for us.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Violations of the GDPR can carry hefty fines. In addition, we may be subject to additional national laws and regulations that govern the privacy and security of health information in certain circumstances, many of which differ from each other in significant ways, thus complicating compliance efforts. If we fail to comply with applicable data protection laws and regulations, we could be subject to penalties or sanctions, including criminal penalties. Furthermore, the legislative and regulatory landscape for privacy and data protection continues to evolve, and there has been an increasing amount of focus on privacy and data protection issues.</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Compliance with these laws may be time-consuming,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regulatory system,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 For example, in the United States, the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19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the Inflation Reduction Act of 2022, enacted in August 2022, empowers the Centers for Medicare and Medicaid Services to negotiate directly with pharmaceutical companies to set the prices for a limited set of high-cost drugs covered by Medicare, and puts penalties in place for drug manufacturers who increase their Medicare prices by more than the rate of inflation.</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Other examples of proposed changes include, but are not limited to, expanding post-approval requirements, changing the Orphan Drug Act, and restricting sales and promotional activities for pharmaceutical products.</w:t>
      </w:r>
    </w:p>
    <w:p>
      <w:pPr>
        <w:spacing w:after="0" w:line="162" w:lineRule="exact"/>
        <w:rPr>
          <w:sz w:val="20"/>
          <w:szCs w:val="20"/>
          <w:color w:val="auto"/>
        </w:rPr>
      </w:pPr>
    </w:p>
    <w:p>
      <w:pPr>
        <w:ind w:right="760" w:firstLine="324"/>
        <w:spacing w:after="0" w:line="266"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history of losses and uncertainty of future profitability make our common stock a highly speculative investment.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had no commercial revenue to date from sales of our drug candidates. We had an accumulated deficit of $1.4 billion as of December 31, 2023. We expect to spend substantial funds to continue the research and development testing of our drug candidates.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and could remain volatile.</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and may continue to experience significant volatility. From January 2022 through December 2023, the market price of our common stock has fluctuated from a high of $48.40 per share in the first quarter of 2023, to a low of $19.85 per share in the second quarter of 2022.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will be subject to limitation and, under certain circumstances, may be eliminated.</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we had net operating loss carryforwards, or NOLs, of approximately $618.4 million for federal income tax purposes, and $1.0 billion for state income tax purposes. Utilization of these NOLs depends on many factors, including our future income, which cannot be assured. In addition, 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October 2007, June 2009, December 2009 and December 2013, we experienced a change in ownership as defined by Section 382.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at least some of our federal NOL carryforwards is subject to an annual limitation. We have not undertaken a study to assess whether an ownership change or multiple ownership changes have occurred for (i) acquired businesses with NOLs prior to being acquired by the Company, (ii) the Company on the state level, (iii) the Company since March 2015 or (iv) research and development credits. If, based on such a study, we were to determine that there has been an ownership change at any time, utilization of net operating loss or tax credit carryforwards would be subject to an annual limitation under Section 382 (or similar state provisions).</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Any unused annual limitation may be carried over to later years, and the amount of the limitation may, under certain circumstances, be subject to adjustment if the fair value of our net assets is determined to be below or in excess of the tax basis of such</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 Additionally, the Tax Cuts and Jobs Act limited the deduction for net operating losses to 80% of taxable income while providing that net operating loss carryovers for years after 2017 will not expire. The CARES Act provides relief to corporate taxpayers by permitting a five year carryback of 2018 – 2020 NOLs, removing the 80% limitation on the carryback of those NOLs, and accelerates refunds for minimum tax credit carryforwards, along with a few other provisions. During the twelve months ended December 31, 2023, no material adjustments were made to provision amounts recorded as a result of the enactment of the CARES Act.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15, “Income Taxes,” in the accompanying notes to the financial statements for additional discussion on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or improved controls, or difficulties encountered in their implementation, could cause us to fail to meet our reporting obligations. We have designed, implemented and tested the internal control over financial reporting required to comply with this obligation, which was and is time consuming, costly, and complicated.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many competitors in our field, and they may develop technologies that make ours obsolete.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Biotechnology, pharmaceuticals and therapeutics are rapidly evolving fields in which scientific and technological developments are expected to continue at a rapid pace. We have many competitors in the U.S. and abroad. The competitors of which we are aware that have initiated a Phase 3 study or have obtained marketing approval for a potentially competitive drug to barzolvolimab for treatment of CSU, CIndU, PN and EoE include: Allakos (lirentelimab for EoE), Celltrion (CT-P39; omalizumab biosimilar for CSU), Galderma/Chugai (nemolizumab for PN), Novartis (remibrutinib for CSU), and Regeneron/Sanofi (Dupixent for CSU, CIndU, PN and EoE).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92"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technologies and products that are more effective than ours, making ours obsolete or otherwise noncompetitive;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products more rapidly or effectively than us;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protection or other intellectual property rights that would block our ability to develop competitive products.</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or other unforeseen events and our business continuity and disaster recovery plans may not adequately protect us from a serious disaster.</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power shortage, telecommunication failure or other natural or manmade accidents or incidents that result in us being unable to fully utilize our facilities, or the manufacturing facilities of our third-party CMOs, could severely disrupt our operations and have a material adverse effect on our business, results of operations, financial condition and prospects. For example, our operations are located primarily on the east coast</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of the United States, and any adverse weather event or natural disaster, such as a hurricane or heavy snowstorm, could have a material adverse effect on a substantial portion of our operations. If any event occurred that prevented us from using all or a significant portion of our manufacturing and lab facilities, damaged critical infrastructure, such as third-party manufacturing facilities, or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outbreaks, including COVID-19, which could significantly disrupt our preclinical studies and clinical trials.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Disease outbreaks, epidemics and pandemics, including COVID-19, in regions where we have concentrations of clinical trial sites and other business operations, could adversely affect our business, including by causing significant disruptions in our operations and/or in the operations of manufacturers and CROs upon whom we rely. Disease outbreaks, epidemics and pandemics may have negative impacts on our ability to initiate new clinical trial sites, enroll new patients and maintain existing patients who are participating in clinical trials, which may result in increased clinical trial costs, longer timelines and delay in our ability to obtain regulatory approvals of our product candidates, if at all. For example, patient enrollment and recruitment could be delayed due to local clinical trial site protocols designed to protect staff and patients from certain outbreaks, which could delay the expected timelines for data readouts of our preclinical studies and clinical trials. Additionally, general supply chain issues may be exacerbated during disease outbreaks, epidemics or pandemics and may also impact the ability of our clinical trial sites to obtain basic medical supplies used in our trials in a timely fashion, if at all. Moreover, the extent to which disease outbreaks, epidemics and pandemics may impact our business, results of operations and financial position will depend on future developments, which are highly uncertain and cannot be predicted with confidence. New health epidemics or pandemics may emerge that result in similar or more severe disruptions to our business. A future disease outbreak, epidemic or pandemic adversely affects our business, financial condition, results of operations and growth prospects.</w:t>
      </w:r>
    </w:p>
    <w:p>
      <w:pPr>
        <w:spacing w:after="0" w:line="18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future progression of the COVID-19 epidemic and its effects on our business and operations are uncertain. The impacts of a potential resurgence of COVID-19 could pose the risk that we or our employees, suppliers, customers and others may be restricted or prevented from conducting business activities for indefinite or intermittent periods of time, including as a result of employee health and safety concerns, shutdowns, shelter in place orders, travel restrictions and other actions and restrictions that may be prudent or required by governmental authorities. This could disrupt our ability to operate our business, including producing drug product and administering our preclinical and clinical studies. In addition, fluctuations in demand and other implications associated with the COVID-19 pandemic have resulted in, and could continue resulting in, certain supply chain constraints and challenges.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global economy and supply chains may have a material adverse effect on our business, financial condition and results of operations.</w:t>
      </w:r>
    </w:p>
    <w:p>
      <w:pPr>
        <w:spacing w:after="0" w:line="15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The disruptions to the global economy due to geopolitical events have impeded, and may continue to impede in the future, global supply chains, resulting in longer lead times and also increased critical component costs and freight expenses. We have taken steps to minimize the impact of these increased costs by working closely with our suppliers. Despite the actions we have undertaken to minimize the impacts from disruptions to the global economy, there can be no assurances that unforeseen future events in the global supply chain, and inflationary pressures, will not have a material adverse effect on our business, financial condition and results of operations.</w:t>
      </w:r>
    </w:p>
    <w:p>
      <w:pPr>
        <w:spacing w:after="0" w:line="16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and the investments we make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the Listing Rules of the NASDAQ Stock Exchange.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 that in the future we will be able to maintain compliance with the Nasdaq Listing Rules, including the minimum bid price requirement and other applicable corporate governance requirements.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To effectively prevent, detect and respond to cybersecurity threats, we maintain a cyber risk management program under the responsibility of the head of the Information Technology (“IT”) function. Management and administration of cybersecurity systems and activities are primarily outsourced to consultants who have cross-functional expertise in cyber security and who perform the work under the supervision of the IT head. Our IT head, in turn reports to the Senior Vice-President and General Counsel who is responsible for and knowledgeable of legal and contractual cybersecurity risk for the organization. The program is comprised of policies, standards, architecture, and processes, which are reviewed and updated on a periodic basis. The program leverages a multilayered approach of utilizing different practices, technologies, vendors or techniques without an overreliance on a single vendor. We engage with consultants to help develop and evidence the policies, standards, and processes in a manner consistent with applicable legal requirements, and also evaluate and adopt cybersecurity software from reputable vendors in cybersecurity, some that provide software as a service solutions backed by a Security Operations Center. We also engage separate third parties to provide penetration testing, risk consulting, cybersecurity incident assessment and forensics, as necessary and in addition to IT’s internal risk assessment processes. We work with many companies that provide hosted software or support for software systems. It is important for these</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companies to also have effective cybersecurity measures to protect data and systems. We have a self-attestation form to assess cybersecurity readiness that is sent to select vendors based on a risk assessment. For certain vendors, we request System and Organization Controls (SOC) reports or similar documents to provide assurance that the vendors have audited practices or practices in keeping with our legal requirements even if SOC audit documentation does not exist. We have also engaged legal counsel to advise on cybersecurity matters and we have developed an escalation protocol to report cybersecurity incidents as legally required. No material cybersecurity incidents have occurred to date.</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program also includes training that reinforces our policies, standards, and practices, as well as the expectation that employees comply with these policies. The training engages personnel on how to identify potential cybersecurity risks and protect our resources and information. This training is mandatory for all employees on a periodic basis, and it is supplemented by testing initiatives, including periodic phishing tests. We maintain a cybersecurity risk insurance policy.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Board Oversight</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is responsible for reviewing our information security programs, including cybersecurity. IT provides regular updates to the Audit Committee on our IT security strategy, secure score assessments, penetration testing results, and status of risk mitigation activities, where applicable. IT also notifies the Audit Committee and Executive Committee of any cybersecurity incidents (suspected or actual) and provides updates on the incidents as well as cybersecurity risk mitigation activities,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our significant leased properties are described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w w:val="98"/>
              </w:rPr>
              <w:t>Approximate</w:t>
            </w: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3"/>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40" w:type="dxa"/>
            <w:vAlign w:val="bottom"/>
          </w:tcPr>
          <w:p>
            <w:pPr>
              <w:spacing w:after="0"/>
              <w:rPr>
                <w:sz w:val="15"/>
                <w:szCs w:val="15"/>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r>
      <w:tr>
        <w:trPr>
          <w:trHeight w:val="209"/>
        </w:trPr>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Hampton, New Jersey</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Headquarters, Office and Laboratory</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July 2025</w:t>
            </w:r>
            <w:r>
              <w:rPr>
                <w:rFonts w:ascii="Times New Roman" w:cs="Times New Roman" w:eastAsia="Times New Roman" w:hAnsi="Times New Roman"/>
                <w:sz w:val="24"/>
                <w:szCs w:val="24"/>
                <w:color w:val="auto"/>
                <w:vertAlign w:val="superscript"/>
              </w:rPr>
              <w:t>(1)</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Fall River, Massachusetts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Manufacturing, Office and Laboratory</w:t>
            </w:r>
          </w:p>
        </w:tc>
        <w:tc>
          <w:tcPr>
            <w:tcW w:w="15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7"/>
                <w:szCs w:val="17"/>
                <w:color w:val="auto"/>
              </w:rPr>
              <w:t>July 2025</w:t>
            </w:r>
            <w:r>
              <w:rPr>
                <w:rFonts w:ascii="Times New Roman" w:cs="Times New Roman" w:eastAsia="Times New Roman" w:hAnsi="Times New Roman"/>
                <w:sz w:val="25"/>
                <w:szCs w:val="25"/>
                <w:color w:val="auto"/>
                <w:vertAlign w:val="superscript"/>
              </w:rPr>
              <w:t>(2)</w:t>
            </w: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Haven, Connecticut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and Laboratory</w:t>
            </w:r>
          </w:p>
        </w:tc>
        <w:tc>
          <w:tcPr>
            <w:tcW w:w="1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2025</w:t>
            </w:r>
          </w:p>
        </w:tc>
      </w:tr>
      <w:tr>
        <w:trPr>
          <w:trHeight w:val="108"/>
        </w:trPr>
        <w:tc>
          <w:tcPr>
            <w:tcW w:w="248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one renewal option of two years followed by one renewal option of three years.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one renewal option of two years followed by one renewal option of three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common stock currently trades on the Nasdaq Capital Market (NASDAQ) under the symbol “CLDX.” As of February 14, 2024, there were approximately 133 shareholders of record of our common stock. On February 14, 2024 the closing price of our common stock, as reported by NASDAQ, was $36.26 per share. We have not paid any dividends on our common stock since our inception and do not intend to pay any dividends in the foreseeable future.</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CELLDEX THERAPEUTICS, INC., NASDAQ MARKET INDEX — U.S. AND PEER GROUP INDICES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common stock for the period from December 31, 2018 through December 31, 2023, with the cumulative return on (i) NASDAQ U.S. Benchmark TR Index and (ii) NASDAQ Pharmaceutical (Subsector) Index. The comparison assumes investment of $100 on December 31, 2018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125730</wp:posOffset>
            </wp:positionV>
            <wp:extent cx="4817745" cy="3591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1774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Celldex Therapeutics,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NASDAQ U.S. Benchmark TR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Pharmaceutical (Subsector)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680" w:right="32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61" w:lineRule="exact"/>
        <w:rPr>
          <w:rFonts w:ascii="Times New Roman" w:cs="Times New Roman" w:eastAsia="Times New Roman" w:hAnsi="Times New Roman"/>
          <w:sz w:val="18"/>
          <w:szCs w:val="18"/>
          <w:color w:val="auto"/>
        </w:rPr>
      </w:pPr>
    </w:p>
    <w:p>
      <w:pPr>
        <w:ind w:left="1340" w:right="100" w:hanging="333"/>
        <w:spacing w:after="0" w:line="255" w:lineRule="auto"/>
        <w:tabs>
          <w:tab w:leader="none" w:pos="13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Urticarias: In November 2023, we announced that our Phase 2 study in chronic spontaneous urticaria (CSU) achieved the primary efficacy endpoint (statistically significant mean change from baseline to week 12 of urticaria activity score compared to placebo) and was well tolerated. The study is ongoing and patients will continue to receive barzolvolimab for 52 weeks of treatment; we plan to report topline 52 week data in the second half of 2024. We are currently planning for the initiation of Phase 3 studies in CSU in summer 2024. A Phase 2 study in chronic inducible urticaria (CIndU) is currently enrolling patients and we expect to report data from this study in the second half of 2024;</w:t>
      </w:r>
    </w:p>
    <w:p>
      <w:pPr>
        <w:spacing w:after="0" w:line="188" w:lineRule="exact"/>
        <w:rPr>
          <w:rFonts w:ascii="Times New Roman" w:cs="Times New Roman" w:eastAsia="Times New Roman" w:hAnsi="Times New Roman"/>
          <w:sz w:val="18"/>
          <w:szCs w:val="18"/>
          <w:color w:val="auto"/>
        </w:rPr>
      </w:pPr>
    </w:p>
    <w:p>
      <w:pPr>
        <w:ind w:left="1340" w:right="260" w:hanging="333"/>
        <w:spacing w:after="0" w:line="266" w:lineRule="auto"/>
        <w:tabs>
          <w:tab w:leader="none" w:pos="13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Prurigo Nodularis (PN): In November 2023, we reported positive data from a Phase 1b study in PN that supports further development of barzolvolimab in this indication and we are currently planning for the initiation of a Phase 2 study in PN in early 2024;</w:t>
      </w:r>
    </w:p>
    <w:p>
      <w:pPr>
        <w:spacing w:after="0" w:line="17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Eosinophilic Esophagitis (EoE): A Phase 2 study in EoE was initiated in June 2023 and enrollment is ongoing.</w:t>
      </w:r>
    </w:p>
    <w:p>
      <w:pPr>
        <w:spacing w:after="0" w:line="225" w:lineRule="exact"/>
        <w:rPr>
          <w:rFonts w:ascii="Times New Roman" w:cs="Times New Roman" w:eastAsia="Times New Roman" w:hAnsi="Times New Roman"/>
          <w:sz w:val="18"/>
          <w:szCs w:val="18"/>
          <w:color w:val="auto"/>
        </w:rPr>
      </w:pPr>
    </w:p>
    <w:p>
      <w:pPr>
        <w:ind w:left="680" w:right="22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generation bispecific antibody platform to support pipeline expansion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3"/>
        </w:trPr>
        <w:tc>
          <w:tcPr>
            <w:tcW w:w="2880" w:type="dxa"/>
            <w:vAlign w:val="bottom"/>
            <w:tcBorders>
              <w:bottom w:val="single" w:sz="8" w:color="auto"/>
            </w:tcBorders>
            <w:vMerge w:val="continue"/>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2 Years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5 Years</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5 Years</w:t>
            </w:r>
          </w:p>
        </w:tc>
        <w:tc>
          <w:tcPr>
            <w:tcW w:w="0" w:type="dxa"/>
            <w:vAlign w:val="bottom"/>
          </w:tcPr>
          <w:p>
            <w:pPr>
              <w:spacing w:after="0"/>
              <w:rPr>
                <w:sz w:val="1"/>
                <w:szCs w:val="1"/>
                <w:color w:val="auto"/>
              </w:rPr>
            </w:pPr>
          </w:p>
        </w:tc>
      </w:tr>
      <w:tr>
        <w:trPr>
          <w:trHeight w:val="864"/>
        </w:trPr>
        <w:tc>
          <w:tcPr>
            <w:tcW w:w="2880" w:type="dxa"/>
            <w:vAlign w:val="bottom"/>
          </w:tcPr>
          <w:p>
            <w:pPr>
              <w:spacing w:after="0"/>
              <w:rPr>
                <w:sz w:val="24"/>
                <w:szCs w:val="24"/>
                <w:color w:val="auto"/>
              </w:rPr>
            </w:pPr>
          </w:p>
        </w:tc>
        <w:tc>
          <w:tcPr>
            <w:tcW w:w="562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8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62" w:lineRule="exact"/>
        <w:rPr>
          <w:sz w:val="20"/>
          <w:szCs w:val="20"/>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drug candidate.</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During the past five years through December 31, 2023, we incurred an aggregate of $338.8 million in research and development expenses. The following table indicates the amount incurred for each of our significant research programs and for other identified research and development activities during the years ended December 31, 2023, 2022 and 2021. The amounts disclosed in the following table reflect direct research and development costs, license fees associated with the underlying technology and an allocation of indirect research and development costs to each program.</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28"/>
        </w:trPr>
        <w:tc>
          <w:tcPr>
            <w:tcW w:w="3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gridSpan w:val="4"/>
          </w:tcPr>
          <w:p>
            <w:pPr>
              <w:jc w:val="right"/>
              <w:ind w:right="73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Barzolvolimab/Anti-KIT Program</w:t>
            </w:r>
          </w:p>
        </w:tc>
        <w:tc>
          <w:tcPr>
            <w:tcW w:w="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79,913</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CDX-585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Programs</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w:t>
            </w: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760" w:type="dxa"/>
            <w:vAlign w:val="bottom"/>
          </w:tcPr>
          <w:p>
            <w:pPr>
              <w:spacing w:after="0"/>
              <w:rPr>
                <w:sz w:val="18"/>
                <w:szCs w:val="18"/>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53,311</w:t>
            </w:r>
          </w:p>
        </w:tc>
      </w:tr>
      <w:tr>
        <w:trPr>
          <w:trHeight w:val="20"/>
        </w:trPr>
        <w:tc>
          <w:tcPr>
            <w:tcW w:w="3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Barzolvolimab (also referred to as CDX-0159)</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Barzolvolimab was initially studied in chronic spontaneous urticaria (CSU) and chronic inducible urticaria (CIndU), diseases where mast cell degranulation plays a central role in the onset and progression of the disease. Phase 1 studies in CSU and CIndU were successfully completed and Phase 2 studies are ongoing. In November 2023, we reported that barzolvolimab achieved the primary efficacy endpoint in the ongoing Phase 2 CSU study, with a statistically significant mean change from baseline to week 12 of UAS7 (weekly urticaria activity score) compared to placebo and was well tolerated. We are currently planning Phase 3 studies in CSU which are expected to initiate in summer 2024.</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Based on the positive results reported in urticaria, we expanded development of barzolvolimab into additional indications where mast cells are believed to play an important role. We are conducting an ongoing Phase 2 study in eosinophilic esophagitis (EoE) and are preparing to initiate a Phase 2 study in prurigo nodularis (PN) in early 2024 after reporting positive data from a Phase 1b study in PN in late 2023. We continue to assess potential opportunities for barzolvolimab in other diseases where mast cells play an important role, such as dermatologic, respiratory, allergic, gastrointestinal and ophthalmic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Spontaneous Urticaria (CSU)</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180" w:lineRule="exact"/>
        <w:rPr>
          <w:sz w:val="20"/>
          <w:szCs w:val="20"/>
          <w:color w:val="auto"/>
        </w:rPr>
      </w:pPr>
    </w:p>
    <w:p>
      <w:pPr>
        <w:ind w:left="680" w:right="26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reduction from baseline in weekly urticaria activity score (UAS7) at week 12 was 67% in the 1.5 mg/kg dose group (n=8), 67% in the 3.0 mg/kg dose group (n=9) and 82% in the 4.5 mg/kg dose group (n=9). Mean reduction from baseline in UAS7 at week 24 was 80% in the 1.5 mg/kg dose group (n=7), 70% in the 3.0 mg/kg dose group (n=6) and 77% in the 4.5 mg/kg dose group (n=7).</w:t>
      </w:r>
    </w:p>
    <w:p>
      <w:pPr>
        <w:spacing w:after="0" w:line="179"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response (UAS7=0) at week 12 was 57% in the 1.5 mg/kg dose group, 44% in the 3.0 mg/kg dose group and 67% in the 4.5 mg/kg dose group. Complete response (UAS7=0) at week 24 was 57% in the 1.5 mg/kg dose group, 67% in the 3.0 mg/kg dose group and 43% in the 4.5 mg/kg dose group.</w:t>
      </w:r>
    </w:p>
    <w:p>
      <w:pPr>
        <w:spacing w:after="0" w:line="17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Well-controlled disease (UCT≥ 12) at week 12 was 75% in the 1.5 mg/kg dose group, 63% in the 3.0 mg/kg dose group and 89% in the 4.5 mg/kg dose group. Well-controlled disease (UCT≥ 12) at week 24 was 75% in the 1.5 mg/kg dose group, 67% in the 3.0 mg/kg dose group and 67% in the 4.5 mg/kg dose group.</w:t>
      </w:r>
    </w:p>
    <w:p>
      <w:pPr>
        <w:spacing w:after="0" w:line="17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post-treatment follow up, 71% (10 of 14) of patients who had been treated with doses greater than or equal to 1.5 mg/kg and had a complete response (UAS7=0) at week 12, remained urticaria free at week 24 (patients received last dose of barzolvolimab at week 8).</w:t>
      </w:r>
    </w:p>
    <w:p>
      <w:pPr>
        <w:spacing w:after="0" w:line="175" w:lineRule="exact"/>
        <w:rPr>
          <w:rFonts w:ascii="Times New Roman" w:cs="Times New Roman" w:eastAsia="Times New Roman" w:hAnsi="Times New Roman"/>
          <w:sz w:val="18"/>
          <w:szCs w:val="18"/>
          <w:color w:val="auto"/>
        </w:rPr>
      </w:pPr>
    </w:p>
    <w:p>
      <w:pPr>
        <w:ind w:left="680" w:right="36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Profound and durable improvement in angioedema symptoms as measured through the weekly angioedema activity score (AAS7) was achieved across all dose levels evaluated with sustained activity observed with the 1.5 mg/kg and greater dose levels.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7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Tryptase suppression, indicative of mast cell depletion, paralleled symptom improvement, demonstrating the impact of mast cell depletion on CSU disease activity.</w:t>
      </w:r>
    </w:p>
    <w:p>
      <w:pPr>
        <w:spacing w:after="0" w:line="161" w:lineRule="exact"/>
        <w:rPr>
          <w:rFonts w:ascii="Times New Roman" w:cs="Times New Roman" w:eastAsia="Times New Roman" w:hAnsi="Times New Roman"/>
          <w:sz w:val="18"/>
          <w:szCs w:val="18"/>
          <w:color w:val="auto"/>
        </w:rPr>
      </w:pPr>
    </w:p>
    <w:p>
      <w:pPr>
        <w:ind w:left="680" w:hanging="321"/>
        <w:spacing w:after="0" w:line="258"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Most AEs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83" w:lineRule="exact"/>
        <w:rPr>
          <w:sz w:val="20"/>
          <w:szCs w:val="20"/>
          <w:color w:val="auto"/>
        </w:rPr>
      </w:pPr>
    </w:p>
    <w:p>
      <w:pPr>
        <w:jc w:val="both"/>
        <w:ind w:right="480" w:firstLine="324"/>
        <w:spacing w:after="0" w:line="289" w:lineRule="auto"/>
        <w:rPr>
          <w:sz w:val="20"/>
          <w:szCs w:val="20"/>
          <w:color w:val="auto"/>
        </w:rPr>
      </w:pPr>
      <w:r>
        <w:rPr>
          <w:rFonts w:ascii="Times New Roman" w:cs="Times New Roman" w:eastAsia="Times New Roman" w:hAnsi="Times New Roman"/>
          <w:sz w:val="17"/>
          <w:szCs w:val="17"/>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pacing w:after="0" w:line="15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June 2022, we initiated dosing in a Phase 2 study in patients with CSU who remained symptomatic despite antihistamine therapy; in July 2023, we announced that enrollment was complete. The study is being conducted at approximately 75 sites across 9</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countries. The study is a randomized, double-blind, placebo-controlled, parallel group Phase 2 study evaluating the efficacy and safety profile of multiple dose regimens of barzolvolimab to determine the optimal dosing strategy. 208 patients have been randomly assigned on a 1:1:1:1 ratio to receive subcutaneous injections of barzolvolimab at 75 mg every 4 weeks, 150 mg every 4 weeks, 300 mg every 8 weeks or placebo during a 16-week placebo-controlled treatment phase. After 16 weeks, patients then enter a 36-week active treatment period, in which patients receiving placebo or the 75 mg dose are randomized to receive barzolvolimab 150 mg every 4 weeks or 300 mg every 8 weeks; patients already randomized to the 150 mg and 300 mg treatment arms remain on the same regimen as during the placebo-controlled treatment period. After 52 weeks, patients then enter a follow-up period for an additional 24 weeks. The primary endpoint of the study is mean change in baseline to week 12 in UAS7 (weekly urticaria activity score). Secondary endpoints include safety and other assessments of clinical activity including ISS7 (weekly itch severity score), HSS7 (weekly hive severity score) and AAS7 (weekly angioedema activity score).</w:t>
      </w:r>
    </w:p>
    <w:p>
      <w:pPr>
        <w:spacing w:after="0" w:line="19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4380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4380230"/>
                    </a:xfrm>
                    <a:prstGeom prst="rect">
                      <a:avLst/>
                    </a:prstGeom>
                    <a:noFill/>
                  </pic:spPr>
                </pic:pic>
              </a:graphicData>
            </a:graphic>
          </wp:anchor>
        </w:drawing>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of Clinical Activity Assessments at Week 12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6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300 mg Q8W</w:t>
            </w:r>
          </w:p>
        </w:tc>
        <w:tc>
          <w:tcPr>
            <w:tcW w:w="230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150 mg Q4W</w:t>
            </w:r>
          </w:p>
        </w:tc>
        <w:tc>
          <w:tcPr>
            <w:tcW w:w="16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75 mg Q4W</w:t>
            </w:r>
          </w:p>
        </w:tc>
        <w:tc>
          <w:tcPr>
            <w:tcW w:w="15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Placebo</w:t>
            </w:r>
          </w:p>
        </w:tc>
      </w:tr>
      <w:tr>
        <w:trPr>
          <w:trHeight w:val="265"/>
        </w:trPr>
        <w:tc>
          <w:tcPr>
            <w:tcW w:w="256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(n=51)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(n=52)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(n=53)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(n=51)</w:t>
            </w:r>
          </w:p>
        </w:tc>
      </w:tr>
      <w:tr>
        <w:trPr>
          <w:trHeight w:val="40"/>
        </w:trPr>
        <w:tc>
          <w:tcPr>
            <w:tcW w:w="25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2"/>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UAS7 Changes</w:t>
            </w:r>
          </w:p>
        </w:tc>
        <w:tc>
          <w:tcPr>
            <w:tcW w:w="1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UAS7 (mean)</w:t>
            </w:r>
          </w:p>
        </w:tc>
        <w:tc>
          <w:tcPr>
            <w:tcW w:w="1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31.33</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30.75</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30.30</w:t>
            </w: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30.09</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-23.87</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-23.02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5"/>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difference from</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-13.41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-6.60</w:t>
            </w:r>
          </w:p>
        </w:tc>
        <w:tc>
          <w:tcPr>
            <w:tcW w:w="1580" w:type="dxa"/>
            <w:vAlign w:val="bottom"/>
          </w:tcPr>
          <w:p>
            <w:pPr>
              <w:spacing w:after="0"/>
              <w:rPr>
                <w:sz w:val="21"/>
                <w:szCs w:val="21"/>
                <w:color w:val="auto"/>
              </w:rPr>
            </w:pPr>
          </w:p>
        </w:tc>
      </w:tr>
      <w:tr>
        <w:trPr>
          <w:trHeight w:val="229"/>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placebo (Confidence Interval,</w:t>
            </w:r>
          </w:p>
        </w:tc>
        <w:tc>
          <w:tcPr>
            <w:tcW w:w="18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 -17.47, -9.34)</w:t>
            </w:r>
          </w:p>
        </w:tc>
        <w:tc>
          <w:tcPr>
            <w:tcW w:w="2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(CI:-16.56, -8.55)</w:t>
            </w:r>
          </w:p>
        </w:tc>
        <w:tc>
          <w:tcPr>
            <w:tcW w:w="16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(CI:-10.71, -2.49)</w:t>
            </w:r>
          </w:p>
        </w:tc>
        <w:tc>
          <w:tcPr>
            <w:tcW w:w="1580" w:type="dxa"/>
            <w:vAlign w:val="bottom"/>
          </w:tcPr>
          <w:p>
            <w:pPr>
              <w:spacing w:after="0"/>
              <w:rPr>
                <w:sz w:val="19"/>
                <w:szCs w:val="19"/>
                <w:color w:val="auto"/>
              </w:rPr>
            </w:pPr>
          </w:p>
        </w:tc>
      </w:tr>
      <w:tr>
        <w:trPr>
          <w:trHeight w:val="275"/>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 value)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p=0.0017</w:t>
            </w:r>
          </w:p>
        </w:tc>
        <w:tc>
          <w:tcPr>
            <w:tcW w:w="1580" w:type="dxa"/>
            <w:vAlign w:val="bottom"/>
          </w:tcPr>
          <w:p>
            <w:pPr>
              <w:spacing w:after="0"/>
              <w:rPr>
                <w:sz w:val="23"/>
                <w:szCs w:val="23"/>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2"/>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HSS7 Changes</w:t>
            </w:r>
          </w:p>
        </w:tc>
        <w:tc>
          <w:tcPr>
            <w:tcW w:w="18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HSS7 (mean)</w:t>
            </w:r>
          </w:p>
        </w:tc>
        <w:tc>
          <w:tcPr>
            <w:tcW w:w="1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14.92</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15.05</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14.86</w:t>
            </w: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14.47</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-12.19</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-11.19</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-4.95</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5"/>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difference from</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-7.24</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-3.31</w:t>
            </w:r>
          </w:p>
        </w:tc>
        <w:tc>
          <w:tcPr>
            <w:tcW w:w="1580" w:type="dxa"/>
            <w:vAlign w:val="bottom"/>
          </w:tcPr>
          <w:p>
            <w:pPr>
              <w:spacing w:after="0"/>
              <w:rPr>
                <w:sz w:val="21"/>
                <w:szCs w:val="21"/>
                <w:color w:val="auto"/>
              </w:rPr>
            </w:pPr>
          </w:p>
        </w:tc>
      </w:tr>
      <w:tr>
        <w:trPr>
          <w:trHeight w:val="230"/>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placebo (Confidence Interval,</w:t>
            </w:r>
          </w:p>
        </w:tc>
        <w:tc>
          <w:tcPr>
            <w:tcW w:w="18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(CI:-9.36, -5.12)</w:t>
            </w:r>
          </w:p>
        </w:tc>
        <w:tc>
          <w:tcPr>
            <w:tcW w:w="2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(CI:-8.33, -4.16),</w:t>
            </w:r>
          </w:p>
        </w:tc>
        <w:tc>
          <w:tcPr>
            <w:tcW w:w="16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(CI:-5.40, -1.22),</w:t>
            </w:r>
          </w:p>
        </w:tc>
        <w:tc>
          <w:tcPr>
            <w:tcW w:w="1580" w:type="dxa"/>
            <w:vAlign w:val="bottom"/>
          </w:tcPr>
          <w:p>
            <w:pPr>
              <w:spacing w:after="0"/>
              <w:rPr>
                <w:sz w:val="19"/>
                <w:szCs w:val="19"/>
                <w:color w:val="auto"/>
              </w:rPr>
            </w:pPr>
          </w:p>
        </w:tc>
      </w:tr>
      <w:tr>
        <w:trPr>
          <w:trHeight w:val="275"/>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 value)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p=0.0020</w:t>
            </w:r>
          </w:p>
        </w:tc>
        <w:tc>
          <w:tcPr>
            <w:tcW w:w="1580" w:type="dxa"/>
            <w:vAlign w:val="bottom"/>
          </w:tcPr>
          <w:p>
            <w:pPr>
              <w:spacing w:after="0"/>
              <w:rPr>
                <w:sz w:val="23"/>
                <w:szCs w:val="23"/>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2"/>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ISS7 Changes</w:t>
            </w:r>
          </w:p>
        </w:tc>
        <w:tc>
          <w:tcPr>
            <w:tcW w:w="18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ISS7 (mean)</w:t>
            </w:r>
          </w:p>
        </w:tc>
        <w:tc>
          <w:tcPr>
            <w:tcW w:w="1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16.42</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15.70</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15.44</w:t>
            </w: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15.61</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-11.79</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-11.68</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-5.47</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5"/>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LS Mean difference from</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-6.32</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-3.16</w:t>
            </w:r>
          </w:p>
        </w:tc>
        <w:tc>
          <w:tcPr>
            <w:tcW w:w="1580" w:type="dxa"/>
            <w:vAlign w:val="bottom"/>
          </w:tcPr>
          <w:p>
            <w:pPr>
              <w:spacing w:after="0"/>
              <w:rPr>
                <w:sz w:val="21"/>
                <w:szCs w:val="21"/>
                <w:color w:val="auto"/>
              </w:rPr>
            </w:pPr>
          </w:p>
        </w:tc>
      </w:tr>
      <w:tr>
        <w:trPr>
          <w:trHeight w:val="229"/>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placebo (Confidence Interval,</w:t>
            </w:r>
          </w:p>
        </w:tc>
        <w:tc>
          <w:tcPr>
            <w:tcW w:w="18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 -8.50, -4.13),</w:t>
            </w:r>
          </w:p>
        </w:tc>
        <w:tc>
          <w:tcPr>
            <w:tcW w:w="23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(CI: -8.38, -4.04),</w:t>
            </w:r>
          </w:p>
        </w:tc>
        <w:tc>
          <w:tcPr>
            <w:tcW w:w="1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 -5.41, -0.91),</w:t>
            </w:r>
          </w:p>
        </w:tc>
        <w:tc>
          <w:tcPr>
            <w:tcW w:w="1580" w:type="dxa"/>
            <w:vAlign w:val="bottom"/>
          </w:tcPr>
          <w:p>
            <w:pPr>
              <w:spacing w:after="0"/>
              <w:rPr>
                <w:sz w:val="19"/>
                <w:szCs w:val="19"/>
                <w:color w:val="auto"/>
              </w:rPr>
            </w:pPr>
          </w:p>
        </w:tc>
      </w:tr>
      <w:tr>
        <w:trPr>
          <w:trHeight w:val="275"/>
        </w:trPr>
        <w:tc>
          <w:tcPr>
            <w:tcW w:w="2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 value)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p=0.0061</w:t>
            </w:r>
          </w:p>
        </w:tc>
        <w:tc>
          <w:tcPr>
            <w:tcW w:w="1580" w:type="dxa"/>
            <w:vAlign w:val="bottom"/>
          </w:tcPr>
          <w:p>
            <w:pPr>
              <w:spacing w:after="0"/>
              <w:rPr>
                <w:sz w:val="23"/>
                <w:szCs w:val="23"/>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2"/>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Responder Analyses/Clinical Responses</w:t>
            </w:r>
          </w:p>
        </w:tc>
        <w:tc>
          <w:tcPr>
            <w:tcW w:w="2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
        </w:trPr>
        <w:tc>
          <w:tcPr>
            <w:tcW w:w="2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UAS7=0 (Complete Control)</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UAS7≤6 (Well-controlled)</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w:t>
            </w:r>
          </w:p>
        </w:tc>
      </w:tr>
      <w:tr>
        <w:trPr>
          <w:trHeight w:val="49"/>
        </w:trPr>
        <w:tc>
          <w:tcPr>
            <w:tcW w:w="25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UAS7, HSS7 and ISS7 data were analyzed using ANCOVA model and multiple imputation.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Patients on study will continue to receive barzolvolimab for 52 weeks and we plan to report 52 week data in late 2024. We believe these results strongly support the further development of barzolvolimab in CSU and are currently planning two Phase 3 studies of barzolvolimab which we plan to initiate in summer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Inducible Urticaria (CIndU)</w:t>
      </w:r>
    </w:p>
    <w:p>
      <w:pPr>
        <w:spacing w:after="0" w:line="227"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completed a Phase 1b open label clinical trial in CIndU in patients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Rapid (as early as 1 week) and durable responses were observed in patients as assessed by provocation testing.</w:t>
      </w:r>
    </w:p>
    <w:p>
      <w:pPr>
        <w:spacing w:after="0" w:line="225" w:lineRule="exact"/>
        <w:rPr>
          <w:sz w:val="20"/>
          <w:szCs w:val="20"/>
          <w:color w:val="auto"/>
        </w:rPr>
      </w:pPr>
    </w:p>
    <w:p>
      <w:pPr>
        <w:ind w:left="680" w:right="20" w:hanging="321"/>
        <w:spacing w:after="0" w:line="255"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188"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179"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7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179" w:lineRule="exact"/>
        <w:rPr>
          <w:rFonts w:ascii="Times New Roman" w:cs="Times New Roman" w:eastAsia="Times New Roman" w:hAnsi="Times New Roman"/>
          <w:sz w:val="18"/>
          <w:szCs w:val="18"/>
          <w:color w:val="auto"/>
        </w:rPr>
      </w:pPr>
    </w:p>
    <w:p>
      <w:pPr>
        <w:ind w:left="680" w:right="20" w:hanging="321"/>
        <w:spacing w:after="0" w:line="253"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191" w:lineRule="exact"/>
        <w:rPr>
          <w:rFonts w:ascii="Times New Roman" w:cs="Times New Roman" w:eastAsia="Times New Roman" w:hAnsi="Times New Roman"/>
          <w:sz w:val="18"/>
          <w:szCs w:val="18"/>
          <w:color w:val="auto"/>
        </w:rPr>
      </w:pPr>
    </w:p>
    <w:p>
      <w:pPr>
        <w:ind w:left="680" w:hanging="321"/>
        <w:spacing w:after="0" w:line="254"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18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July 2022, we announced that the first patient had been dosed in a Phase 2 study in patients with CIndU who remain symptomatic despite antihistamine therapy.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 Data from this study are expected in the second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Prurigo Nodularis (PN)</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sources estimate there are approximately 154,000 patients in the United States with PN who have undergone treatment within the last 12 months and, of these, approximately 75,000 would be biologic-eligible.</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 single IV dose of 3.0 mg/kg barzolvolimab resulted in rapid and durable reductions in itch and healing of skin lesions in patients with moderate to severe PN and that barzolvolimab was generally well tolerated.</w:t>
      </w:r>
    </w:p>
    <w:p>
      <w:pPr>
        <w:spacing w:after="0" w:line="162" w:lineRule="exact"/>
        <w:rPr>
          <w:sz w:val="20"/>
          <w:szCs w:val="20"/>
          <w:color w:val="auto"/>
        </w:rPr>
      </w:pPr>
    </w:p>
    <w:p>
      <w:pPr>
        <w:ind w:left="680" w:right="20" w:hanging="321"/>
        <w:spacing w:after="0" w:line="261"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six which was distinct from both the 1.5 mg/kg barzolvolimab and placebo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125730</wp:posOffset>
            </wp:positionV>
            <wp:extent cx="5031740" cy="951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31740" cy="951865"/>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of Subjects with ≥4-point decrease in WI-NRS</w:t>
      </w:r>
    </w:p>
    <w:p>
      <w:pPr>
        <w:spacing w:after="0" w:line="65" w:lineRule="exact"/>
        <w:rPr>
          <w:sz w:val="20"/>
          <w:szCs w:val="20"/>
          <w:color w:val="auto"/>
        </w:rPr>
      </w:pPr>
    </w:p>
    <w:tbl>
      <w:tblPr>
        <w:tblLayout w:type="fixed"/>
        <w:tblInd w:w="1000" w:type="dxa"/>
        <w:tblCellMar>
          <w:top w:w="0" w:type="dxa"/>
          <w:left w:w="0" w:type="dxa"/>
          <w:bottom w:w="0" w:type="dxa"/>
          <w:right w:w="0" w:type="dxa"/>
        </w:tblCellMar>
      </w:tblPr>
      <w:tr>
        <w:trPr>
          <w:trHeight w:val="248"/>
        </w:trPr>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Dose</w:t>
            </w:r>
          </w:p>
        </w:tc>
        <w:tc>
          <w:tcPr>
            <w:tcW w:w="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Week 1</w:t>
            </w:r>
          </w:p>
        </w:tc>
        <w:tc>
          <w:tcPr>
            <w:tcW w:w="7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Week 2</w:t>
            </w:r>
          </w:p>
        </w:tc>
        <w:tc>
          <w:tcPr>
            <w:tcW w:w="76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Week 3</w:t>
            </w:r>
          </w:p>
        </w:tc>
        <w:tc>
          <w:tcPr>
            <w:tcW w:w="78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4</w:t>
            </w:r>
          </w:p>
        </w:tc>
        <w:tc>
          <w:tcPr>
            <w:tcW w:w="76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5</w:t>
            </w:r>
          </w:p>
        </w:tc>
        <w:tc>
          <w:tcPr>
            <w:tcW w:w="78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6</w:t>
            </w:r>
          </w:p>
        </w:tc>
        <w:tc>
          <w:tcPr>
            <w:tcW w:w="78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7</w:t>
            </w: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Week 8</w:t>
            </w:r>
          </w:p>
        </w:tc>
      </w:tr>
      <w:tr>
        <w:trPr>
          <w:trHeight w:val="49"/>
        </w:trPr>
        <w:tc>
          <w:tcPr>
            <w:tcW w:w="1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8"/>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 mg/kg</w:t>
            </w:r>
          </w:p>
        </w:tc>
        <w:tc>
          <w:tcPr>
            <w:tcW w:w="7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r>
      <w:tr>
        <w:trPr>
          <w:trHeight w:val="49"/>
        </w:trPr>
        <w:tc>
          <w:tcPr>
            <w:tcW w:w="1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2"/>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7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71</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57</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45"/>
        </w:trPr>
        <w:tc>
          <w:tcPr>
            <w:tcW w:w="17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8"/>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placebo</w:t>
            </w:r>
          </w:p>
        </w:tc>
        <w:tc>
          <w:tcPr>
            <w:tcW w:w="7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88"/>
              </w:rPr>
              <w:t>0</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r>
      <w:tr>
        <w:trPr>
          <w:trHeight w:val="49"/>
        </w:trPr>
        <w:tc>
          <w:tcPr>
            <w:tcW w:w="1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ind w:left="680" w:right="20" w:hanging="321"/>
        <w:spacing w:after="0" w:line="258"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128270</wp:posOffset>
            </wp:positionV>
            <wp:extent cx="5031740" cy="9512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31740" cy="951230"/>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of Subjects with IGA 0/1</w:t>
      </w:r>
    </w:p>
    <w:p>
      <w:pPr>
        <w:spacing w:after="0" w:line="65" w:lineRule="exact"/>
        <w:rPr>
          <w:sz w:val="20"/>
          <w:szCs w:val="20"/>
          <w:color w:val="auto"/>
        </w:rPr>
      </w:pPr>
    </w:p>
    <w:tbl>
      <w:tblPr>
        <w:tblLayout w:type="fixed"/>
        <w:tblInd w:w="1000" w:type="dxa"/>
        <w:tblCellMar>
          <w:top w:w="0" w:type="dxa"/>
          <w:left w:w="0" w:type="dxa"/>
          <w:bottom w:w="0" w:type="dxa"/>
          <w:right w:w="0" w:type="dxa"/>
        </w:tblCellMar>
      </w:tblPr>
      <w:tr>
        <w:trPr>
          <w:trHeight w:val="248"/>
        </w:trPr>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Dose</w:t>
            </w:r>
          </w:p>
        </w:tc>
        <w:tc>
          <w:tcPr>
            <w:tcW w:w="1520" w:type="dxa"/>
            <w:vAlign w:val="bottom"/>
            <w:tcBorders>
              <w:top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Baseline</w:t>
            </w:r>
          </w:p>
        </w:tc>
        <w:tc>
          <w:tcPr>
            <w:tcW w:w="130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Week 2</w:t>
            </w:r>
          </w:p>
        </w:tc>
        <w:tc>
          <w:tcPr>
            <w:tcW w:w="130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Week 4</w:t>
            </w:r>
          </w:p>
        </w:tc>
        <w:tc>
          <w:tcPr>
            <w:tcW w:w="13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Week 8</w:t>
            </w:r>
          </w:p>
        </w:tc>
      </w:tr>
      <w:tr>
        <w:trPr>
          <w:trHeight w:val="49"/>
        </w:trPr>
        <w:tc>
          <w:tcPr>
            <w:tcW w:w="2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28"/>
        </w:trPr>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 mg/kg</w:t>
            </w:r>
          </w:p>
        </w:tc>
        <w:tc>
          <w:tcPr>
            <w:tcW w:w="152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49"/>
        </w:trPr>
        <w:tc>
          <w:tcPr>
            <w:tcW w:w="2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32"/>
        </w:trPr>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mg/kg</w:t>
            </w:r>
          </w:p>
        </w:tc>
        <w:tc>
          <w:tcPr>
            <w:tcW w:w="152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29</w:t>
            </w:r>
          </w:p>
        </w:tc>
      </w:tr>
      <w:tr>
        <w:trPr>
          <w:trHeight w:val="45"/>
        </w:trPr>
        <w:tc>
          <w:tcPr>
            <w:tcW w:w="2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8"/>
        </w:trPr>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placebo</w:t>
            </w:r>
          </w:p>
        </w:tc>
        <w:tc>
          <w:tcPr>
            <w:tcW w:w="152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49"/>
        </w:trPr>
        <w:tc>
          <w:tcPr>
            <w:tcW w:w="2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ind w:left="680" w:right="240" w:hanging="321"/>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75" w:lineRule="exact"/>
        <w:rPr>
          <w:rFonts w:ascii="Times New Roman" w:cs="Times New Roman" w:eastAsia="Times New Roman" w:hAnsi="Times New Roman"/>
          <w:sz w:val="18"/>
          <w:szCs w:val="18"/>
          <w:color w:val="auto"/>
        </w:rPr>
      </w:pPr>
    </w:p>
    <w:p>
      <w:pPr>
        <w:ind w:left="680" w:right="220" w:hanging="321"/>
        <w:spacing w:after="0" w:line="261"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AEs seen during the 24-week follow-up period were consistent with comorbidities commonly observed in the PN population.</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currently planning for the initiation of a Phase 2 subcutaneous study in PN in early 2024. This randomized, double-blind, placebo-controlled, parallel group study will evaluate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will be randomly assigned on a 1:1:1</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ratio to receive barzolvolimab injections of 150 mg Q4W after an initial loading dose of 450 mg, 300 mg Q4W after an initial loading dose of 450 mg, or placebo during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Phase. Participants will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Eosinophilic Esophagitis (EoE)</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Enrollment is ongoing.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Barzolvolimab Development Activities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2023, we completed the transfer of our current barzolvolimab manufacturing process to a CMO and successfully scaled up the drug substance manufacturing process to produce larger cGMP batches in support of late-stage trials and to prepare for potential commercialization. Drug product manufacturing into 1 mL pre-filled syringes has been completed in support of Phase 3 trials. We are in the process of scaling up our drug product manufacturing. We believe that barzolvolimab can be scaled up to permit drug product manufacturing in commercial quantities.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Bispecific Platform</w:t>
      </w:r>
    </w:p>
    <w:p>
      <w:pPr>
        <w:spacing w:after="0" w:line="227" w:lineRule="exact"/>
        <w:rPr>
          <w:sz w:val="20"/>
          <w:szCs w:val="20"/>
          <w:color w:val="auto"/>
        </w:rPr>
      </w:pPr>
    </w:p>
    <w:p>
      <w:pPr>
        <w:ind w:right="640" w:firstLine="324"/>
        <w:spacing w:after="0" w:line="312" w:lineRule="auto"/>
        <w:rPr>
          <w:sz w:val="20"/>
          <w:szCs w:val="20"/>
          <w:color w:val="auto"/>
        </w:rPr>
      </w:pPr>
      <w:r>
        <w:rPr>
          <w:rFonts w:ascii="Times New Roman" w:cs="Times New Roman" w:eastAsia="Times New Roman" w:hAnsi="Times New Roman"/>
          <w:sz w:val="17"/>
          <w:szCs w:val="17"/>
          <w:color w:val="auto"/>
        </w:rPr>
        <w:t>Our next generation bispecific antibody platform is supporting the expansion of our pipeline with additional candidates for inflammatory diseases and oncology. Targets are being selected based on new science as well as their compatibility to be used in</w:t>
      </w:r>
    </w:p>
    <w:p>
      <w:pPr>
        <w:sectPr>
          <w:pgSz w:w="11900" w:h="16838" w:orient="portrait"/>
          <w:cols w:equalWidth="0" w:num="1">
            <w:col w:w="9900"/>
          </w:cols>
          <w:pgMar w:left="980" w:top="661"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bispecific antibody formats with our existing antibody programs. Development is focused on emerging, important pathways controlling inflammatory diseases or immunity to tumors.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CDX-585</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CDX-585 combines our proprietary highly active PD-1 blockade and anti-ILT4 blockade to overcome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w:t>
      </w:r>
    </w:p>
    <w:p>
      <w:pPr>
        <w:spacing w:after="0" w:line="19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late May 2023, we announced that the first patient had been dosed in the Phase 1 study of CDX-585. This open-label, multi-center, intravenous study of CDX-585 is being evaluated in patients with advanced or metastatic solid tumors that have progressed during or after standard of care therapy. The dose-escalation phase of the study (n=~30 patients) is designed to determine a maximum tolerated dose (MTD) and to select CDX-585 dose(s) for future evaluation in tumor specific expansion cohorts. In the first phase, increasing doses of CDX-585 will be administered intravenously (0.03 mg/kg up to 10.0 mg/kg) every 2 weeks until confirmed disease progression, intolerance, or for a maximum of 2 years. In the second phase, potential expansion cohorts will evaluate the safety, tolerability and biologic effects, including anti-tumor activity, of selected dose level(s) of CDX-585 in specific tumor types. Enrollment is ongoing.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the financial statements included in Item 8 of this Form 10-K. We believe our most critical accounting policies include accounting for contingent consideration, revenue recognition, intangible and long-lived assets, research and development expenses and stock-based compensation expense.</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162"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clinical events or regulatory approvals;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meeting clinical and commercial milestones;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contingent consideration arose in connection with our acquisition of Kolltan. On a quarterly basis, we revalue these obligations and record increases or decreases in their fair value as an adjustment to operating earnings. As of December 31, 2023, the</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fair value of our contingent consideration was $0.0 million.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85"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8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5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and Long-Lived Assets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our long-lived assets, including property and equipment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w:t>
      </w:r>
    </w:p>
    <w:p>
      <w:pPr>
        <w:spacing w:after="0" w:line="13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p>
      <w:pPr>
        <w:spacing w:after="0" w:line="143"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costs to complete the in-process projects;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clinical events or regulatory approvals;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cash flows from product sales resulting from completed products and in-process projects;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record stock-based compensation expense for all stock-based awards made to employees, consultants and non-employee directors based on the estimated fair values of the stock-based awards expected to vest at the grant date and adjust, if necessary, to reflect actual forfeitures. Our estimates of employee, consultant and non-employ director stock option values rely on estimates of future uncertain events. Significant assumptions include the use of historical volatility to estimate the expected stock price volatility. We also estimate expected term based on historical exercise patterns. For consultant and non-employee director grants, we may elect to use the contractual term as the expected term in the option-pricing model. Actual volatility and lives of options may be significantly different from our estimates. Compensation expense for all stock-based awards is recognized using the straight-line method over the term of vesting or performance.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Year Ended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5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5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8"/>
        </w:trPr>
        <w:tc>
          <w:tcPr>
            <w:tcW w:w="5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4"/>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396 %</w:t>
            </w: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 and grants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187 %</w:t>
            </w:r>
          </w:p>
        </w:tc>
      </w:tr>
      <w:tr>
        <w:trPr>
          <w:trHeight w:val="24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192 %</w:t>
            </w:r>
          </w:p>
        </w:tc>
      </w:tr>
      <w:tr>
        <w:trPr>
          <w:trHeight w:val="197"/>
        </w:trPr>
        <w:tc>
          <w:tcPr>
            <w:tcW w:w="5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 related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161,425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351 %</w:t>
            </w: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(112,325)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5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$29.1 million increase in net loss for the year ended December 31, 2023, as compared to the year ended December 31, 2022, was primarily due to an increase in research and development expenses and a decrease in the gain on fair value remeasurement of contingent consideration, partially offset by increases in contracts and grants revenue and investment and other income,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$4.3 million increase in contracts and grants revenue for the year ended December 31, 2023, as compared to the year ended December 31, 2022, was primarily related to an increase in services performed under our manufacturing and research and development agreements with Rockefeller University. We expect revenue to remain relatively consistent over the next twelve months, although there may be fluctuations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98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980" w:type="dxa"/>
            <w:vAlign w:val="bottom"/>
            <w:tcBorders>
              <w:bottom w:val="single" w:sz="8" w:color="auto"/>
            </w:tcBorders>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r>
      <w:tr>
        <w:trPr>
          <w:trHeight w:val="128"/>
        </w:trPr>
        <w:tc>
          <w:tcPr>
            <w:tcW w:w="3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$ 32,674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(15)%</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bl>
    <w:p>
      <w:pPr>
        <w:spacing w:after="0" w:line="17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$7.4 million increase in personnel expenses for the year ended December 31, 2023, as compared to the year ended December 31, 2022, was primarily due to higher stock-based compensation expense and an increase in employee headcount. We expect personnel expenses to increase over the next twelve months as a result of additional headcount to support the expanded development of barzolvolimab.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The $1.0 million decrease in laboratory supply expenses for the year ended December 31, 2023, as compared to the year ended December 31, 2022, was primarily due to lower laboratory services, materials and supplies purchases. We expect laboratory supplies expenses to remain relatively consistent over the next twelve months, although there may be fluctuations on a quarterly basis.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The $0.2 million increase in facility expenses for the year ended December 31, 2023, as compared to the year ended December 31, 2022, was primarily due to higher repairs and depreciation expense. We expect facility expenses to remain relatively consistent over the next twelve months, although there may be fluctuations on a quarterly basis.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$27.2 million increase in product development expenses for the year ended December 31, 2023, as compared to the year ended December 31, 2022, was primarily due to an increase in barzolvolimab clinical trial and contract manufacturing expenses. We expect product development expenses to increase over the next twelve months as a result of the expanded development of barzolvolimab, although there may be fluctuations on a quarterly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$3.7 million increase in general and administrative expenses for the year ended December 31, 2023, as compared to the year ended December 31, 2022, was primarily due to higher stock-based compensation, recruiting and barzolvolimab commercial planning expenses, partially offset by a decrease in legal expenses. We expect general and administrative expenses to increase over the next twelve months as a result of the expanded development of barzolvolimab and an increase in commercial planning efforts, although there may be fluctuations on a quarterly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Fair Value Remeasurement of Contingent Consideration</w:t>
      </w:r>
    </w:p>
    <w:p>
      <w:pPr>
        <w:spacing w:after="0" w:line="22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$6.9 million gain on fair value remeasurement of contingent consideration for the year ended December 31, 2022 was primarily due to our decision to deprioritize the CDX-1140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 Related Loss</w:t>
      </w:r>
    </w:p>
    <w:p>
      <w:pPr>
        <w:spacing w:after="0" w:line="22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recorded a loss of $15.0 million in the second quarter of 2022 related to the Initial Payment due under the binding settlement term sheet entered with SRS, which was subsequently memorialized in a Settlement Agreement with SRS. During the fourth quarter of 2023, we announced positive topline results from our Phase 2 clinical trial of barzolvolimab in patients with moderate to severe CSU, which satisfied the requirement of “successful completion” of a Phase 2 Clinical Trial of barzolvolimab such that we were obligated to make the applicable milestone payment under the Settlement Agreement in the amount of $12.5 million. During the fourth quarter of 2023, we paid the $12.5 million milestone in cash and recorded a litigation settlement related loss of $12.5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$10.2 million increase in investment and other income, net for the year ended December 31, 2023, as compared to the year ended December 31, 2022, was primarily due to higher interest rates on fixed income investments and higher other income related to our sale of New Jersey tax benefits. We expect investment and other income to increase over the next twelve months due to higher interest rates and higher levels of cash as a result of our November 2023 underwritten public offering, although there may be fluctuations on a quarterly basis.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Year Ended December 31,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231F20"/>
              </w:rPr>
              <w:t>Year Ended</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Increase/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5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231F20"/>
              </w:rPr>
              <w:t>(Decrease)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10"/>
        </w:trPr>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231F20"/>
                <w:w w:val="85"/>
              </w:rPr>
              <w:t>$</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w:t>
            </w:r>
          </w:p>
        </w:tc>
        <w:tc>
          <w:tcPr>
            <w:tcW w:w="180" w:type="dxa"/>
            <w:vAlign w:val="bottom"/>
          </w:tcPr>
          <w:p>
            <w:pPr>
              <w:spacing w:after="0"/>
              <w:rPr>
                <w:sz w:val="18"/>
                <w:szCs w:val="18"/>
                <w:color w:val="auto"/>
              </w:rPr>
            </w:pPr>
          </w:p>
        </w:tc>
      </w:tr>
      <w:tr>
        <w:trPr>
          <w:trHeight w:val="128"/>
        </w:trPr>
        <w:tc>
          <w:tcPr>
            <w:tcW w:w="5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5"/>
          </w:tcPr>
          <w:p>
            <w:pPr>
              <w:jc w:val="right"/>
              <w:ind w:right="4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 and grants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(2,319)</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28,947</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388 %</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 related loss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(71,243)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476 %</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(70,738)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(70,511)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5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$41.8 million increase in net loss for the year ended December 31, 2022, as compared to the year ended December 31, 2021, was primarily due to the $15.0 million litigation settlement related loss recorded in the second quarter of 2022 and increases in research and development and general and administrative expenses, partially offset by an increase in the gain on fair value remeasurement of contingent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and licensing agreements revenue for the year ended December 31, 2022 was relatively consistent with the year ended December 31, 2021. The $2.3 million decrease in contracts and grants revenue for the year ended December 31, 2022, as compared to the year ended December 31, 2021, was primarily related to a decrease in services performed under our manufacturing and research and development agreements with Rockefeller University and Gilead Sciences.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rPr>
              <w:t>Year Ended</w:t>
            </w:r>
          </w:p>
        </w:tc>
        <w:tc>
          <w:tcPr>
            <w:tcW w:w="160" w:type="dxa"/>
            <w:vAlign w:val="bottom"/>
          </w:tcPr>
          <w:p>
            <w:pPr>
              <w:spacing w:after="0"/>
              <w:rPr>
                <w:sz w:val="13"/>
                <w:szCs w:val="13"/>
                <w:color w:val="auto"/>
              </w:rPr>
            </w:pPr>
          </w:p>
        </w:tc>
        <w:tc>
          <w:tcPr>
            <w:tcW w:w="106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160" w:type="dxa"/>
            <w:vAlign w:val="bottom"/>
          </w:tcPr>
          <w:p>
            <w:pPr>
              <w:spacing w:after="0"/>
              <w:rPr>
                <w:sz w:val="15"/>
                <w:szCs w:val="15"/>
                <w:color w:val="auto"/>
              </w:rPr>
            </w:pPr>
          </w:p>
        </w:tc>
        <w:tc>
          <w:tcPr>
            <w:tcW w:w="1060" w:type="dxa"/>
            <w:vAlign w:val="bottom"/>
            <w:tcBorders>
              <w:bottom w:val="single" w:sz="8" w:color="auto"/>
            </w:tcBorders>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231F20"/>
              </w:rPr>
              <w:t>(Decrease)</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80" w:type="dxa"/>
            <w:vAlign w:val="bottom"/>
          </w:tcPr>
          <w:p>
            <w:pPr>
              <w:spacing w:after="0"/>
              <w:rPr>
                <w:sz w:val="12"/>
                <w:szCs w:val="12"/>
                <w:color w:val="auto"/>
              </w:rPr>
            </w:pPr>
          </w:p>
        </w:tc>
      </w:tr>
      <w:tr>
        <w:trPr>
          <w:trHeight w:val="129"/>
        </w:trPr>
        <w:tc>
          <w:tcPr>
            <w:tcW w:w="3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231F20"/>
              </w:rPr>
              <w:t>(In thousands)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$ 32,674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r>
    </w:tbl>
    <w:p>
      <w:pPr>
        <w:spacing w:after="0" w:line="17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$6.3 million increase in personnel expenses for the year ended December 31, 2022, as compared to the year ended December 31, 2021, was primarily due to higher stock-based compensation expense and an increase in employee headcount.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The $0.3 million increase in laboratory supply expenses for the year ended December 31, 2022, as compared to the year ended December 31, 2021, was primarily due to higher laboratory services, materials and supplies purchases.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expenses for the year ended December 31, 2022 were relatively consistent with the year ended December 31, 2021.</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$19.9 million increase in product development expenses for the year ended December 31, 2022, as compared to the year ended December 31, 2021, was primarily due to an increase in barzolvolimab clinical trial and contract manufacturing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$6.7 million increase in general and administrative expenses for the year ended December 31, 2022, as compared to the year ended December 31, 2021, was primarily due to higher stock-based compensation, legal and barzolvolimab commercial planning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Impairment</w:t>
      </w:r>
    </w:p>
    <w:p>
      <w:pPr>
        <w:spacing w:after="0" w:line="227"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During the third quarter of 2021, 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Fair Value Remeasurement of Contingent Consideration</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$6.9 million gain on fair value remeasurement of contingent consideration for the year ended December 31, 2022 was primarily due to our decision to deprioritize the CDX-1140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 Related Loss</w:t>
      </w:r>
    </w:p>
    <w:p>
      <w:pPr>
        <w:spacing w:after="0" w:line="22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recorded a loss of $15.0 million in the second quarter of 2022 related to the Initial Payment due under the binding settlement term sheet entered with SRS, which was subsequently memorialized in the Settlement Agreement with SRS.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$2.4 million increase in investment and other income, net for the year ended December 31, 2022, as compared to the year ended December 31, 2021, was primarily due to higher interest rates on fixed income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 $0.2 million non-cash income tax benefit was recorded for the year ended December 31, 2021 related to the impairment of the TAM program IPR&amp;D asset in the third quarter of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 grade corporate bonds that meet high credit quality standards, as specified in our investment policy. Our investment policy seeks to manage these assets to achieve our goals of preserving principal and maintaining adequate liquidity.</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2023, our principal sources of liquidity consisted of cash, cash equivalents and marketable securities of $423.6 million. We have had recurring losses and incurred a loss of $141.4 million for the year ended December 31, 2023. Net cash used in operations for the year ended December 31, 2023 was $107.3 million. We believe that the cash, cash equivalents and marketable securities at December 31, 2023 are sufficient to meet estimated working capital requirements and fund current planned operations into 2026. This could be impacted if we elect to pay the future milestone under the Settlement Agreement with SRS, if any, in cash.</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$107.3 million for the year ended December 31, 2023 compared to $103.7 million for the year ended December 31, 2022. The increase in net cash used in operating activities was primarily due to increases in research and development and general and administrative expenses, partially offset by an increase in revenue and a decrease in payments made under the Settlement Agreement with SRS. We expect that cash used in operating activities will increase over the next twelve months as a result of the expanded development of barzolvolimab.</w:t>
      </w:r>
    </w:p>
    <w:p>
      <w:pPr>
        <w:spacing w:after="0" w:line="18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$103.7 million for the year ended December 31, 2022 compared to $60.9 million for the year ended December 31, 2021. The increase in net cash used in operating activities was primarily due to increases in research and development and general and administrative expenses and the $15.0 million Initial Payment made to SRS under the Settlement Agreement.</w:t>
      </w:r>
    </w:p>
    <w:p>
      <w:pPr>
        <w:spacing w:after="0" w:line="180"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$105.8 million for the year ended December 31, 2023 compared to net cash provided by investing activities of $89.9 million for the year ended December 31, 2022. The increase in net cash used in investing activities was primarily due to net purchases of marketable securities of $104.0 million for the year ended December 31, 2023 as compared to net</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sales and maturities of marketable securities of $91.7 million for the year ended December 31, 2022. We expect that cash provided by investing activities will increase over the next twelve months as we fund our operations through the combination of net proceeds from the sales and maturities of marketable securities, cash provided by financing activities and/or new partnerships, although there may be significant fluctuations on a quarterly basis based on the amount of cash provided by financing activities and/or new partnerships.</w:t>
      </w:r>
    </w:p>
    <w:p>
      <w:pPr>
        <w:spacing w:after="0" w:line="180"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$89.9 million for the year ended December 31, 2022 compared to net cash used in investing activities of $216.2 million for the year ended December 31, 2021. The increase in net cash provided by investing activities was primarily due to net sales and maturities of marketable securities of $91.7 million for the year ended December 31, 2022 as compared to net purchases of $214.9 million for the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$218.5 million for the year ended December 31, 2023 compared to $4.1 million for the year ended December 31, 2022. The increase in net cash provided by financing activities was primarily due to an increase in net proceeds from stock issuances.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 million for the year ended December 31, 2022 compared to $272.4 million for the year ended December 31, 2021. The decrease in net cash provided by financing activities was primarily due to a decrease in net proceeds from stock issuances.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November 2023, we filed an automatic shelf registration statement with the SEC to register for sale any combination of the types of securities described in the shelf registration statement.</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February 26, 2024, we entered into a controlled equity offering sales agreement with Cantor Fitzgerald &amp; Co. (“Cantor”) to allow us to issue and sell shares of our common stock having an aggregate offering price of up to $300.0 million from time to time through Cantor, acting as agent. On February 26, 2024, we terminated our prior Controlled Equity Offering sales agreement, dated May 19, 2016, with Cantor.</w:t>
      </w:r>
    </w:p>
    <w:p>
      <w:pPr>
        <w:spacing w:after="0" w:line="1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During the third quarter of 2021, we issued 6,845,238 shares of common stock in an underwritten public offering resulting in net proceeds of $269.9 million, after deducting underwriting fees and offering expenses.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we issued 8,538,750 shares of common stock in an underwritten public offering resulting in net proceeds of $216.2 million, after deducting underwriting fees and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18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balance sheet of cash and cash equivalents, accounts receivables and accounts payable approximates fair value at December 31, 2023 due to the short-term maturities of these instruments.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Board of Directors and Stockholders of Celldex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Celldex Therapeutics, Inc. and its subsidiary (the “Company”) as of December 31, 2023 and 2022, and the related consolidated statements of operations and comprehensive loss,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right="98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 and Accruals Related to Clinical Research Organization and Contract Manufacturing Organization Activities</w:t>
      </w:r>
    </w:p>
    <w:p>
      <w:pPr>
        <w:spacing w:after="0" w:line="160"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As described in Notes 2 and 9 to the consolidated financial statements, research and development costs, including internal and contract research costs, are expensed as incurred. Research and development expenses consist mainly of clinical trial costs and manufacturing of clinical material, toxicology and other preclinical studies, personnel costs, depreciation, license fees and funding of outside contracted research. 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Management accrues the cost of services rendered in connection with CRO and CMO activities based on their estimate of costs incurred. Management maintains regular communication with their CROs and CMOs to assess the reasonableness of its estimates. Research and development expenses for the year ended December 31, 2023 were $118 million, a portion of which related to CRO and CMO activities. Within accrued expenses, total accrued research and development contract costs as of December 31, 2023 amounted to $10.9 million, a majority of which related to CRO and CMO activities.</w:t>
      </w:r>
    </w:p>
    <w:p>
      <w:pPr>
        <w:spacing w:after="0" w:line="17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research and development expenses and accruals related to CRO and CMO activities is a critical audit matter is a high degree of auditor effort in performing procedures related to the Company’s research and development expenses and accruals.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estimated research and development accruals, including those related to CRO and CMO activities. These procedures also included, among others (i) testing management’s process for developing the estimate of research and development accruals related to CROs and CMOs, (ii) evaluating the appropriateness of the methods used by management to develop the estimate, (iii) testing, on a sample basis, the completeness and accuracy of costs incurred for services that have been performed and for which the Company has been invoiced by comparing amounts to CRO and CMO contracts and invoices, and evaluating the reasonableness of the cost incurred for the services for which the Company has not yet been invoiced by comparing estimated amounts to information received from the CROs and CMOs, and</w:t>
      </w:r>
    </w:p>
    <w:p>
      <w:pPr>
        <w:ind w:right="3860" w:firstLine="8"/>
        <w:spacing w:after="0" w:line="490" w:lineRule="auto"/>
        <w:tabs>
          <w:tab w:leader="none" w:pos="3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on a sample basis, classification of research and development expenses. /s/ PricewaterhouseCoopers LLP</w:t>
      </w: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275,523</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w:t>
            </w:r>
          </w:p>
        </w:tc>
      </w:tr>
      <w:tr>
        <w:trPr>
          <w:trHeight w:val="20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317,693</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465,627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352,735</w:t>
            </w:r>
          </w:p>
        </w:tc>
      </w:tr>
      <w:tr>
        <w:trPr>
          <w:trHeight w:val="197"/>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liabilities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0"/>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09"/>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26,531</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8"/>
        </w:trPr>
        <w:tc>
          <w:tcPr>
            <w:tcW w:w="73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 and</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2023 and 2022</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55,883,377 and 47,200,695</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December 31, 2023 and 2022, respectively</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1,580,829</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(1,397,361)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(1,255,932)</w:t>
            </w:r>
          </w:p>
        </w:tc>
      </w:tr>
      <w:tr>
        <w:trPr>
          <w:trHeight w:val="210"/>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326,204</w:t>
            </w:r>
          </w:p>
        </w:tc>
      </w:tr>
      <w:tr>
        <w:trPr>
          <w:trHeight w:val="210"/>
        </w:trPr>
        <w:tc>
          <w:tcPr>
            <w:tcW w:w="7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352,735</w:t>
            </w:r>
          </w:p>
        </w:tc>
      </w:tr>
      <w:tr>
        <w:trPr>
          <w:trHeight w:val="20"/>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Litigation settlement related loss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75,894</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8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(112,325)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48,449</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46,888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42,870</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(141,429)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(112,325)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39,603,771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1,279,824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(1,073,096)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209,357</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stock option and employee stock purchase plans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in underwritten offering, net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6,845,238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269,886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269,893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8,953</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(70,511)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(70,511)</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46,730,198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1,561,142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(1,143,607)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419,476</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stock option and employee stock purchase plans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470,497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4,076</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15,611</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(112,325)</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(112,325)</w:t>
            </w: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47,200,695</w:t>
            </w:r>
          </w:p>
        </w:tc>
        <w:tc>
          <w:tcPr>
            <w:tcW w:w="1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1,580,829</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1,260</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(1,255,932)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326,204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stock option and employee stock purchase plans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143,932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in underwritten offering, net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8,538,750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216,222</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23,890</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(141,429)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(141,429)</w:t>
            </w: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55,883,377</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1,823,168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3,308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(1,397,361)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429,171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18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(141,429)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(70,511)</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and premium of marketable securities,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or disposal of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income tax benefit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16"/>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(60,909)</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174,947</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(424,561)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(188,965)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(389,881)</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or disposal of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(216,156)</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269,893</w:t>
            </w:r>
          </w:p>
        </w:tc>
      </w:tr>
      <w:tr>
        <w:trPr>
          <w:trHeight w:val="216"/>
        </w:trPr>
        <w:tc>
          <w:tcPr>
            <w:tcW w:w="5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272,372</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43,836</w:t>
            </w:r>
          </w:p>
        </w:tc>
      </w:tr>
      <w:tr>
        <w:trPr>
          <w:trHeight w:val="25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39,143</w:t>
            </w:r>
          </w:p>
        </w:tc>
      </w:tr>
      <w:tr>
        <w:trPr>
          <w:trHeight w:val="197"/>
        </w:trPr>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Overview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Celldex Therapeutics, Inc. (the “Company” or “Celldex”) is a biopharmaceutical company dedicated to developing therapeutic monoclonal and bispecific antibodies that address diseases for which available treatments are inadequate. The Company is primarily focusing its efforts and resources on the continued research and development of barzolvolimab (also referred to as CDX-0159) and CDX-585.</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had cash, cash equivalents and marketable securities of $423.6 million. The Company has had recurring losses and incurred a loss of $141.4 million for the year ended December 31, 2023. Net cash used in operations for the year ended December 31, 2023 was $107.3 million. The Company believes that the cash, cash equivalents and marketable securities at the filing date of this Form 10-K will be sufficient to meet estimated working capital requirements and fund planned operations for at least the next twelve months from the date of issuance of these financial statements.</w:t>
      </w:r>
    </w:p>
    <w:p>
      <w:pPr>
        <w:spacing w:after="0" w:line="183"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with Shareholder Representative Services LLC (“SRS”) (refer to Note 17),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balance sheets and statements of operations and comprehensive loss, stockholders’ equity, and cash flows, are consolidated for the years ended December 31, 2023, 2022 and 2021. These consolidated financial statements reflect the operations of the Company and its wholly-owned subsidiary. All intercompany balances and transactions have been eliminated in consolidation. The Company operates in one segment, which is the business of development, manufacturing and commercialization of novel therapeutics for human health care.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the disclosure of contingent assets and liabilities at the dates of the financial statements and the reported amounts of revenues and expenses during the reporting period. Actual results could differ from those estimates.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Each reporting period, the Company evaluates its investment portfolio to determine if any security is impaired and if an allowance for credit losses should be recorded. As part of this evaluation, the Company considers whether it has the ability and intent to hold the investment until recovery of its amortized cost basis and whether the decline in fair value is due to any credit related factors. If an impairment is the result of a credit loss, the Company recognizes an allowance for credit losses. Realized gains and losses are determined on the specific identification method and are included in investment and other income, net.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of Significant Customers and Suppliers</w:t>
      </w:r>
    </w:p>
    <w:p>
      <w:pPr>
        <w:spacing w:after="0" w:line="20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4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Revenue from Rockefeller University represented 95% and 75% of total Company revenue for the years ended December 31, 2023 and 2022, respectively. Revenue from Rockefeller University and Gilead Sciences represented 88% of total Company revenue for the year ended December 31, 2021.</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relies on contract manufacturing organizations (CMO) to manufacture drug substance and drug product as well as for future commercial supplies. The Company also relies on CMOs for supply of raw materials as well as filling, packaging, storing and shipping our drug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0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83"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76"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Level 3: Unobservable inputs based on the Company’s assessment of the assumptions that market participants would use in pricing the asset or liability.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depreciated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8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of office, manufacturing and laboratory space, which have remaining lease terms of one to two years and may include one or more options to renew or terminate early.</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IPR&amp;D assets acquired in a business combination initially are recorded at fair value and accounted for as indefinite-lived intangible assets. The valuation model used to measure the fair value of the Company’s IPR&amp;D assets was primarily a discounted cash flow approach. The assumptions used in determining the fair value of the Company’s IPR&amp;D assets include (i) probability of success; (ii) probability of partnership; (iii) partnership milestones; and (iv) discount rate. These assets are capitalized on the Company’s</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and Long-Lived Assets</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5"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result from arrangements where the Company has received payment in advance of performance under the contract. These amounts are included as deferred revenue within current portion of long-term liabilities on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Costs</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stock-based compensation expense for all stock-based awards made to employees, consultants and non-employee directors based on the estimated fair values of the stock-based awards expected to vest at the grant date and adjusts, if necessary, to reflect actual forfeitures. Compensation expense for all stock-based awards is recognized using the straight-line method over the term of vesting or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Net unrealized gains and losses resulting from foreign currency translation are included in accumulated other comprehensive income. At December 31, 2023 and 2022, accumulated other comprehensive income includes a net unrealized gain related to foreign currency translation of $2.6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8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2023,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9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7620</wp:posOffset>
            </wp:positionV>
            <wp:extent cx="18599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6280"/>
        <w:spacing w:after="0"/>
        <w:tabs>
          <w:tab w:leader="none" w:pos="7300" w:val="left"/>
          <w:tab w:leader="none" w:pos="8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tbl>
      <w:tblPr>
        <w:tblLayout w:type="fixed"/>
        <w:tblInd w:w="1000" w:type="dxa"/>
        <w:tblCellMar>
          <w:top w:w="0" w:type="dxa"/>
          <w:left w:w="0" w:type="dxa"/>
          <w:bottom w:w="0" w:type="dxa"/>
          <w:right w:w="0" w:type="dxa"/>
        </w:tblCellMar>
      </w:tblP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6,378,924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5,085,662</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4,077,667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Newly-Adopted Accounting Pronouncements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January 1, 2023, the Company adopted ASU 2016-13: Financial Instruments - Credit Losses (Topic 326): Measurement of Credit Losses on Financial Instruments. The guidance requires that credit losses be reported using an expected losses model rather than the incurred losses model and establishes additional disclosure requirements related to credit risks. For available-for-sale debt securities with unrealized losses, the standard requires allowances to be recorded instead of reducing the amortized cost of the investment. The adoption of this guidance did not have a material impact on the Company’s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The Company has reviewed recently issued accounting pronouncements and concluded they are either not applicable to the business or not expected to have a material impact on the Company’s consolidated financial statements as a result of future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which is reported as a component of stockholders’ equity, for the year ended December 31, 2023 are summarized below:</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amounts were reclassified out of accumulated other comprehensive income during the years ended December 31, 2023, 2022 and 2021.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and liabilities subject to fair value measurements: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vMerge w:val="restart"/>
          </w:tcPr>
          <w:p>
            <w:pPr>
              <w:spacing w:after="0"/>
              <w:rPr>
                <w:sz w:val="13"/>
                <w:szCs w:val="13"/>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tcPr>
          <w:p>
            <w:pPr>
              <w:jc w:val="right"/>
              <w:ind w:right="5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80" w:type="dxa"/>
            <w:vAlign w:val="bottom"/>
          </w:tcPr>
          <w:p>
            <w:pPr>
              <w:spacing w:after="0"/>
              <w:rPr>
                <w:sz w:val="18"/>
                <w:szCs w:val="18"/>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180" w:type="dxa"/>
            <w:vAlign w:val="bottom"/>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180" w:type="dxa"/>
            <w:vAlign w:val="bottom"/>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vMerge w:val="restart"/>
          </w:tcPr>
          <w:p>
            <w:pPr>
              <w:spacing w:after="0"/>
              <w:rPr>
                <w:sz w:val="24"/>
                <w:szCs w:val="24"/>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tcPr>
          <w:p>
            <w:pPr>
              <w:jc w:val="right"/>
              <w:ind w:right="5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80" w:type="dxa"/>
            <w:vAlign w:val="bottom"/>
          </w:tcPr>
          <w:p>
            <w:pPr>
              <w:spacing w:after="0"/>
              <w:rPr>
                <w:sz w:val="18"/>
                <w:szCs w:val="18"/>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275,523</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275,523</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292,336</w:t>
            </w:r>
          </w:p>
        </w:tc>
        <w:tc>
          <w:tcPr>
            <w:tcW w:w="180" w:type="dxa"/>
            <w:vAlign w:val="bottom"/>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292,336</w:t>
            </w:r>
          </w:p>
        </w:tc>
        <w:tc>
          <w:tcPr>
            <w:tcW w:w="180" w:type="dxa"/>
            <w:vAlign w:val="bottom"/>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The Company’s financial assets consist mainly of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w:t>
      </w:r>
    </w:p>
    <w:p>
      <w:pPr>
        <w:spacing w:after="0" w:line="1"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At each balance sheet date, observable market inputs may include trade information, broker or dealer quotes, bids, offers or a combination of these data sources.</w:t>
      </w:r>
    </w:p>
    <w:p>
      <w:pPr>
        <w:spacing w:after="0" w:line="1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measured at fair value using Level 3 inputs were $0.0 million as of December 31, 2023 and December 31, 2022.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 are met.</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$6.9 million gain on fair value remeasurement of contingent consideration primarily due to the Company’s decision to deprioritize the CDX-1140 program.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assets or liabilities between the fair value measurement classifications during the years ended December 31, 2023 and 2022.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marketable debt securities, classified as available-for-sale: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4"/>
          </w:tcPr>
          <w:p>
            <w:pPr>
              <w:jc w:val="right"/>
              <w:ind w:right="39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158,468</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158,635</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46,234</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229,602</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230,149</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388,070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96,882</w:t>
            </w: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96,882</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178,641</w:t>
            </w: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178,641</w:t>
            </w:r>
          </w:p>
        </w:tc>
        <w:tc>
          <w:tcPr>
            <w:tcW w:w="0" w:type="dxa"/>
            <w:vAlign w:val="bottom"/>
          </w:tcPr>
          <w:p>
            <w:pPr>
              <w:spacing w:after="0"/>
              <w:rPr>
                <w:sz w:val="1"/>
                <w:szCs w:val="1"/>
                <w:color w:val="auto"/>
              </w:rPr>
            </w:pPr>
          </w:p>
        </w:tc>
      </w:tr>
      <w:tr>
        <w:trPr>
          <w:trHeight w:val="209"/>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276,859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275,523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holds investment grade marketable securities. Unrealized losses are generally attributable to changes in interest rates. The aggregate fair value of marketable securities held by the Company in an unrealized loss position as of December 31, 2023 and December 31, 2022 was $80.4 million and $133.9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December 31, 2023.</w:t>
      </w:r>
    </w:p>
    <w:p>
      <w:pPr>
        <w:spacing w:after="0" w:line="183"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Marketable securities include $1.9 million and $0.8 million in accrued interest at December 31, 2023 and December 31,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includes the following:</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28"/>
        </w:trPr>
        <w:tc>
          <w:tcPr>
            <w:tcW w:w="4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5"/>
          </w:tcPr>
          <w:p>
            <w:pPr>
              <w:jc w:val="right"/>
              <w:ind w:right="5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09"/>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$1.5 million, $1.4 million and $1.6 million for the years ended December 31,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of office, manufacturing and laboratory space, which have remaining lease terms of one to two years and may include one or more options to renew.</w:t>
      </w:r>
    </w:p>
    <w:p>
      <w:pPr>
        <w:spacing w:after="0" w:line="13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right of use assets and lease liabilities of $0.1 million, $2.5 million and $1.0 million related to new leases and lease extensions, respectively.</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Operating lease expense was $1.9 million, $1.9 million and $1.9 million for years ended December 31, 2023, 2022 and 2021, respectively. Variable lease expense was $0.8 million, $0.8 million and $0.7 million for years ended December 31, 2023, 2022 and 2021, respectively. Cash paid for amounts included in the measurement of operating lease liabilities was $2.0 million, $1.9 million and $1.8 million for the years ended December 31, 2023, 2022 and 2021, respectively. As of December 31, 2023, the weighted-average remaining lease term was 2 years and the weighted-average discount rate was 10.0%, compared to a weighted-average remaining lease term of 2 years and weighted average discount rate of 10.0% as of December 31, 2022.</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2023 were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1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0"/>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0"/>
        </w:trPr>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carrying value of the Company’s indefinite-lived intangible assets was $27.2 million. Indefinite-lived intangible assets consist of acquired in-process research and development (“IPR&amp;D”) related to the development of the anti-KIT program (including barzolvolimab). Barzolvolimab is in Phase 2 development. As of December 31, 2023, the IPR&amp;D asset related to the anti-KIT program had not reached technological feasibility nor did the asset have alternative future uses.</w:t>
      </w:r>
    </w:p>
    <w:p>
      <w:pPr>
        <w:spacing w:after="0" w:line="13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performs an impairment test on IPR&amp;D assets at least annually, or more frequently if events or changes in circumstances indicate that IPR&amp;D assets may be impaired. During the third quarter of 2021, the Company evaluated its TAM program IPR&amp;D asset for potential impairment as a result of a lack of interest in the program from third parties. The Company concluded that the TAM program IPR&amp;D asset was fully impaired, and a non-cash impairment charge of $3.5 million was recorded in the third quarter of 2021.</w:t>
      </w:r>
    </w:p>
    <w:p>
      <w:pPr>
        <w:spacing w:after="0" w:line="1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impairment test of the IPR&amp;D asset related to the development of the anti-KIT program (including barzolvolimab) during the fourth quarter of 2023 and concluded that the IPR&amp;D asset was not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5"/>
          </w:tcPr>
          <w:p>
            <w:pPr>
              <w:jc w:val="right"/>
              <w:ind w:right="6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contract costs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Long-Term Liabilities</w:t>
            </w: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7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5"/>
          </w:tcPr>
          <w:p>
            <w:pPr>
              <w:jc w:val="right"/>
              <w:ind w:right="6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related to IPR&amp;D (Note 15)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(Note 13)</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in other income related to the sale of these tax benefits during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November 2023, the Company filed an automatic shelf registration statement with the SEC to register for sale any combination of the types of securities described in the shelf registration statement.</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February 26, 2024, the Company entered into a controlled equity offering sales agreement with Cantor Fitzgerald &amp; Co. (“Cantor”) to allow the Company to issue and sell shares of its common stock having an aggregate offering price of up to $300.0 million from time to time through Cantor, acting as agent. On February 26, 2024, the Company terminated its sales agreement dated May 19, 2016 with Cantor.</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November 2023, the Company issued 8,538,750 shares of its common stock in an underwritten public offering resulting in net proceeds to the Company of $216.2 million, after deducting underwriting fees and offering expenses.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July 2021, the Company issued 6,845,238 shares of its common stock in an underwritten public offering resulting in net proceeds to the Company of $269.9 million, after deducting underwriting fees and offering expenses.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2023 or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has the following stock-based compensation plans: the 2004 Employee Stock Purchase Plan (the “2004 ESPP Plan”), the 2008 Stock Option and Incentive Plan (the “2008 Plan”) and the 2021 Omnibus Equity Incentive Plan (the “2021 Plan”). There are no shares available for future grant under the 2008 Plan. Outstanding options under the 2008 Plan will be rolled into the 2021 Plan if canceled.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2023, a total of 276,666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2023, 2022 and 2021, the Company issued 12,729, 12,243 and 21,867 shares under the 2004 ESPP Plan, respectively. At December 31, 2023, 163,503 shares were available for issuance under the 2004 ESPP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 Plan</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2021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2021 Plan allows for grants of new awards until April 19, 2031. As of December 31, 2023, there were 2,055,002 shares outstanding under the 2008 Plan that will be rolled into the 2021 Plan if canceled.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2021 Plan.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2023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5,085,662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1,612,175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(131,203)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(187,710)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December 31, 2023</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80" w:type="dxa"/>
            <w:vAlign w:val="bottom"/>
            <w:vMerge w:val="restart"/>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6,264,180</w:t>
            </w:r>
          </w:p>
        </w:tc>
        <w:tc>
          <w:tcPr>
            <w:tcW w:w="1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3,261,890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2021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1,013,503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2023, 2022 and 2021 was $2.7 million, $12.8 million and $9.4 million, respectively. The weighted average grant-date fair value of stock options granted during the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ended December 31, 2023, 2022 and 2021 was $28.15, $17.60 and $22.16, respectively. The total fair value of stock options vested during the years ended December 31, 2023, 2022 and 2021 was $20.4 million, $15.6 million and $5.9 million, respectively.</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at December 31, 2023 was $98.6 million. The aggregate intrinsic value of stock options vested and expected to vest at December 31, 2023 was $97.6 million. The aggregate intrinsic value of stock options exercisable at December 31, 2023 was $68.9 million. As of December 31, 2023, total compensation cost related to non-vested employee and non-employee director stock options not yet recognized was approximately $61.9 million, net of estimated forfeitures, which is expected to be recognized as expense over a weighted average period of 2.6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Expenses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for the years ended December 31, 2023, 2022 and 2021 was recorded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3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r>
      <w:tr>
        <w:trPr>
          <w:trHeight w:val="20"/>
        </w:trPr>
        <w:tc>
          <w:tcPr>
            <w:tcW w:w="3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employee and director stock options granted during the years ended December 31, 2023, 2022 and 2021 were valued using the Black-Scholes option pricing model with the following assumptions: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6.0 Years</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6.0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6.0 Years</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3.5 - 4.7%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- 1.4%</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None</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None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and Grants Revenue</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the Rockefeller Agreement and an agreement with Gilead Sciences pursuant to which the Company performs manufacturing and research and development services on a time-and-materials basis or at a negotiated fixed price. The Company recognized $6.6 million, $1.8 million and $4.1 million in revenue under these agreements during the years ended December 31, 2023, 2022 and 2021, respectively.</w:t>
      </w:r>
    </w:p>
    <w:p>
      <w:pPr>
        <w:spacing w:after="0" w:line="180"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2020, the Company was awarded a Small Business Innovation Research (“SBIR”) grant from the National Institutes of Health (NIH) to support the Company’s CDX-1140 and CDX-301 programs. The Company recognized $0.0 million, $0.5 million and $0.4 million in grant revenue under the award during the years ended December 31, 2023,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2023 and 2022, the Company’s right to consideration under all contracts was considered unconditional, and as such, there were no recorded contract assets. At December 31, 2023, the Company had $3.1 million in contract liabilities recorded, which is expected to be recognized during the next 12 months as manufacturing and research and development services are performed. At December 31, 2022, the Company had $0.1 million in contract liabilities recorded. Revenue recognized from contract liabilities as of December 31, 2022 during the year ended December 31, 2023 was $0.1 million.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Collaboration Agreements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has entered into license agreements whereby the Company has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Nonrefundable license fee expense of $0.3 million, $0.1 million and $0.1 million was recorded to research and development expense for the years ended December 31, 2023,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 (Yale)</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a license agreement with Yale, the Company may be required to make a one-time payment to Yale of $3.0 million with respect to barzolvolimab upon achievement of a specified commercial milestone. In addition, the Company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benefit (provision)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9"/>
        </w:trPr>
        <w:tc>
          <w:tcPr>
            <w:tcW w:w="4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r>
      <w:tr>
        <w:trPr>
          <w:trHeight w:val="216"/>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Expiration of NOLs and R&amp;D credit</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w:t>
            </w:r>
          </w:p>
        </w:tc>
      </w:tr>
      <w:tr>
        <w:trPr>
          <w:trHeight w:val="209"/>
        </w:trPr>
        <w:tc>
          <w:tcPr>
            <w:tcW w:w="40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10"/>
        </w:trPr>
        <w:tc>
          <w:tcPr>
            <w:tcW w:w="40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reconciliation between the amount of reported income tax and the amount computed using the U.S. statutory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(141,429)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(112,325)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at statutory rates</w:t>
            </w: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(29,700)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(23,588)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(14,855)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remeasurement of contingent consideration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NOLs and R&amp;D credit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2023 and 2022 are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29"/>
        </w:trPr>
        <w:tc>
          <w:tcPr>
            <w:tcW w:w="4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tcPr>
          <w:p>
            <w:pPr>
              <w:jc w:val="right"/>
              <w:ind w:right="5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197,618</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188,255</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50,688</w:t>
            </w: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research and development expenses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67,494</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9"/>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317,996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IPR&amp;D intangibles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and liabilities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311,156</w:t>
            </w:r>
          </w:p>
        </w:tc>
      </w:tr>
      <w:tr>
        <w:trPr>
          <w:trHeight w:val="209"/>
        </w:trPr>
        <w:tc>
          <w:tcPr>
            <w:tcW w:w="4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(347,386)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(312,769)</w:t>
            </w: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0"/>
        </w:trPr>
        <w:tc>
          <w:tcPr>
            <w:tcW w:w="4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response to COVID-19, the Coronavirus Aid, Relief, and Economic Security Act (the “CARES Act”) was enacted on March 27, 2020. Among other provisions, the CARES Act included (i) the ability to use net operating losses to offset income without the 80% taxable income limitation enacted as part of the Tax Cuts and Jobs Act (“TCJA”) for net operating losses incurred in the 2018, 2019 or 2020 tax years; and (ii) the ability to claim a current deduction for interest expense up to 50% of adjusted taxable income for the 2019 and 2020 tax years (rather than 30% of adjusted taxable income pursuant to the TCJA). We do not expect that any of the provisions of the CARES Act will result in a material impact to the financial statements.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net deferred tax liability of $1.6 million at December 31, 2023 and 2022, relates to the temporary differences associated with the IPR&amp;D intangible assets acquired in previous business combinations and are not deductible for tax purposes. The Company recorded an income tax benefit of $0.2 million during the year ended December 31, 2021 due to a decrease in deferred tax liabilities resulting from the impairment of the TAM program IPR&amp;D asset in the third quarter of 2021.</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carryforwards of $618.4 million and $1.0 billion, respectively, which may be available to offset certain future income tax liabilities and begin to expire in 2024 and 2029, respectively. Of the federal net operating loss carryforwards of $618.4 million, approximately $442.2 million are from 2018 through 2023 and have no expiration date. As of December 31, 2023, the Company also had federal and state research and development tax credit carryforwards of $46.7 million and $12.9 million, respectively, which may be available to offset future income tax liabilities and begin to expire in 2023 and 2022, respectively.</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estimated the amounts of net operating loss and research and development tax credit carryforwards which will expire unutilized as a result of its estimated annual limitations under Section 382 and has excluded those amounts from the carryforward amounts disclosed above and in the deferred tax assets and liabilities table included in this footnote. The Company has concluded Section 382 studies through 2015 for Celldex generated NOLs.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unrecognized tax benefits.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Savings Plan</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$0.5 million, $0.4 million and $0.4 million for the years ended December 31, 2023,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Kolltan Acquisition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8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July 15, 2022, the Company entered into a definitive settlement agreement between the Company and SRS (the “Settlement Agreement”) and the Company and SRS jointly filed a Stipulation of Dismissal with prejudice relating to the Litigation on July 19, 2022.</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Settlement Agreement, all milestone payments provided for by the Merger Agreement were replaced in their entirety with the following payments, each of which is payable only once:</w:t>
      </w:r>
    </w:p>
    <w:p>
      <w:pPr>
        <w:spacing w:after="0" w:line="162" w:lineRule="exact"/>
        <w:rPr>
          <w:sz w:val="20"/>
          <w:szCs w:val="20"/>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$15.0 million upon execution of the Settlement Agreement (the “Initial Payment”).</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$12.5 million upon the Successful Completion (as defined in the Settlement Agreement) of a Phase 2 Clinical Trial (as defined in the Merger Agreement) of barzolvolimab.</w:t>
      </w:r>
    </w:p>
    <w:p>
      <w:pPr>
        <w:spacing w:after="0" w:line="161" w:lineRule="exact"/>
        <w:rPr>
          <w:rFonts w:ascii="Times New Roman" w:cs="Times New Roman" w:eastAsia="Times New Roman" w:hAnsi="Times New Roman"/>
          <w:sz w:val="18"/>
          <w:szCs w:val="18"/>
          <w:color w:val="auto"/>
        </w:rPr>
      </w:pPr>
    </w:p>
    <w:p>
      <w:pPr>
        <w:jc w:val="both"/>
        <w:ind w:left="680" w:right="420" w:hanging="321"/>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$52.5 million upon the first United States Food and Drug Administration or European Medicines Agency, or, in each case, any successor organization, regulatory approval of a Surviving Company Product (as defined the Settlement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above payment obligations replace, in their entirety, the contingent consideration in the form of development, regulatory approval and sales-based milestones of up to $172.5 million contained in the Merger Agreement.</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paid the Initial Payment in cash in July 2022. During the fourth quarter of 2023, the Company announced positive topline results from our Phase 2 clinical trial of barzolvolimab in patients with moderate to severe CSU, which satisfied the requirement of “successful completion” of a Phase 2 Clinical Trial of barzolvolimab such that the Company was obligated to make the applicable milestone payment under the Settlement Agreement with SRS in the amount of $12.5 million. During the fourth quarter of 2023, the Company paid the $12.5 million milestone in cash and recorded a litigation settlement related loss of $12.5 million.</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are measured at fair value (refer to Note 4). When and if the remaining payment described above becomes due, it shall be payable, at the Company’s sole election, in either cash or stock (as set forth in the Merger Agreement)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our management evaluated, with the participation of our Chief Executive Officer and Chief Financial Officer, the effectiveness of our disclosure controls and procedures (as defined in Rules 13a- 15(e)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2023.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defined in Rules 13a-15(f) and 15d-15(f) under the Exchange Act as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680" w:right="80" w:hanging="321"/>
        <w:spacing w:after="0" w:line="282"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61" w:lineRule="exact"/>
        <w:rPr>
          <w:rFonts w:ascii="Times New Roman" w:cs="Times New Roman" w:eastAsia="Times New Roman" w:hAnsi="Times New Roman"/>
          <w:sz w:val="18"/>
          <w:szCs w:val="18"/>
          <w:color w:val="231F20"/>
        </w:rPr>
      </w:pPr>
    </w:p>
    <w:p>
      <w:pPr>
        <w:ind w:left="680" w:right="560" w:hanging="321"/>
        <w:spacing w:after="0" w:line="266"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175" w:lineRule="exact"/>
        <w:rPr>
          <w:rFonts w:ascii="Times New Roman" w:cs="Times New Roman" w:eastAsia="Times New Roman" w:hAnsi="Times New Roman"/>
          <w:sz w:val="18"/>
          <w:szCs w:val="18"/>
          <w:color w:val="231F20"/>
        </w:rPr>
      </w:pPr>
    </w:p>
    <w:p>
      <w:pPr>
        <w:ind w:left="680" w:right="300" w:hanging="321"/>
        <w:spacing w:after="0" w:line="282"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provide reasonable assurance regarding the prevention or timely detection of unauthorized acquisition, use or disposition of assets that could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this evaluation, our management concluded that our internal control over financial reporting was effective as of December 31, 2023.</w:t>
      </w:r>
    </w:p>
    <w:p>
      <w:pPr>
        <w:spacing w:after="0" w:line="183"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2023, has been audited by PricewaterhouseCoopers LLP, an independent registered public accounting firm, as stated in their report which appears in Item 8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31, 2023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26, 2024, we entered into a controlled equity offering sales agreement (the “Sales Agreement”) with Cantor Fitzgerald</w:t>
      </w:r>
    </w:p>
    <w:p>
      <w:pPr>
        <w:spacing w:after="0" w:line="27" w:lineRule="exact"/>
        <w:rPr>
          <w:sz w:val="20"/>
          <w:szCs w:val="20"/>
          <w:color w:val="auto"/>
        </w:rPr>
      </w:pPr>
    </w:p>
    <w:p>
      <w:pPr>
        <w:ind w:right="400" w:firstLine="8"/>
        <w:spacing w:after="0" w:line="260" w:lineRule="auto"/>
        <w:tabs>
          <w:tab w:leader="none" w:pos="1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(“Cantor”), as sales agent, pursuant to which we may offer and sell, from time to time, through Cantor shares of our common stock, par value $0.001 per share.</w:t>
      </w:r>
    </w:p>
    <w:p>
      <w:pPr>
        <w:spacing w:after="0" w:line="18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not obligated to sell any shares under the Sales Agreement. Subject to the terms and conditions of the Sales Agreement, Cantor will use commercially reasonable efforts consistent with its normal trading and sales practices, applicable state and federal law, rules and regulations and the rules of The Nasdaq Capital Market to sell shares from time to time based upon our instructions, including any price, time or size limits specified by us. Under the Sales Agreement, Cantor may sell shares by any method deemed to be an “at the market offering” as defined in Rule 415 under the U.S. Securities Act of 1933, as amended, or any other method permitted by law. Cantor’s obligations to sell shares under the Sales Agreement are subject to satisfaction of certain conditions, including customary closing conditions. We will pay Cantor a commission of up to 3.0% of the aggregate gross proceeds from each sale of shares and have agreed to provide Cantor with customary indemnification and contribution rights. We have also agreed to reimburse Cantor for certain specified expenses.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Sales of shares of common stock under the Sales Agreement will be made pursuant to the registration statement on Form S-3ASR (File No. 333-275300), which became effective upon filing with the U.S. Securities and Exchange Commission (the “SEC”) on November 3, 2023, and a related prospectus supplement to be filed with the SEC on February 26, 2024, for an aggregate offering price of up to $300.0 million.</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foregoing summary of the Sales Agreement does not purport to be complete and is qualified in its entirety by reference to the full text of the Sales Agreement, which is filed herewith as Exhibit 1.1. A copy of the opinion of Lowenstein Sandler LLP relating to the validity of the securities issued in the offering is filed herewith as Exhibit 5.1.</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on Form 10-K shall not constitute an offer to sell or the solicitation of an offer to buy any shares under the Sales Agreement, nor shall there be any sale of such shares in any state in which such offer, solicitation or sale would be unlawful prior to registration or qualification under the securities laws of any such state.</w:t>
      </w:r>
    </w:p>
    <w:p>
      <w:pPr>
        <w:spacing w:after="0" w:line="176"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Also on February 23, 2024, we provided notice of, and Cantor agreed to, termination of the controlled equity offering sales agreement, dated as of May 19, 2016, by and between us and Cantor, as agent, effective immediately.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the definitive Proxy Statement for our 2024 Annual Meeting of Stockholders, or the 2024 Proxy Statement, under “Information Regarding Our Current Directors and Executive Officers,” “Delinquent Section 16(a) Reports,” “Code of Business Conduct and Ethics” and “The Board of Directors and Its Committees” and is incorporated herein by reference. If the 2024 Proxy Statement is not filed with the SEC within 120 days after the end of our most recent fiscal year, we will provide such information by means of an amendment to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2024 Proxy Statement under “Executive Compensation,” and “Compensation Committee Interlocks and Insider Participation,” and is incorporated herein by reference. If the 2024 Proxy Statement is not filed with the SEC within 120 days after the end of our most recent fiscal year, we will provide such information by means of an amendment to this Annual Report on Form 10-K.</w:t>
      </w:r>
    </w:p>
    <w:p>
      <w:pPr>
        <w:spacing w:after="0" w:line="17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2024 Proxy Statement under “Security Ownership of Certain Beneficial Owners and Management” and “Equity Compensation Plan Information” and is incorporated herein by reference. If the 2024 Proxy Statement is not filed with the SEC within 120 days after the end of our most recent fiscal year, we will provide such information by means of an amendment 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2024 Proxy Statement under “Election of Directors” and “Approval of Related Person Transactions and Transactions with Related Persons” and is incorporated herein by reference. If the 2024 Proxy Statement is not filed with the SEC within 120 days after the end of our most recent fiscal year, we will provide such information by means of an amendment 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14 will be included in the 2024 Proxy Statement under “Independent Registered Public Accounting Firm” and is incorporated herein by reference. If the 2024 Proxy Statement is not filed with the SEC within 120 days after the end of our most recent fiscal year, we will provide such information by means of an amendment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following documents are filed as part of this Form 10-K:</w:t>
      </w:r>
    </w:p>
    <w:p>
      <w:pPr>
        <w:spacing w:after="0" w:line="223" w:lineRule="exact"/>
        <w:rPr>
          <w:sz w:val="20"/>
          <w:szCs w:val="20"/>
          <w:color w:val="auto"/>
        </w:rPr>
      </w:pPr>
    </w:p>
    <w:p>
      <w:pPr>
        <w:ind w:left="1000" w:hanging="317"/>
        <w:spacing w:after="0"/>
        <w:tabs>
          <w:tab w:leader="none" w:pos="1000" w:val="left"/>
        </w:tabs>
        <w:numPr>
          <w:ilvl w:val="0"/>
          <w:numId w:val="62"/>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and Supplementary Data are included in Part II Item 8 of this report.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227" w:lineRule="exact"/>
        <w:rPr>
          <w:sz w:val="20"/>
          <w:szCs w:val="20"/>
          <w:color w:val="auto"/>
        </w:rPr>
      </w:pPr>
    </w:p>
    <w:p>
      <w:pPr>
        <w:ind w:right="740" w:firstLine="648"/>
        <w:spacing w:after="0" w:line="312" w:lineRule="auto"/>
        <w:rPr>
          <w:sz w:val="20"/>
          <w:szCs w:val="20"/>
          <w:color w:val="auto"/>
        </w:rPr>
      </w:pPr>
      <w:r>
        <w:rPr>
          <w:rFonts w:ascii="Times New Roman" w:cs="Times New Roman" w:eastAsia="Times New Roman" w:hAnsi="Times New Roman"/>
          <w:sz w:val="17"/>
          <w:szCs w:val="17"/>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80" w:type="dxa"/>
            <w:vAlign w:val="bottom"/>
            <w:gridSpan w:val="1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00" w:type="dxa"/>
            <w:vAlign w:val="bottom"/>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Form and</w:t>
            </w:r>
          </w:p>
        </w:tc>
        <w:tc>
          <w:tcPr>
            <w:tcW w:w="1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20" w:type="dxa"/>
            <w:vAlign w:val="bottom"/>
          </w:tcPr>
          <w:p>
            <w:pPr>
              <w:jc w:val="center"/>
              <w:ind w:left="173"/>
              <w:spacing w:after="0" w:line="118" w:lineRule="exact"/>
              <w:rPr>
                <w:sz w:val="20"/>
                <w:szCs w:val="20"/>
                <w:color w:val="auto"/>
              </w:rPr>
            </w:pPr>
            <w:r>
              <w:rPr>
                <w:rFonts w:ascii="Times New Roman" w:cs="Times New Roman" w:eastAsia="Times New Roman" w:hAnsi="Times New Roman"/>
                <w:sz w:val="13"/>
                <w:szCs w:val="13"/>
                <w:b w:val="1"/>
                <w:bCs w:val="1"/>
                <w:color w:val="auto"/>
              </w:rPr>
              <w:t>SEC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18"/>
            <w:vMerge w:val="continue"/>
          </w:tcPr>
          <w:p>
            <w:pPr>
              <w:spacing w:after="0"/>
              <w:rPr>
                <w:sz w:val="15"/>
                <w:szCs w:val="15"/>
                <w:color w:val="auto"/>
              </w:rPr>
            </w:pPr>
          </w:p>
        </w:tc>
        <w:tc>
          <w:tcPr>
            <w:tcW w:w="17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4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18"/>
        </w:trPr>
        <w:tc>
          <w:tcPr>
            <w:tcW w:w="566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18"/>
                <w:szCs w:val="18"/>
                <w:i w:val="1"/>
                <w:iCs w:val="1"/>
                <w:color w:val="auto"/>
              </w:rPr>
              <w:t>Plan of Acquisition, Reorganization, Arrangement, Liquidation or Succession</w:t>
            </w:r>
          </w:p>
        </w:tc>
        <w:tc>
          <w:tcPr>
            <w:tcW w:w="17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1.1</w:t>
            </w:r>
          </w:p>
        </w:tc>
        <w:tc>
          <w:tcPr>
            <w:tcW w:w="36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Sales Agreement, dated February 26, 2024, by and</w:t>
            </w:r>
          </w:p>
        </w:tc>
        <w:tc>
          <w:tcPr>
            <w:tcW w:w="740" w:type="dxa"/>
            <w:vAlign w:val="bottom"/>
            <w:gridSpan w:val="3"/>
          </w:tcPr>
          <w:p>
            <w:pPr>
              <w:spacing w:after="0"/>
              <w:rPr>
                <w:sz w:val="24"/>
                <w:szCs w:val="24"/>
                <w:color w:val="auto"/>
              </w:rPr>
            </w:pPr>
          </w:p>
        </w:tc>
        <w:tc>
          <w:tcPr>
            <w:tcW w:w="170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Filed herewith</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between Celldex Therapeutics, Inc. and Cantor</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Fitzgerald &amp; Co.</w:t>
            </w:r>
          </w:p>
        </w:tc>
        <w:tc>
          <w:tcPr>
            <w:tcW w:w="1020" w:type="dxa"/>
            <w:vAlign w:val="bottom"/>
            <w:gridSpan w:val="8"/>
          </w:tcPr>
          <w:p>
            <w:pPr>
              <w:spacing w:after="0"/>
              <w:rPr>
                <w:sz w:val="17"/>
                <w:szCs w:val="17"/>
                <w:color w:val="auto"/>
              </w:rPr>
            </w:pP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531"/>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4400" w:type="dxa"/>
            <w:vAlign w:val="bottom"/>
            <w:gridSpan w:val="2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Agreement and Plan of Merger, dated as of</w:t>
              </w:r>
            </w:hyperlink>
          </w:p>
        </w:tc>
        <w:tc>
          <w:tcPr>
            <w:tcW w:w="1700" w:type="dxa"/>
            <w:vAlign w:val="bottom"/>
          </w:tcPr>
          <w:p>
            <w:pPr>
              <w:jc w:val="center"/>
              <w:ind w:right="41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jc w:val="center"/>
              <w:ind w:left="153"/>
              <w:spacing w:after="0" w:line="196" w:lineRule="exact"/>
              <w:rPr>
                <w:sz w:val="20"/>
                <w:szCs w:val="20"/>
                <w:color w:val="auto"/>
              </w:rPr>
            </w:pPr>
            <w:r>
              <w:rPr>
                <w:rFonts w:ascii="Times New Roman" w:cs="Times New Roman" w:eastAsia="Times New Roman" w:hAnsi="Times New Roman"/>
                <w:sz w:val="18"/>
                <w:szCs w:val="18"/>
                <w:color w:val="auto"/>
                <w:w w:val="98"/>
              </w:rPr>
              <w:t>11/1/16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1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November 1, 2016, by and among Kolltan</w:t>
              </w:r>
            </w:hyperlink>
          </w:p>
        </w:tc>
        <w:tc>
          <w:tcPr>
            <w:tcW w:w="1300" w:type="dxa"/>
            <w:vAlign w:val="bottom"/>
            <w:gridSpan w:val="14"/>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400" w:type="dxa"/>
            <w:vAlign w:val="bottom"/>
            <w:gridSpan w:val="2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Pharmaceuticals, Inc., Celldex Therapeutics, Inc.,</w:t>
              </w:r>
            </w:hyperlink>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5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Connemara Merger Sub 1 Inc. and Connemara</w:t>
              </w:r>
            </w:hyperlink>
          </w:p>
        </w:tc>
        <w:tc>
          <w:tcPr>
            <w:tcW w:w="820" w:type="dxa"/>
            <w:vAlign w:val="bottom"/>
            <w:gridSpan w:val="7"/>
          </w:tcPr>
          <w:p>
            <w:pPr>
              <w:spacing w:after="0"/>
              <w:rPr>
                <w:sz w:val="17"/>
                <w:szCs w:val="17"/>
                <w:color w:val="auto"/>
              </w:rPr>
            </w:pP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3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Merger Sub 2 LLC.</w:t>
              </w:r>
            </w:hyperlink>
          </w:p>
        </w:tc>
        <w:tc>
          <w:tcPr>
            <w:tcW w:w="1040" w:type="dxa"/>
            <w:vAlign w:val="bottom"/>
            <w:gridSpan w:val="9"/>
          </w:tcPr>
          <w:p>
            <w:pPr>
              <w:spacing w:after="0"/>
              <w:rPr>
                <w:sz w:val="17"/>
                <w:szCs w:val="17"/>
                <w:color w:val="auto"/>
              </w:rPr>
            </w:pP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60" w:type="dxa"/>
            <w:vAlign w:val="bottom"/>
            <w:gridSpan w:val="22"/>
          </w:tcPr>
          <w:p>
            <w:pPr>
              <w:spacing w:after="0"/>
              <w:rPr>
                <w:sz w:val="20"/>
                <w:szCs w:val="20"/>
                <w:color w:val="auto"/>
              </w:rPr>
            </w:pPr>
            <w:r>
              <w:rPr>
                <w:rFonts w:ascii="Times New Roman" w:cs="Times New Roman" w:eastAsia="Times New Roman" w:hAnsi="Times New Roman"/>
                <w:sz w:val="18"/>
                <w:szCs w:val="18"/>
                <w:i w:val="1"/>
                <w:iCs w:val="1"/>
                <w:color w:val="auto"/>
              </w:rPr>
              <w:t>Articles of Incorporation and By-Laws</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3.1</w:t>
            </w:r>
          </w:p>
        </w:tc>
        <w:tc>
          <w:tcPr>
            <w:tcW w:w="4400" w:type="dxa"/>
            <w:vAlign w:val="bottom"/>
            <w:gridSpan w:val="21"/>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Third Restated Certificate of Incorporation</w:t>
              </w:r>
            </w:hyperlink>
          </w:p>
        </w:tc>
        <w:tc>
          <w:tcPr>
            <w:tcW w:w="170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S-4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7/16/98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(333-59215)</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60" w:type="dxa"/>
            <w:vAlign w:val="bottom"/>
          </w:tcPr>
          <w:p>
            <w:pPr>
              <w:jc w:val="right"/>
              <w:ind w:right="531"/>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4400" w:type="dxa"/>
            <w:vAlign w:val="bottom"/>
            <w:gridSpan w:val="21"/>
          </w:tcPr>
          <w:p>
            <w:pPr>
              <w:spacing w:after="0" w:line="194"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Certificate of Amendment of Third Restated</w:t>
              </w:r>
            </w:hyperlink>
          </w:p>
        </w:tc>
        <w:tc>
          <w:tcPr>
            <w:tcW w:w="1700" w:type="dxa"/>
            <w:vAlign w:val="bottom"/>
          </w:tcPr>
          <w:p>
            <w:pPr>
              <w:jc w:val="center"/>
              <w:ind w:right="432"/>
              <w:spacing w:after="0" w:line="194" w:lineRule="exact"/>
              <w:rPr>
                <w:sz w:val="20"/>
                <w:szCs w:val="20"/>
                <w:color w:val="auto"/>
              </w:rPr>
            </w:pPr>
            <w:r>
              <w:rPr>
                <w:rFonts w:ascii="Times New Roman" w:cs="Times New Roman" w:eastAsia="Times New Roman" w:hAnsi="Times New Roman"/>
                <w:sz w:val="18"/>
                <w:szCs w:val="18"/>
                <w:color w:val="auto"/>
              </w:rPr>
              <w:t>S-4</w:t>
            </w:r>
          </w:p>
        </w:tc>
        <w:tc>
          <w:tcPr>
            <w:tcW w:w="1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jc w:val="center"/>
              <w:ind w:left="173"/>
              <w:spacing w:after="0" w:line="194" w:lineRule="exact"/>
              <w:rPr>
                <w:sz w:val="20"/>
                <w:szCs w:val="20"/>
                <w:color w:val="auto"/>
              </w:rPr>
            </w:pPr>
            <w:r>
              <w:rPr>
                <w:rFonts w:ascii="Times New Roman" w:cs="Times New Roman" w:eastAsia="Times New Roman" w:hAnsi="Times New Roman"/>
                <w:sz w:val="18"/>
                <w:szCs w:val="18"/>
                <w:color w:val="auto"/>
              </w:rPr>
              <w:t>7/16/98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2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Certificate of Incorporation</w:t>
              </w:r>
            </w:hyperlink>
          </w:p>
        </w:tc>
        <w:tc>
          <w:tcPr>
            <w:tcW w:w="1200" w:type="dxa"/>
            <w:vAlign w:val="bottom"/>
            <w:gridSpan w:val="10"/>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(333-59215)</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531"/>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3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Second Certificate of Amendment of Third</w:t>
              </w:r>
            </w:hyperlink>
          </w:p>
        </w:tc>
        <w:tc>
          <w:tcPr>
            <w:tcW w:w="1280" w:type="dxa"/>
            <w:vAlign w:val="bottom"/>
            <w:gridSpan w:val="13"/>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jc w:val="center"/>
              <w:ind w:left="173"/>
              <w:spacing w:after="0" w:line="196" w:lineRule="exact"/>
              <w:rPr>
                <w:sz w:val="20"/>
                <w:szCs w:val="20"/>
                <w:color w:val="auto"/>
              </w:rPr>
            </w:pPr>
            <w:r>
              <w:rPr>
                <w:rFonts w:ascii="Times New Roman" w:cs="Times New Roman" w:eastAsia="Times New Roman" w:hAnsi="Times New Roman"/>
                <w:sz w:val="18"/>
                <w:szCs w:val="18"/>
                <w:color w:val="auto"/>
              </w:rPr>
              <w:t>7/16/98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Restated Certificate of Incorporation</w:t>
              </w:r>
            </w:hyperlink>
          </w:p>
        </w:tc>
        <w:tc>
          <w:tcPr>
            <w:tcW w:w="1740" w:type="dxa"/>
            <w:vAlign w:val="bottom"/>
            <w:gridSpan w:val="16"/>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(333-59215)</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3.4</w:t>
            </w:r>
          </w:p>
        </w:tc>
        <w:tc>
          <w:tcPr>
            <w:tcW w:w="4400" w:type="dxa"/>
            <w:vAlign w:val="bottom"/>
            <w:gridSpan w:val="21"/>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Third Certificate of Amendment of Third Restated</w:t>
              </w:r>
            </w:hyperlink>
          </w:p>
        </w:tc>
        <w:tc>
          <w:tcPr>
            <w:tcW w:w="170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5/10/02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Certificate of Incorporation</w:t>
              </w:r>
            </w:hyperlink>
          </w:p>
        </w:tc>
        <w:tc>
          <w:tcPr>
            <w:tcW w:w="760" w:type="dxa"/>
            <w:vAlign w:val="bottom"/>
            <w:gridSpan w:val="4"/>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3.5</w:t>
            </w:r>
          </w:p>
        </w:tc>
        <w:tc>
          <w:tcPr>
            <w:tcW w:w="4400" w:type="dxa"/>
            <w:vAlign w:val="bottom"/>
            <w:gridSpan w:val="21"/>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Fourth Certificate of Amendment of Third Restated</w:t>
              </w:r>
            </w:hyperlink>
          </w:p>
        </w:tc>
        <w:tc>
          <w:tcPr>
            <w:tcW w:w="17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8"/>
              </w:rPr>
              <w:t>3/11/08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7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Certificate of Incorporation</w:t>
              </w:r>
            </w:hyperlink>
          </w:p>
        </w:tc>
        <w:tc>
          <w:tcPr>
            <w:tcW w:w="680" w:type="dxa"/>
            <w:vAlign w:val="bottom"/>
            <w:gridSpan w:val="2"/>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3.6</w:t>
            </w:r>
          </w:p>
        </w:tc>
        <w:tc>
          <w:tcPr>
            <w:tcW w:w="3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Fifth Certificate of Amendment of Third Restated</w:t>
              </w:r>
            </w:hyperlink>
          </w:p>
        </w:tc>
        <w:tc>
          <w:tcPr>
            <w:tcW w:w="800" w:type="dxa"/>
            <w:vAlign w:val="bottom"/>
            <w:gridSpan w:val="6"/>
          </w:tcPr>
          <w:p>
            <w:pPr>
              <w:spacing w:after="0"/>
              <w:rPr>
                <w:sz w:val="21"/>
                <w:szCs w:val="21"/>
                <w:color w:val="auto"/>
              </w:rPr>
            </w:pPr>
          </w:p>
        </w:tc>
        <w:tc>
          <w:tcPr>
            <w:tcW w:w="17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8"/>
              </w:rPr>
              <w:t>3/11/08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00" w:type="dxa"/>
            <w:vAlign w:val="bottom"/>
            <w:gridSpan w:val="2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Certificate of Incorporation</w:t>
              </w:r>
            </w:hyperlink>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3.7</w:t>
            </w:r>
          </w:p>
        </w:tc>
        <w:tc>
          <w:tcPr>
            <w:tcW w:w="4400" w:type="dxa"/>
            <w:vAlign w:val="bottom"/>
            <w:gridSpan w:val="21"/>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Sixth Certificate of Amendment of Third Restated</w:t>
              </w:r>
            </w:hyperlink>
          </w:p>
        </w:tc>
        <w:tc>
          <w:tcPr>
            <w:tcW w:w="170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11/10/08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Certificate of Incorporation</w:t>
              </w:r>
            </w:hyperlink>
          </w:p>
        </w:tc>
        <w:tc>
          <w:tcPr>
            <w:tcW w:w="780" w:type="dxa"/>
            <w:vAlign w:val="bottom"/>
            <w:gridSpan w:val="5"/>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3.8</w:t>
            </w:r>
          </w:p>
        </w:tc>
        <w:tc>
          <w:tcPr>
            <w:tcW w:w="31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Seventh Certificate of Amendment of Third</w:t>
              </w:r>
            </w:hyperlink>
          </w:p>
        </w:tc>
        <w:tc>
          <w:tcPr>
            <w:tcW w:w="1220" w:type="dxa"/>
            <w:vAlign w:val="bottom"/>
            <w:gridSpan w:val="11"/>
          </w:tcPr>
          <w:p>
            <w:pPr>
              <w:spacing w:after="0"/>
              <w:rPr>
                <w:sz w:val="21"/>
                <w:szCs w:val="21"/>
                <w:color w:val="auto"/>
              </w:rPr>
            </w:pPr>
          </w:p>
        </w:tc>
        <w:tc>
          <w:tcPr>
            <w:tcW w:w="17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2/8/19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Restated Certificate of Incorporation</w:t>
              </w:r>
            </w:hyperlink>
          </w:p>
        </w:tc>
        <w:tc>
          <w:tcPr>
            <w:tcW w:w="1740" w:type="dxa"/>
            <w:vAlign w:val="bottom"/>
            <w:gridSpan w:val="16"/>
          </w:tcPr>
          <w:p>
            <w:pPr>
              <w:spacing w:after="0"/>
              <w:rPr>
                <w:sz w:val="17"/>
                <w:szCs w:val="17"/>
                <w:color w:val="auto"/>
              </w:rPr>
            </w:pPr>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3.9</w:t>
            </w:r>
          </w:p>
        </w:tc>
        <w:tc>
          <w:tcPr>
            <w:tcW w:w="3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Second Amended and Restated By-Laws of</w:t>
              </w:r>
            </w:hyperlink>
          </w:p>
        </w:tc>
        <w:tc>
          <w:tcPr>
            <w:tcW w:w="1240" w:type="dxa"/>
            <w:vAlign w:val="bottom"/>
            <w:gridSpan w:val="12"/>
          </w:tcPr>
          <w:p>
            <w:pPr>
              <w:spacing w:after="0"/>
              <w:rPr>
                <w:sz w:val="20"/>
                <w:szCs w:val="20"/>
                <w:color w:val="auto"/>
              </w:rPr>
            </w:pPr>
          </w:p>
        </w:tc>
        <w:tc>
          <w:tcPr>
            <w:tcW w:w="170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8"/>
              </w:rPr>
              <w:t>11/9/22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00" w:type="dxa"/>
            <w:vAlign w:val="bottom"/>
            <w:gridSpan w:val="2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Celldex Therapeutics, Inc., dated November 3,</w:t>
              </w:r>
            </w:hyperlink>
          </w:p>
        </w:tc>
        <w:tc>
          <w:tcPr>
            <w:tcW w:w="1700" w:type="dxa"/>
            <w:vAlign w:val="bottom"/>
          </w:tcPr>
          <w:p>
            <w:pPr>
              <w:jc w:val="center"/>
              <w:ind w:right="432"/>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2022</w:t>
              </w:r>
            </w:hyperlink>
          </w:p>
        </w:tc>
        <w:tc>
          <w:tcPr>
            <w:tcW w:w="2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0" w:type="dxa"/>
            <w:vAlign w:val="bottom"/>
            <w:gridSpan w:val="19"/>
          </w:tcPr>
          <w:p>
            <w:pPr>
              <w:jc w:val="right"/>
              <w:ind w:right="36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Instruments Defining the Rights of Security Holders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2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Specimen of Common Stock Certificate</w:t>
              </w:r>
            </w:hyperlink>
          </w:p>
        </w:tc>
        <w:tc>
          <w:tcPr>
            <w:tcW w:w="920" w:type="dxa"/>
            <w:vAlign w:val="bottom"/>
            <w:gridSpan w:val="20"/>
          </w:tcPr>
          <w:p>
            <w:pPr>
              <w:spacing w:after="0"/>
              <w:rPr>
                <w:sz w:val="17"/>
                <w:szCs w:val="17"/>
                <w:color w:val="auto"/>
              </w:rPr>
            </w:pPr>
          </w:p>
        </w:tc>
      </w:tr>
      <w:tr>
        <w:trPr>
          <w:trHeight w:val="412"/>
        </w:trPr>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4.2</w:t>
            </w:r>
          </w:p>
        </w:tc>
        <w:tc>
          <w:tcPr>
            <w:tcW w:w="3800" w:type="dxa"/>
            <w:vAlign w:val="bottom"/>
            <w:gridSpan w:val="32"/>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Certificate of Designations, Preferences and Rights</w:t>
              </w:r>
            </w:hyperlink>
          </w:p>
        </w:tc>
      </w:tr>
      <w:tr>
        <w:trPr>
          <w:trHeight w:val="196"/>
        </w:trPr>
        <w:tc>
          <w:tcPr>
            <w:tcW w:w="1300" w:type="dxa"/>
            <w:vAlign w:val="bottom"/>
          </w:tcPr>
          <w:p>
            <w:pPr>
              <w:spacing w:after="0"/>
              <w:rPr>
                <w:sz w:val="17"/>
                <w:szCs w:val="17"/>
                <w:color w:val="auto"/>
              </w:rPr>
            </w:pPr>
          </w:p>
        </w:tc>
        <w:tc>
          <w:tcPr>
            <w:tcW w:w="36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of a Series of Preferred Stock classifying and</w:t>
              </w:r>
            </w:hyperlink>
          </w:p>
        </w:tc>
        <w:tc>
          <w:tcPr>
            <w:tcW w:w="120" w:type="dxa"/>
            <w:vAlign w:val="bottom"/>
            <w:gridSpan w:val="3"/>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designating the Series C-1 Junior Participating</w:t>
              </w:r>
            </w:hyperlink>
          </w:p>
        </w:tc>
      </w:tr>
      <w:tr>
        <w:trPr>
          <w:trHeight w:val="196"/>
        </w:trPr>
        <w:tc>
          <w:tcPr>
            <w:tcW w:w="1300" w:type="dxa"/>
            <w:vAlign w:val="bottom"/>
          </w:tcPr>
          <w:p>
            <w:pPr>
              <w:spacing w:after="0"/>
              <w:rPr>
                <w:sz w:val="17"/>
                <w:szCs w:val="17"/>
                <w:color w:val="auto"/>
              </w:rPr>
            </w:pPr>
          </w:p>
        </w:tc>
        <w:tc>
          <w:tcPr>
            <w:tcW w:w="33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Cumulative Preferred Stock</w:t>
              </w:r>
            </w:hyperlink>
          </w:p>
        </w:tc>
        <w:tc>
          <w:tcPr>
            <w:tcW w:w="460" w:type="dxa"/>
            <w:vAlign w:val="bottom"/>
            <w:gridSpan w:val="16"/>
          </w:tcPr>
          <w:p>
            <w:pPr>
              <w:spacing w:after="0"/>
              <w:rPr>
                <w:sz w:val="17"/>
                <w:szCs w:val="17"/>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Description of Securities</w:t>
              </w:r>
            </w:hyperlink>
          </w:p>
        </w:tc>
        <w:tc>
          <w:tcPr>
            <w:tcW w:w="1800" w:type="dxa"/>
            <w:vAlign w:val="bottom"/>
            <w:gridSpan w:val="24"/>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5.1</w:t>
            </w:r>
          </w:p>
        </w:tc>
        <w:tc>
          <w:tcPr>
            <w:tcW w:w="380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Opinion of Lowenstein Sandler LLP</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5100" w:type="dxa"/>
            <w:vAlign w:val="bottom"/>
            <w:gridSpan w:val="33"/>
          </w:tcPr>
          <w:p>
            <w:pPr>
              <w:spacing w:after="0"/>
              <w:rPr>
                <w:sz w:val="20"/>
                <w:szCs w:val="20"/>
                <w:color w:val="auto"/>
              </w:rPr>
            </w:pPr>
            <w:r>
              <w:rPr>
                <w:rFonts w:ascii="Times New Roman" w:cs="Times New Roman" w:eastAsia="Times New Roman" w:hAnsi="Times New Roman"/>
                <w:sz w:val="18"/>
                <w:szCs w:val="18"/>
                <w:i w:val="1"/>
                <w:iCs w:val="1"/>
                <w:color w:val="auto"/>
              </w:rPr>
              <w:t>Material Contracts-Leases</w:t>
            </w:r>
          </w:p>
        </w:tc>
      </w:tr>
      <w:tr>
        <w:trPr>
          <w:trHeight w:val="283"/>
        </w:trPr>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w:t>
            </w:r>
          </w:p>
        </w:tc>
        <w:tc>
          <w:tcPr>
            <w:tcW w:w="380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Lease Agreement, by and between the Company and</w:t>
              </w:r>
            </w:hyperlink>
          </w:p>
        </w:tc>
      </w:tr>
      <w:tr>
        <w:trPr>
          <w:trHeight w:val="196"/>
        </w:trPr>
        <w:tc>
          <w:tcPr>
            <w:tcW w:w="1300" w:type="dxa"/>
            <w:vAlign w:val="bottom"/>
          </w:tcPr>
          <w:p>
            <w:pPr>
              <w:spacing w:after="0"/>
              <w:rPr>
                <w:sz w:val="17"/>
                <w:szCs w:val="17"/>
                <w:color w:val="auto"/>
              </w:rPr>
            </w:pPr>
          </w:p>
        </w:tc>
        <w:tc>
          <w:tcPr>
            <w:tcW w:w="35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the Massachusetts Development Finance Agency,</w:t>
              </w:r>
            </w:hyperlink>
          </w:p>
        </w:tc>
        <w:tc>
          <w:tcPr>
            <w:tcW w:w="22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dated as of December 22, 2003</w:t>
              </w:r>
            </w:hyperlink>
          </w:p>
        </w:tc>
        <w:tc>
          <w:tcPr>
            <w:tcW w:w="1560" w:type="dxa"/>
            <w:vAlign w:val="bottom"/>
            <w:gridSpan w:val="23"/>
          </w:tcPr>
          <w:p>
            <w:pPr>
              <w:spacing w:after="0"/>
              <w:rPr>
                <w:sz w:val="17"/>
                <w:szCs w:val="17"/>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6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First Amendment to Lease between Massachusetts</w:t>
              </w:r>
            </w:hyperlink>
          </w:p>
        </w:tc>
        <w:tc>
          <w:tcPr>
            <w:tcW w:w="160" w:type="dxa"/>
            <w:vAlign w:val="bottom"/>
            <w:gridSpan w:val="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Development Finance Agency and the Company</w:t>
              </w:r>
            </w:hyperlink>
          </w:p>
        </w:tc>
        <w:tc>
          <w:tcPr>
            <w:tcW w:w="280" w:type="dxa"/>
            <w:vAlign w:val="bottom"/>
            <w:gridSpan w:val="11"/>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dated March 17, 2005</w:t>
              </w:r>
            </w:hyperlink>
          </w:p>
        </w:tc>
        <w:tc>
          <w:tcPr>
            <w:tcW w:w="2220" w:type="dxa"/>
            <w:vAlign w:val="bottom"/>
            <w:gridSpan w:val="29"/>
          </w:tcPr>
          <w:p>
            <w:pPr>
              <w:spacing w:after="0"/>
              <w:rPr>
                <w:sz w:val="17"/>
                <w:szCs w:val="17"/>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Second Amendment to Lease by and between the</w:t>
              </w:r>
            </w:hyperlink>
          </w:p>
        </w:tc>
        <w:tc>
          <w:tcPr>
            <w:tcW w:w="240" w:type="dxa"/>
            <w:vAlign w:val="bottom"/>
            <w:gridSpan w:val="9"/>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Company and the Massachusetts Development</w:t>
              </w:r>
            </w:hyperlink>
          </w:p>
        </w:tc>
        <w:tc>
          <w:tcPr>
            <w:tcW w:w="420" w:type="dxa"/>
            <w:vAlign w:val="bottom"/>
            <w:gridSpan w:val="1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Finance Agency dated as of November 4, 2005</w:t>
              </w:r>
            </w:hyperlink>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Third Amendment to Lease between Massachusetts</w:t>
              </w:r>
            </w:hyperlink>
          </w:p>
        </w:tc>
      </w:tr>
      <w:tr>
        <w:trPr>
          <w:trHeight w:val="196"/>
        </w:trPr>
        <w:tc>
          <w:tcPr>
            <w:tcW w:w="13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Development Finance Agency and the Company</w:t>
              </w:r>
            </w:hyperlink>
          </w:p>
        </w:tc>
        <w:tc>
          <w:tcPr>
            <w:tcW w:w="18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dated December 20, 2006</w:t>
              </w:r>
            </w:hyperlink>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6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Fifth Amendment to Lease between Massachusetts</w:t>
              </w:r>
            </w:hyperlink>
          </w:p>
        </w:tc>
        <w:tc>
          <w:tcPr>
            <w:tcW w:w="1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Development Finance Agency and the Company</w:t>
              </w:r>
            </w:hyperlink>
          </w:p>
        </w:tc>
        <w:tc>
          <w:tcPr>
            <w:tcW w:w="280" w:type="dxa"/>
            <w:vAlign w:val="bottom"/>
            <w:gridSpan w:val="11"/>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dated October 3, 2008</w:t>
              </w:r>
            </w:hyperlink>
          </w:p>
        </w:tc>
        <w:tc>
          <w:tcPr>
            <w:tcW w:w="2200" w:type="dxa"/>
            <w:vAlign w:val="bottom"/>
            <w:gridSpan w:val="28"/>
          </w:tcPr>
          <w:p>
            <w:pPr>
              <w:spacing w:after="0"/>
              <w:rPr>
                <w:sz w:val="17"/>
                <w:szCs w:val="17"/>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Sixth Amendment to Lease between Massachusetts</w:t>
              </w:r>
            </w:hyperlink>
          </w:p>
        </w:tc>
      </w:tr>
      <w:tr>
        <w:trPr>
          <w:trHeight w:val="196"/>
        </w:trPr>
        <w:tc>
          <w:tcPr>
            <w:tcW w:w="13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Development Finance Agency and the Company</w:t>
              </w:r>
            </w:hyperlink>
          </w:p>
        </w:tc>
        <w:tc>
          <w:tcPr>
            <w:tcW w:w="160" w:type="dxa"/>
            <w:vAlign w:val="bottom"/>
            <w:tcBorders>
              <w:top w:val="single" w:sz="8" w:color="0000EE"/>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dated August 20, 2009</w:t>
              </w:r>
            </w:hyperlink>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6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Seventh Amendment to Lease by and between the</w:t>
              </w:r>
            </w:hyperlink>
          </w:p>
        </w:tc>
        <w:tc>
          <w:tcPr>
            <w:tcW w:w="180" w:type="dxa"/>
            <w:vAlign w:val="bottom"/>
            <w:gridSpan w:val="6"/>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Company and the Massachusetts Development</w:t>
              </w:r>
            </w:hyperlink>
          </w:p>
        </w:tc>
      </w:tr>
      <w:tr>
        <w:trPr>
          <w:trHeight w:val="196"/>
        </w:trPr>
        <w:tc>
          <w:tcPr>
            <w:tcW w:w="1300" w:type="dxa"/>
            <w:vAlign w:val="bottom"/>
          </w:tcPr>
          <w:p>
            <w:pPr>
              <w:spacing w:after="0"/>
              <w:rPr>
                <w:sz w:val="17"/>
                <w:szCs w:val="17"/>
                <w:color w:val="auto"/>
              </w:rPr>
            </w:pPr>
          </w:p>
        </w:tc>
        <w:tc>
          <w:tcPr>
            <w:tcW w:w="33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Finance Agency dated as of June 22, 2010</w:t>
              </w:r>
            </w:hyperlink>
          </w:p>
        </w:tc>
        <w:tc>
          <w:tcPr>
            <w:tcW w:w="420" w:type="dxa"/>
            <w:vAlign w:val="bottom"/>
            <w:gridSpan w:val="15"/>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Eighth Amendment to Lease by and between the</w:t>
              </w:r>
            </w:hyperlink>
          </w:p>
        </w:tc>
        <w:tc>
          <w:tcPr>
            <w:tcW w:w="300" w:type="dxa"/>
            <w:vAlign w:val="bottom"/>
            <w:gridSpan w:val="1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Company and University of Massachusetts</w:t>
              </w:r>
            </w:hyperlink>
          </w:p>
        </w:tc>
      </w:tr>
      <w:tr>
        <w:trPr>
          <w:trHeight w:val="196"/>
        </w:trPr>
        <w:tc>
          <w:tcPr>
            <w:tcW w:w="1300" w:type="dxa"/>
            <w:vAlign w:val="bottom"/>
          </w:tcPr>
          <w:p>
            <w:pPr>
              <w:spacing w:after="0"/>
              <w:rPr>
                <w:sz w:val="17"/>
                <w:szCs w:val="17"/>
                <w:color w:val="auto"/>
              </w:rPr>
            </w:pPr>
          </w:p>
        </w:tc>
        <w:tc>
          <w:tcPr>
            <w:tcW w:w="3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Dartmouth dated as of November 1, 2015</w:t>
              </w:r>
            </w:hyperlink>
          </w:p>
        </w:tc>
        <w:tc>
          <w:tcPr>
            <w:tcW w:w="720" w:type="dxa"/>
            <w:vAlign w:val="bottom"/>
            <w:gridSpan w:val="18"/>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Ninth Amendment to Lease by and between the</w:t>
              </w:r>
            </w:hyperlink>
          </w:p>
        </w:tc>
        <w:tc>
          <w:tcPr>
            <w:tcW w:w="360" w:type="dxa"/>
            <w:vAlign w:val="bottom"/>
            <w:gridSpan w:val="1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Company and University of Massachusetts</w:t>
              </w:r>
            </w:hyperlink>
          </w:p>
        </w:tc>
      </w:tr>
      <w:tr>
        <w:trPr>
          <w:trHeight w:val="196"/>
        </w:trPr>
        <w:tc>
          <w:tcPr>
            <w:tcW w:w="1300" w:type="dxa"/>
            <w:vAlign w:val="bottom"/>
          </w:tcPr>
          <w:p>
            <w:pPr>
              <w:spacing w:after="0"/>
              <w:rPr>
                <w:sz w:val="17"/>
                <w:szCs w:val="17"/>
                <w:color w:val="auto"/>
              </w:rPr>
            </w:pPr>
          </w:p>
        </w:tc>
        <w:tc>
          <w:tcPr>
            <w:tcW w:w="3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Dartmouth dated as of October 1, 2019</w:t>
              </w:r>
            </w:hyperlink>
          </w:p>
        </w:tc>
        <w:tc>
          <w:tcPr>
            <w:tcW w:w="720" w:type="dxa"/>
            <w:vAlign w:val="bottom"/>
            <w:gridSpan w:val="18"/>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680" w:type="dxa"/>
            <w:vAlign w:val="bottom"/>
            <w:tcBorders>
              <w:left w:val="single" w:sz="8" w:color="0000EE"/>
            </w:tcBorders>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Tenth Amendment to Lease by and between the</w:t>
              </w:r>
            </w:hyperlink>
          </w:p>
        </w:tc>
      </w:tr>
      <w:tr>
        <w:trPr>
          <w:trHeight w:val="196"/>
        </w:trPr>
        <w:tc>
          <w:tcPr>
            <w:tcW w:w="1300" w:type="dxa"/>
            <w:vAlign w:val="bottom"/>
          </w:tcPr>
          <w:p>
            <w:pPr>
              <w:spacing w:after="0"/>
              <w:rPr>
                <w:sz w:val="17"/>
                <w:szCs w:val="17"/>
                <w:color w:val="auto"/>
              </w:rPr>
            </w:pPr>
          </w:p>
        </w:tc>
        <w:tc>
          <w:tcPr>
            <w:tcW w:w="34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Company and University of Massachusetts</w:t>
              </w:r>
            </w:hyperlink>
          </w:p>
        </w:tc>
        <w:tc>
          <w:tcPr>
            <w:tcW w:w="380" w:type="dxa"/>
            <w:vAlign w:val="bottom"/>
            <w:gridSpan w:val="1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Dartmouth dated as of August 1, 2022</w:t>
              </w:r>
            </w:hyperlink>
          </w:p>
        </w:tc>
        <w:tc>
          <w:tcPr>
            <w:tcW w:w="720" w:type="dxa"/>
            <w:vAlign w:val="bottom"/>
            <w:gridSpan w:val="18"/>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35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Lease Agreement dated as of May 1, 2013 by and</w:t>
              </w:r>
            </w:hyperlink>
          </w:p>
        </w:tc>
        <w:tc>
          <w:tcPr>
            <w:tcW w:w="22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between Crown Perryville, LLC and the Company.</w:t>
              </w:r>
            </w:hyperlink>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362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First Amendment to Lease between Company and</w:t>
              </w:r>
            </w:hyperlink>
          </w:p>
        </w:tc>
        <w:tc>
          <w:tcPr>
            <w:tcW w:w="40" w:type="dxa"/>
            <w:vAlign w:val="bottom"/>
            <w:tcBorders>
              <w:top w:val="single" w:sz="8" w:color="0000EE"/>
            </w:tcBorders>
            <w:gridSpan w:val="2"/>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Crown Perryville, LLC dated as of June 17, 2015</w:t>
              </w:r>
            </w:hyperlink>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00" w:type="dxa"/>
            <w:vAlign w:val="bottom"/>
            <w:gridSpan w:val="20"/>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10.13</w:t>
            </w:r>
          </w:p>
        </w:tc>
        <w:tc>
          <w:tcPr>
            <w:tcW w:w="36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Second Amendment to Lease Agreement between</w:t>
              </w:r>
            </w:hyperlink>
          </w:p>
        </w:tc>
        <w:tc>
          <w:tcPr>
            <w:tcW w:w="200" w:type="dxa"/>
            <w:vAlign w:val="bottom"/>
            <w:gridSpan w:val="7"/>
          </w:tcPr>
          <w:p>
            <w:pPr>
              <w:spacing w:after="0"/>
              <w:rPr>
                <w:sz w:val="21"/>
                <w:szCs w:val="21"/>
                <w:color w:val="auto"/>
              </w:rPr>
            </w:pPr>
          </w:p>
        </w:tc>
      </w:tr>
      <w:tr>
        <w:trPr>
          <w:trHeight w:val="196"/>
        </w:trPr>
        <w:tc>
          <w:tcPr>
            <w:tcW w:w="1300" w:type="dxa"/>
            <w:vAlign w:val="bottom"/>
          </w:tcPr>
          <w:p>
            <w:pPr>
              <w:spacing w:after="0"/>
              <w:rPr>
                <w:sz w:val="17"/>
                <w:szCs w:val="17"/>
                <w:color w:val="auto"/>
              </w:rPr>
            </w:pPr>
          </w:p>
        </w:tc>
        <w:tc>
          <w:tcPr>
            <w:tcW w:w="38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the Company and Crown Perryville, LLC dated as of</w:t>
              </w:r>
            </w:hyperlink>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March 8, 2019</w:t>
              </w:r>
            </w:hyperlink>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00" w:type="dxa"/>
            <w:vAlign w:val="bottom"/>
            <w:gridSpan w:val="20"/>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37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Third Amendment to Lease Agreement between the</w:t>
              </w:r>
            </w:hyperlink>
          </w:p>
        </w:tc>
        <w:tc>
          <w:tcPr>
            <w:tcW w:w="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Company and Perryville SPE LLC (successor-in-</w:t>
              </w:r>
            </w:hyperlink>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20" w:type="dxa"/>
            <w:vAlign w:val="bottom"/>
            <w:gridSpan w:val="21"/>
            <w:shd w:val="clear" w:color="auto" w:fill="0000EE"/>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800" w:type="dxa"/>
            <w:vAlign w:val="bottom"/>
            <w:gridSpan w:val="3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interest) to Crown Perryville, LLC dated as of May</w:t>
              </w:r>
            </w:hyperlink>
          </w:p>
        </w:tc>
      </w:tr>
      <w:tr>
        <w:trPr>
          <w:trHeight w:val="196"/>
        </w:trPr>
        <w:tc>
          <w:tcPr>
            <w:tcW w:w="130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42">
              <w:r>
                <w:rPr>
                  <w:rFonts w:ascii="Times New Roman" w:cs="Times New Roman" w:eastAsia="Times New Roman" w:hAnsi="Times New Roman"/>
                  <w:sz w:val="18"/>
                  <w:szCs w:val="18"/>
                  <w:color w:val="0000EE"/>
                  <w:w w:val="95"/>
                </w:rPr>
                <w:t>23, 2022</w:t>
              </w:r>
            </w:hyperlink>
          </w:p>
        </w:tc>
        <w:tc>
          <w:tcPr>
            <w:tcW w:w="4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8-K</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8-A</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3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10-Q</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10-K/A</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10-K/A</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10-K/A</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10-K/A</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10-Q</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10-K/A</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10-K</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10-Q</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9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10-Q</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10-Q</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10-Q</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3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10-Q</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(000-15006)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2/8/19</w:t>
            </w:r>
          </w:p>
        </w:tc>
      </w:tr>
      <w:tr>
        <w:trPr>
          <w:trHeight w:val="432"/>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11/8/04</w:t>
            </w:r>
          </w:p>
        </w:tc>
      </w:tr>
      <w:tr>
        <w:trPr>
          <w:trHeight w:val="864"/>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2/28/23</w:t>
            </w:r>
          </w:p>
        </w:tc>
      </w:tr>
      <w:tr>
        <w:trPr>
          <w:trHeight w:val="1134"/>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4/30/04</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12/23/10</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10.41</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3/16/06</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12/23/10</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12/23/10</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12/23/10</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8/5/10</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10.12</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2/25/16</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10.13</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3/26/20</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11/9/22</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5/03/13</w:t>
            </w:r>
          </w:p>
        </w:tc>
      </w:tr>
      <w:tr>
        <w:trPr>
          <w:trHeight w:val="432"/>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8/10/15</w:t>
            </w:r>
          </w:p>
        </w:tc>
      </w:tr>
      <w:tr>
        <w:trPr>
          <w:trHeight w:val="486"/>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5/7/19</w:t>
            </w:r>
          </w:p>
        </w:tc>
      </w:tr>
      <w:tr>
        <w:trPr>
          <w:trHeight w:val="64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8/8/22</w:t>
            </w:r>
          </w:p>
        </w:tc>
      </w:tr>
    </w:tbl>
    <w:p>
      <w:pPr>
        <w:spacing w:after="0" w:line="821" w:lineRule="exact"/>
        <w:rPr>
          <w:sz w:val="20"/>
          <w:szCs w:val="20"/>
          <w:color w:val="auto"/>
        </w:rPr>
      </w:pPr>
    </w:p>
    <w:p>
      <w:pPr>
        <w:sectPr>
          <w:pgSz w:w="11900" w:h="16838" w:orient="portrait"/>
          <w:cols w:equalWidth="0" w:num="3">
            <w:col w:w="5100" w:space="560"/>
            <w:col w:w="1480" w:space="720"/>
            <w:col w:w="1980"/>
          </w:cols>
          <w:pgMar w:left="980" w:top="661" w:right="1079" w:bottom="1440" w:gutter="0" w:footer="0" w:header="0"/>
        </w:sect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102" w:name="page103"/>
    <w:bookmarkEnd w:id="102"/>
    <w:p>
      <w:pPr>
        <w:spacing w:after="0" w:line="196" w:lineRule="auto"/>
        <w:framePr w:w="360" w:h="160" w:wrap="auto" w:vAnchor="page" w:hAnchor="page" w:x="6820" w:y="493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515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548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570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61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635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678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700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743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764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808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829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872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894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937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959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1002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1024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1067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1088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1132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115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1186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1207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1256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1277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447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469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360" w:h="160" w:wrap="auto" w:vAnchor="page" w:hAnchor="page" w:x="6820" w:y="349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8-K</w:t>
      </w:r>
    </w:p>
    <w:p>
      <w:pPr>
        <w:spacing w:after="0" w:line="196" w:lineRule="auto"/>
        <w:framePr w:w="980" w:h="160" w:wrap="auto" w:vAnchor="page" w:hAnchor="page" w:x="6520" w:y="370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440" w:h="160" w:wrap="auto" w:vAnchor="page" w:hAnchor="page" w:x="6780" w:y="241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10-Q</w:t>
      </w:r>
    </w:p>
    <w:p>
      <w:pPr>
        <w:spacing w:after="0" w:line="196" w:lineRule="auto"/>
        <w:framePr w:w="980" w:h="160" w:wrap="auto" w:vAnchor="page" w:hAnchor="page" w:x="6520" w:y="262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line="196" w:lineRule="auto"/>
        <w:framePr w:w="440" w:h="160" w:wrap="auto" w:vAnchor="page" w:hAnchor="page" w:x="6780" w:y="154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10-Q</w:t>
      </w:r>
    </w:p>
    <w:p>
      <w:pPr>
        <w:spacing w:after="0" w:line="196" w:lineRule="auto"/>
        <w:framePr w:w="980" w:h="160" w:wrap="auto" w:vAnchor="page" w:hAnchor="page" w:x="6520" w:y="176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(000-15006)</w:t>
      </w: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rFonts w:ascii="Times New Roman" w:cs="Times New Roman" w:eastAsia="Times New Roman" w:hAnsi="Times New Roman"/>
          <w:sz w:val="17"/>
          <w:szCs w:val="17"/>
          <w:color w:val="auto"/>
        </w:rPr>
      </w:pPr>
    </w:p>
    <w:p>
      <w:pPr>
        <w:spacing w:after="0" w:line="349" w:lineRule="exact"/>
        <w:rPr>
          <w:rFonts w:ascii="Times New Roman" w:cs="Times New Roman" w:eastAsia="Times New Roman" w:hAnsi="Times New Roman"/>
          <w:sz w:val="17"/>
          <w:szCs w:val="17"/>
          <w:color w:val="auto"/>
        </w:rPr>
      </w:pPr>
    </w:p>
    <w:p>
      <w:pPr>
        <w:ind w:left="940" w:right="2140" w:hanging="632"/>
        <w:spacing w:after="0" w:line="257"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44">
        <w:r>
          <w:rPr>
            <w:rFonts w:ascii="Times New Roman" w:cs="Times New Roman" w:eastAsia="Times New Roman" w:hAnsi="Times New Roman"/>
            <w:sz w:val="18"/>
            <w:szCs w:val="18"/>
            <w:u w:val="single" w:color="auto"/>
            <w:color w:val="0000EE"/>
          </w:rPr>
          <w:t>Extension of Lease Agreement between the Company</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and University of Massachusetts Dartmouth dated as of</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July 1, 2020</w:t>
        </w:r>
      </w:hyperlink>
    </w:p>
    <w:p>
      <w:pPr>
        <w:spacing w:after="0" w:line="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7"/>
          <w:szCs w:val="17"/>
          <w:i w:val="1"/>
          <w:iCs w:val="1"/>
          <w:color w:val="auto"/>
        </w:rPr>
        <w:t>Material Contracts-License, Collaboration, Supply and Distribution Agreements</w:t>
      </w:r>
    </w:p>
    <w:p>
      <w:pPr>
        <w:spacing w:after="0" w:line="21" w:lineRule="exact"/>
        <w:rPr>
          <w:rFonts w:ascii="Times New Roman" w:cs="Times New Roman" w:eastAsia="Times New Roman" w:hAnsi="Times New Roman"/>
          <w:sz w:val="18"/>
          <w:szCs w:val="18"/>
          <w:u w:val="single" w:color="auto"/>
          <w:color w:val="0000EE"/>
        </w:rPr>
      </w:pPr>
    </w:p>
    <w:p>
      <w:pPr>
        <w:ind w:left="200"/>
        <w:spacing w:after="0"/>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45">
        <w:r>
          <w:rPr>
            <w:rFonts w:ascii="Times New Roman" w:cs="Times New Roman" w:eastAsia="Times New Roman" w:hAnsi="Times New Roman"/>
            <w:sz w:val="17"/>
            <w:szCs w:val="17"/>
            <w:u w:val="single" w:color="auto"/>
            <w:color w:val="0000EE"/>
          </w:rPr>
          <w:t>Amended and Restated License Agreement by and</w:t>
        </w:r>
      </w:hyperlink>
    </w:p>
    <w:p>
      <w:pPr>
        <w:spacing w:after="0" w:line="9" w:lineRule="exact"/>
        <w:rPr>
          <w:rFonts w:ascii="Times New Roman" w:cs="Times New Roman" w:eastAsia="Times New Roman" w:hAnsi="Times New Roman"/>
          <w:sz w:val="18"/>
          <w:szCs w:val="18"/>
          <w:u w:val="single" w:color="auto"/>
          <w:color w:val="0000EE"/>
        </w:rPr>
      </w:pPr>
    </w:p>
    <w:p>
      <w:pPr>
        <w:ind w:left="940" w:right="2220"/>
        <w:spacing w:after="0" w:line="250" w:lineRule="auto"/>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between the Company and Yale University dated as of</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July 26, 2022</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Contracts-Other</w:t>
      </w:r>
    </w:p>
    <w:p>
      <w:pPr>
        <w:spacing w:after="0" w:line="9" w:lineRule="exact"/>
        <w:rPr>
          <w:sz w:val="20"/>
          <w:szCs w:val="20"/>
          <w:color w:val="auto"/>
        </w:rPr>
      </w:pPr>
    </w:p>
    <w:p>
      <w:pPr>
        <w:ind w:left="940" w:right="2120" w:hanging="632"/>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46">
        <w:r>
          <w:rPr>
            <w:rFonts w:ascii="Times New Roman" w:cs="Times New Roman" w:eastAsia="Times New Roman" w:hAnsi="Times New Roman"/>
            <w:sz w:val="18"/>
            <w:szCs w:val="18"/>
            <w:u w:val="single" w:color="auto"/>
            <w:color w:val="0000EE"/>
          </w:rPr>
          <w:t>Confidential Settlement Agreement and Mutual</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Release, dated July 15, 2022, by and between</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Shareholder Representatives Services LLC, solely in its</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capacity as Stockholders Representative, and Celldex</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Therapeutics, Inc.</w:t>
        </w:r>
      </w:hyperlink>
    </w:p>
    <w:p>
      <w:pPr>
        <w:spacing w:after="0" w:line="2" w:lineRule="exact"/>
        <w:rPr>
          <w:rFonts w:ascii="Times New Roman" w:cs="Times New Roman" w:eastAsia="Times New Roman" w:hAnsi="Times New Roman"/>
          <w:sz w:val="18"/>
          <w:szCs w:val="18"/>
          <w:u w:val="single" w:color="auto"/>
          <w:color w:val="0000EE"/>
        </w:rPr>
      </w:pPr>
    </w:p>
    <w:p>
      <w:pPr>
        <w:ind w:left="200" w:right="2020" w:hanging="20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Contracts- Management Contracts and Compensatory Plans </w:t>
      </w:r>
      <w:r>
        <w:rPr>
          <w:rFonts w:ascii="Times New Roman" w:cs="Times New Roman" w:eastAsia="Times New Roman" w:hAnsi="Times New Roman"/>
          <w:sz w:val="18"/>
          <w:szCs w:val="18"/>
          <w:color w:val="auto"/>
        </w:rPr>
        <w:t xml:space="preserve">†10.18 </w:t>
      </w:r>
      <w:hyperlink r:id="rId147">
        <w:r>
          <w:rPr>
            <w:rFonts w:ascii="Times New Roman" w:cs="Times New Roman" w:eastAsia="Times New Roman" w:hAnsi="Times New Roman"/>
            <w:sz w:val="18"/>
            <w:szCs w:val="18"/>
            <w:u w:val="single" w:color="auto"/>
            <w:color w:val="0000EE"/>
          </w:rPr>
          <w:t>Celldex Therapeutics, Inc. 2021 Omnibus Equity</w:t>
        </w:r>
      </w:hyperlink>
    </w:p>
    <w:p>
      <w:pPr>
        <w:spacing w:after="0" w:line="1" w:lineRule="exact"/>
        <w:rPr>
          <w:rFonts w:ascii="Times New Roman" w:cs="Times New Roman" w:eastAsia="Times New Roman" w:hAnsi="Times New Roman"/>
          <w:sz w:val="18"/>
          <w:szCs w:val="18"/>
          <w:u w:val="single" w:color="auto"/>
          <w:color w:val="0000EE"/>
        </w:rPr>
      </w:pPr>
    </w:p>
    <w:p>
      <w:pPr>
        <w:ind w:left="200" w:right="2600" w:firstLine="723"/>
        <w:spacing w:after="0" w:line="266" w:lineRule="auto"/>
        <w:rPr>
          <w:rFonts w:ascii="Times New Roman" w:cs="Times New Roman" w:eastAsia="Times New Roman" w:hAnsi="Times New Roman"/>
          <w:sz w:val="18"/>
          <w:szCs w:val="18"/>
          <w:color w:val="000000"/>
        </w:rPr>
      </w:pPr>
      <w:hyperlink r:id="rId147">
        <w:r>
          <w:rPr>
            <w:rFonts w:ascii="Times New Roman" w:cs="Times New Roman" w:eastAsia="Times New Roman" w:hAnsi="Times New Roman"/>
            <w:sz w:val="18"/>
            <w:szCs w:val="18"/>
            <w:u w:val="single" w:color="auto"/>
            <w:color w:val="0000EE"/>
          </w:rPr>
          <w:t>Incentive Plan (as amended June 15, 2023)</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xml:space="preserve">†10.19 </w:t>
      </w:r>
      <w:hyperlink r:id="rId148">
        <w:r>
          <w:rPr>
            <w:rFonts w:ascii="Times New Roman" w:cs="Times New Roman" w:eastAsia="Times New Roman" w:hAnsi="Times New Roman"/>
            <w:sz w:val="18"/>
            <w:szCs w:val="18"/>
            <w:u w:val="single" w:color="auto"/>
            <w:color w:val="0000EE"/>
          </w:rPr>
          <w:t>Celldex Therapeutics, Inc. 2021 Omnibus Equity</w:t>
        </w:r>
      </w:hyperlink>
    </w:p>
    <w:p>
      <w:pPr>
        <w:ind w:left="940"/>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Incentive Plan</w:t>
        </w:r>
      </w:hyperlink>
    </w:p>
    <w:p>
      <w:pPr>
        <w:spacing w:after="0" w:line="18" w:lineRule="exact"/>
        <w:rPr>
          <w:sz w:val="20"/>
          <w:szCs w:val="20"/>
          <w:color w:val="auto"/>
        </w:rPr>
      </w:pPr>
    </w:p>
    <w:p>
      <w:pPr>
        <w:jc w:val="both"/>
        <w:ind w:left="940" w:right="2120" w:hanging="739"/>
        <w:spacing w:after="0" w:line="257"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49">
        <w:r>
          <w:rPr>
            <w:rFonts w:ascii="Times New Roman" w:cs="Times New Roman" w:eastAsia="Times New Roman" w:hAnsi="Times New Roman"/>
            <w:sz w:val="18"/>
            <w:szCs w:val="18"/>
            <w:u w:val="single" w:color="auto"/>
            <w:color w:val="0000EE"/>
          </w:rPr>
          <w:t>Celldex Therapeutics, Inc. Amended and Restated 2008</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Stock Option and Incentive Plan (as amended, effective</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June 18,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40" w:right="212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50">
        <w:r>
          <w:rPr>
            <w:rFonts w:ascii="Times New Roman" w:cs="Times New Roman" w:eastAsia="Times New Roman" w:hAnsi="Times New Roman"/>
            <w:sz w:val="18"/>
            <w:szCs w:val="18"/>
            <w:u w:val="single" w:color="auto"/>
            <w:color w:val="0000EE"/>
          </w:rPr>
          <w:t>Celldex Therapeutics, Inc. Amended and Restated 2004</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Employee Stock Purchase Plan (effective as of June 19,</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2019)</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51">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Therapeutics, Inc. and Anthony S. Marucci</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52">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Therapeutics, Inc. and Sam Martin</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53">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Therapeutics, Inc. and Tibor Keler, Ph.D.</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54">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Therapeutics, Inc. and Ronald Pepin, Ph.D.</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55">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Therapeutics, Inc. and Sarah Cavanaugh</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56">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Therapeutics, Inc. and Margo Heath-Chiozzi, M.D.</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57">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Therapeutics, Inc. and Elizabeth Crowley</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58">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Therapeutics, Inc. and Richard Wright, Ph.D.</w:t>
        </w:r>
      </w:hyperlink>
    </w:p>
    <w:p>
      <w:pPr>
        <w:spacing w:after="0" w:line="1" w:lineRule="exact"/>
        <w:rPr>
          <w:rFonts w:ascii="Times New Roman" w:cs="Times New Roman" w:eastAsia="Times New Roman" w:hAnsi="Times New Roman"/>
          <w:sz w:val="18"/>
          <w:szCs w:val="18"/>
          <w:u w:val="single" w:color="auto"/>
          <w:color w:val="0000EE"/>
        </w:rPr>
      </w:pPr>
    </w:p>
    <w:p>
      <w:pPr>
        <w:ind w:left="940" w:right="2160" w:hanging="739"/>
        <w:spacing w:after="0" w:line="255"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59">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Therapeutics, Inc. and Diane Young, M.D.</w:t>
        </w:r>
      </w:hyperlink>
    </w:p>
    <w:p>
      <w:pPr>
        <w:spacing w:after="0" w:line="24" w:lineRule="exact"/>
        <w:rPr>
          <w:rFonts w:ascii="Times New Roman" w:cs="Times New Roman" w:eastAsia="Times New Roman" w:hAnsi="Times New Roman"/>
          <w:sz w:val="18"/>
          <w:szCs w:val="18"/>
          <w:u w:val="single" w:color="auto"/>
          <w:color w:val="0000EE"/>
        </w:rPr>
      </w:pPr>
    </w:p>
    <w:p>
      <w:pPr>
        <w:ind w:left="940" w:right="2160" w:hanging="73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60">
        <w:r>
          <w:rPr>
            <w:rFonts w:ascii="Times New Roman" w:cs="Times New Roman" w:eastAsia="Times New Roman" w:hAnsi="Times New Roman"/>
            <w:sz w:val="18"/>
            <w:szCs w:val="18"/>
            <w:u w:val="single" w:color="auto"/>
            <w:color w:val="0000EE"/>
          </w:rPr>
          <w:t>Amended and Restated Employment Agreement, dated</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as of July 1, 2021, by and between Celldex</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Therapeutics, Inc. and Freddy Jimenez</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6"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40" w:type="dxa"/>
        <w:tblCellMar>
          <w:top w:w="0" w:type="dxa"/>
          <w:left w:w="0" w:type="dxa"/>
          <w:bottom w:w="0" w:type="dxa"/>
          <w:right w:w="0" w:type="dxa"/>
        </w:tblCellMar>
      </w:tblPr>
      <w:tr>
        <w:trPr>
          <w:trHeight w:val="23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10.1</w:t>
            </w:r>
          </w:p>
        </w:tc>
        <w:tc>
          <w:tcPr>
            <w:tcW w:w="11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8/6/20</w:t>
            </w:r>
          </w:p>
        </w:tc>
      </w:tr>
      <w:tr>
        <w:trPr>
          <w:trHeight w:val="86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10.1</w:t>
            </w:r>
          </w:p>
        </w:tc>
        <w:tc>
          <w:tcPr>
            <w:tcW w:w="11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11/9/22</w:t>
            </w:r>
          </w:p>
        </w:tc>
      </w:tr>
      <w:tr>
        <w:trPr>
          <w:trHeight w:val="86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10.1</w:t>
            </w:r>
          </w:p>
        </w:tc>
        <w:tc>
          <w:tcPr>
            <w:tcW w:w="1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7/18/22</w:t>
            </w: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62"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34"/>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rPr>
              <w:t>6/15/23</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6/17/21</w:t>
            </w:r>
          </w:p>
        </w:tc>
        <w:tc>
          <w:tcPr>
            <w:tcW w:w="0" w:type="dxa"/>
            <w:vAlign w:val="bottom"/>
          </w:tcPr>
          <w:p>
            <w:pPr>
              <w:spacing w:after="0"/>
              <w:rPr>
                <w:sz w:val="1"/>
                <w:szCs w:val="1"/>
                <w:color w:val="auto"/>
              </w:rPr>
            </w:pPr>
          </w:p>
        </w:tc>
      </w:tr>
      <w:tr>
        <w:trPr>
          <w:trHeight w:val="459"/>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6/18/20</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6/19/19</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10.8</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7/1/21</w:t>
            </w:r>
          </w:p>
        </w:tc>
        <w:tc>
          <w:tcPr>
            <w:tcW w:w="0" w:type="dxa"/>
            <w:vAlign w:val="bottom"/>
          </w:tcPr>
          <w:p>
            <w:pPr>
              <w:spacing w:after="0"/>
              <w:rPr>
                <w:sz w:val="1"/>
                <w:szCs w:val="1"/>
                <w:color w:val="auto"/>
              </w:rPr>
            </w:pPr>
          </w:p>
        </w:tc>
      </w:tr>
      <w:tr>
        <w:trPr>
          <w:trHeight w:val="648"/>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702"/>
        </w:trPr>
        <w:tc>
          <w:tcPr>
            <w:tcW w:w="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10.10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bl>
    <w:p>
      <w:pPr>
        <w:spacing w:after="0" w:line="65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060" w:space="720"/>
            <w:col w:w="2000"/>
          </w:cols>
          <w:pgMar w:left="980" w:top="661" w:right="1139" w:bottom="1440" w:gutter="0" w:footer="0" w:header="0"/>
        </w:sectPr>
      </w:pPr>
    </w:p>
    <w:p>
      <w:pPr>
        <w:spacing w:after="0" w:line="192" w:lineRule="exact"/>
        <w:rPr>
          <w:rFonts w:ascii="Times New Roman" w:cs="Times New Roman" w:eastAsia="Times New Roman" w:hAnsi="Times New Roman"/>
          <w:sz w:val="18"/>
          <w:szCs w:val="18"/>
          <w:u w:val="single" w:color="auto"/>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661" w:right="11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51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36"/>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†10.32</w:t>
            </w:r>
          </w:p>
        </w:tc>
        <w:tc>
          <w:tcPr>
            <w:tcW w:w="4200" w:type="dxa"/>
            <w:vAlign w:val="bottom"/>
            <w:gridSpan w:val="21"/>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Celldex Therapeutics, Inc. 2021 Plan Form of</w:t>
              </w:r>
            </w:hyperlink>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6/17/21</w:t>
            </w:r>
          </w:p>
        </w:tc>
      </w:tr>
      <w:tr>
        <w:trPr>
          <w:trHeight w:val="196"/>
        </w:trPr>
        <w:tc>
          <w:tcPr>
            <w:tcW w:w="94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Restricted Stock Award Agreement</w:t>
              </w:r>
            </w:hyperlink>
          </w:p>
        </w:tc>
        <w:tc>
          <w:tcPr>
            <w:tcW w:w="740" w:type="dxa"/>
            <w:vAlign w:val="bottom"/>
            <w:tcBorders>
              <w:top w:val="single" w:sz="8" w:color="0000EE"/>
            </w:tcBorders>
            <w:gridSpan w:val="7"/>
          </w:tcPr>
          <w:p>
            <w:pPr>
              <w:spacing w:after="0"/>
              <w:rPr>
                <w:sz w:val="17"/>
                <w:szCs w:val="17"/>
                <w:color w:val="auto"/>
              </w:rPr>
            </w:pPr>
          </w:p>
        </w:tc>
        <w:tc>
          <w:tcPr>
            <w:tcW w:w="920" w:type="dxa"/>
            <w:vAlign w:val="bottom"/>
            <w:gridSpan w:val="7"/>
          </w:tcPr>
          <w:p>
            <w:pPr>
              <w:spacing w:after="0"/>
              <w:rPr>
                <w:sz w:val="17"/>
                <w:szCs w:val="17"/>
                <w:color w:val="auto"/>
              </w:rPr>
            </w:pPr>
          </w:p>
        </w:tc>
        <w:tc>
          <w:tcPr>
            <w:tcW w:w="21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4200" w:type="dxa"/>
            <w:vAlign w:val="bottom"/>
            <w:gridSpan w:val="21"/>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Celldex Therapeutics, Inc. 2021 Plan Form of Incentive</w:t>
              </w:r>
            </w:hyperlink>
          </w:p>
        </w:tc>
        <w:tc>
          <w:tcPr>
            <w:tcW w:w="212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6/17/21</w:t>
            </w:r>
          </w:p>
        </w:tc>
      </w:tr>
      <w:tr>
        <w:trPr>
          <w:trHeight w:val="196"/>
        </w:trPr>
        <w:tc>
          <w:tcPr>
            <w:tcW w:w="940" w:type="dxa"/>
            <w:vAlign w:val="bottom"/>
          </w:tcPr>
          <w:p>
            <w:pPr>
              <w:spacing w:after="0"/>
              <w:rPr>
                <w:sz w:val="17"/>
                <w:szCs w:val="17"/>
                <w:color w:val="auto"/>
              </w:rPr>
            </w:pPr>
          </w:p>
        </w:tc>
        <w:tc>
          <w:tcPr>
            <w:tcW w:w="40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Stock Option Grant Agreement</w:t>
              </w:r>
            </w:hyperlink>
          </w:p>
        </w:tc>
        <w:tc>
          <w:tcPr>
            <w:tcW w:w="200" w:type="dxa"/>
            <w:vAlign w:val="bottom"/>
          </w:tcPr>
          <w:p>
            <w:pPr>
              <w:spacing w:after="0"/>
              <w:rPr>
                <w:sz w:val="17"/>
                <w:szCs w:val="17"/>
                <w:color w:val="auto"/>
              </w:rPr>
            </w:pPr>
          </w:p>
        </w:tc>
        <w:tc>
          <w:tcPr>
            <w:tcW w:w="21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4200" w:type="dxa"/>
            <w:vAlign w:val="bottom"/>
            <w:gridSpan w:val="21"/>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Celldex Therapeutics, Inc. 2021 Plan Form of</w:t>
              </w:r>
            </w:hyperlink>
          </w:p>
        </w:tc>
        <w:tc>
          <w:tcPr>
            <w:tcW w:w="212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6/17/21</w:t>
            </w:r>
          </w:p>
        </w:tc>
      </w:tr>
      <w:tr>
        <w:trPr>
          <w:trHeight w:val="196"/>
        </w:trPr>
        <w:tc>
          <w:tcPr>
            <w:tcW w:w="94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Nonqualified Stock Option Grant Agreement</w:t>
              </w:r>
            </w:hyperlink>
          </w:p>
        </w:tc>
        <w:tc>
          <w:tcPr>
            <w:tcW w:w="40" w:type="dxa"/>
            <w:vAlign w:val="bottom"/>
            <w:tcBorders>
              <w:top w:val="single" w:sz="8" w:color="0000EE"/>
            </w:tcBorders>
          </w:tcPr>
          <w:p>
            <w:pPr>
              <w:spacing w:after="0"/>
              <w:rPr>
                <w:sz w:val="17"/>
                <w:szCs w:val="17"/>
                <w:color w:val="auto"/>
              </w:rPr>
            </w:pPr>
          </w:p>
        </w:tc>
        <w:tc>
          <w:tcPr>
            <w:tcW w:w="920" w:type="dxa"/>
            <w:vAlign w:val="bottom"/>
            <w:gridSpan w:val="7"/>
          </w:tcPr>
          <w:p>
            <w:pPr>
              <w:spacing w:after="0"/>
              <w:rPr>
                <w:sz w:val="17"/>
                <w:szCs w:val="17"/>
                <w:color w:val="auto"/>
              </w:rPr>
            </w:pPr>
          </w:p>
        </w:tc>
        <w:tc>
          <w:tcPr>
            <w:tcW w:w="21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4200" w:type="dxa"/>
            <w:vAlign w:val="bottom"/>
            <w:gridSpan w:val="21"/>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Celldex Therapeutics, Inc. 2021 Plan Form of</w:t>
              </w:r>
            </w:hyperlink>
          </w:p>
        </w:tc>
        <w:tc>
          <w:tcPr>
            <w:tcW w:w="212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6/17/21</w:t>
            </w:r>
          </w:p>
        </w:tc>
      </w:tr>
      <w:tr>
        <w:trPr>
          <w:trHeight w:val="196"/>
        </w:trPr>
        <w:tc>
          <w:tcPr>
            <w:tcW w:w="940" w:type="dxa"/>
            <w:vAlign w:val="bottom"/>
          </w:tcPr>
          <w:p>
            <w:pPr>
              <w:spacing w:after="0"/>
              <w:rPr>
                <w:sz w:val="17"/>
                <w:szCs w:val="17"/>
                <w:color w:val="auto"/>
              </w:rPr>
            </w:pPr>
          </w:p>
        </w:tc>
        <w:tc>
          <w:tcPr>
            <w:tcW w:w="32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Restricted Stock Unit Award Agreement</w:t>
              </w:r>
            </w:hyperlink>
          </w:p>
        </w:tc>
        <w:tc>
          <w:tcPr>
            <w:tcW w:w="920" w:type="dxa"/>
            <w:vAlign w:val="bottom"/>
            <w:gridSpan w:val="7"/>
          </w:tcPr>
          <w:p>
            <w:pPr>
              <w:spacing w:after="0"/>
              <w:rPr>
                <w:sz w:val="17"/>
                <w:szCs w:val="17"/>
                <w:color w:val="auto"/>
              </w:rPr>
            </w:pPr>
          </w:p>
        </w:tc>
        <w:tc>
          <w:tcPr>
            <w:tcW w:w="21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(000-15006)</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4200" w:type="dxa"/>
            <w:vAlign w:val="bottom"/>
            <w:gridSpan w:val="21"/>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2008 Plan Form of Stock Option Agreement</w:t>
              </w:r>
            </w:hyperlink>
          </w:p>
        </w:tc>
        <w:tc>
          <w:tcPr>
            <w:tcW w:w="212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8/08/18</w:t>
            </w:r>
          </w:p>
        </w:tc>
      </w:tr>
      <w:tr>
        <w:trPr>
          <w:trHeight w:val="218"/>
        </w:trPr>
        <w:tc>
          <w:tcPr>
            <w:tcW w:w="940" w:type="dxa"/>
            <w:vAlign w:val="bottom"/>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(000-15006)</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4"/>
        </w:trPr>
        <w:tc>
          <w:tcPr>
            <w:tcW w:w="94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†10.37</w:t>
            </w:r>
          </w:p>
        </w:tc>
        <w:tc>
          <w:tcPr>
            <w:tcW w:w="4200" w:type="dxa"/>
            <w:vAlign w:val="bottom"/>
            <w:gridSpan w:val="21"/>
          </w:tcPr>
          <w:p>
            <w:pPr>
              <w:spacing w:after="0" w:line="194"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2008 Plan Form of Restricted Stock Award</w:t>
              </w:r>
            </w:hyperlink>
          </w:p>
        </w:tc>
        <w:tc>
          <w:tcPr>
            <w:tcW w:w="2120" w:type="dxa"/>
            <w:vAlign w:val="bottom"/>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7"/>
              </w:rPr>
              <w:t>10-K</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10.42</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3/12/10</w:t>
            </w:r>
          </w:p>
        </w:tc>
      </w:tr>
      <w:tr>
        <w:trPr>
          <w:trHeight w:val="218"/>
        </w:trPr>
        <w:tc>
          <w:tcPr>
            <w:tcW w:w="940" w:type="dxa"/>
            <w:vAlign w:val="bottom"/>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(000-15006)</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4"/>
        </w:trPr>
        <w:tc>
          <w:tcPr>
            <w:tcW w:w="94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42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Subsidiaries of Celldex Therapeutics, Inc.</w:t>
            </w:r>
          </w:p>
        </w:tc>
        <w:tc>
          <w:tcPr>
            <w:tcW w:w="2120" w:type="dxa"/>
            <w:vAlign w:val="bottom"/>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23.1</w:t>
            </w:r>
          </w:p>
        </w:tc>
        <w:tc>
          <w:tcPr>
            <w:tcW w:w="3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Consent of PricewaterhouseCoopers LLP, an</w:t>
            </w:r>
          </w:p>
        </w:tc>
        <w:tc>
          <w:tcPr>
            <w:tcW w:w="980" w:type="dxa"/>
            <w:vAlign w:val="bottom"/>
            <w:gridSpan w:val="9"/>
          </w:tcPr>
          <w:p>
            <w:pPr>
              <w:spacing w:after="0"/>
              <w:rPr>
                <w:sz w:val="21"/>
                <w:szCs w:val="21"/>
                <w:color w:val="auto"/>
              </w:rPr>
            </w:pP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34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720" w:type="dxa"/>
            <w:vAlign w:val="bottom"/>
            <w:gridSpan w:val="5"/>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23.2</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Consent of Lowenstein Sandler LLP (included in</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35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 5.1)</w:t>
            </w:r>
          </w:p>
        </w:tc>
        <w:tc>
          <w:tcPr>
            <w:tcW w:w="680" w:type="dxa"/>
            <w:vAlign w:val="bottom"/>
            <w:gridSpan w:val="4"/>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31.1</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31.2</w:t>
            </w:r>
          </w:p>
        </w:tc>
        <w:tc>
          <w:tcPr>
            <w:tcW w:w="388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Certification of Senior Vice President and Chief</w:t>
            </w:r>
          </w:p>
        </w:tc>
        <w:tc>
          <w:tcPr>
            <w:tcW w:w="320" w:type="dxa"/>
            <w:vAlign w:val="bottom"/>
            <w:gridSpan w:val="2"/>
          </w:tcPr>
          <w:p>
            <w:pPr>
              <w:spacing w:after="0"/>
              <w:rPr>
                <w:sz w:val="21"/>
                <w:szCs w:val="21"/>
                <w:color w:val="auto"/>
              </w:rPr>
            </w:pP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34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760" w:type="dxa"/>
            <w:vAlign w:val="bottom"/>
            <w:gridSpan w:val="6"/>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gridSpan w:val="1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9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1350 Certifications</w:t>
            </w:r>
          </w:p>
        </w:tc>
        <w:tc>
          <w:tcPr>
            <w:tcW w:w="2240" w:type="dxa"/>
            <w:vAlign w:val="bottom"/>
            <w:gridSpan w:val="16"/>
          </w:tcPr>
          <w:p>
            <w:pPr>
              <w:spacing w:after="0"/>
              <w:rPr>
                <w:sz w:val="17"/>
                <w:szCs w:val="17"/>
                <w:color w:val="auto"/>
              </w:rPr>
            </w:pPr>
          </w:p>
        </w:tc>
        <w:tc>
          <w:tcPr>
            <w:tcW w:w="212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Celldex Therapeutics, Inc. Compensation Recovery</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37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Policy</w:t>
            </w:r>
          </w:p>
        </w:tc>
        <w:tc>
          <w:tcPr>
            <w:tcW w:w="500" w:type="dxa"/>
            <w:vAlign w:val="bottom"/>
            <w:gridSpan w:val="3"/>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760" w:type="dxa"/>
            <w:vAlign w:val="bottom"/>
            <w:gridSpan w:val="1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8"/>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101.INS</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101.SCH</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2"/>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101.CAL</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940" w:type="dxa"/>
            <w:vAlign w:val="bottom"/>
          </w:tcPr>
          <w:p>
            <w:pPr>
              <w:spacing w:after="0"/>
              <w:rPr>
                <w:sz w:val="18"/>
                <w:szCs w:val="18"/>
                <w:color w:val="auto"/>
              </w:rPr>
            </w:pP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101.DEF</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101.LAB</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101.PRE</w:t>
            </w: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4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940" w:right="5060" w:hanging="508"/>
        <w:spacing w:after="0" w:line="260" w:lineRule="auto"/>
        <w:tabs>
          <w:tab w:leader="none" w:pos="9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4" w:lineRule="exact"/>
        <w:rPr>
          <w:rFonts w:ascii="Times New Roman" w:cs="Times New Roman" w:eastAsia="Times New Roman" w:hAnsi="Times New Roman"/>
          <w:sz w:val="18"/>
          <w:szCs w:val="18"/>
          <w:color w:val="auto"/>
        </w:rPr>
      </w:pPr>
    </w:p>
    <w:p>
      <w:pPr>
        <w:ind w:left="340" w:right="4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portions of this exhibit were redacted. Celldex Therapeutics, Inc. agrees to furnish supplementally to the U.S. Securities and Exchange Commission a copy of any omitted schedule and/or exhibit upon request. The confidential portions of this exhibit were omitted by means of marking such portions with asterisks because the identified confidential portions (i) are not material, (ii) would be competitively harmful if publicly disclosed and (iii) contain information that Celldex Therapeutics, Inc, customarily and actually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-762635</wp:posOffset>
            </wp:positionV>
            <wp:extent cx="15684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 contract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820"/>
          </w:cols>
          <w:pgMar w:left="980" w:top="64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48" w:right="10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S. MARUCCI</w:t>
            </w:r>
          </w:p>
        </w:tc>
      </w:tr>
      <w:tr>
        <w:trPr>
          <w:trHeight w:val="178"/>
        </w:trPr>
        <w:tc>
          <w:tcPr>
            <w:tcW w:w="534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Date</w:t>
            </w:r>
          </w:p>
        </w:tc>
        <w:tc>
          <w:tcPr>
            <w:tcW w:w="45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Anthony S. Marucci</w:t>
            </w: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60" w:type="dxa"/>
            <w:vAlign w:val="bottom"/>
          </w:tcPr>
          <w:p>
            <w:pPr>
              <w:spacing w:after="0"/>
              <w:rPr>
                <w:sz w:val="15"/>
                <w:szCs w:val="15"/>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S. MARUCCI</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S. Marucci</w:t>
            </w:r>
          </w:p>
        </w:tc>
        <w:tc>
          <w:tcPr>
            <w:tcW w:w="260" w:type="dxa"/>
            <w:vAlign w:val="bottom"/>
          </w:tcPr>
          <w:p>
            <w:pPr>
              <w:spacing w:after="0"/>
              <w:rPr>
                <w:sz w:val="19"/>
                <w:szCs w:val="19"/>
                <w:color w:val="auto"/>
              </w:rPr>
            </w:pPr>
          </w:p>
        </w:tc>
        <w:tc>
          <w:tcPr>
            <w:tcW w:w="5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SAM MARTIN</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178"/>
        </w:trPr>
        <w:tc>
          <w:tcPr>
            <w:tcW w:w="25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Sam Martin</w:t>
            </w:r>
          </w:p>
        </w:tc>
        <w:tc>
          <w:tcPr>
            <w:tcW w:w="260" w:type="dxa"/>
            <w:vAlign w:val="bottom"/>
          </w:tcPr>
          <w:p>
            <w:pPr>
              <w:spacing w:after="0"/>
              <w:rPr>
                <w:sz w:val="15"/>
                <w:szCs w:val="15"/>
                <w:color w:val="auto"/>
              </w:rPr>
            </w:pPr>
          </w:p>
        </w:tc>
        <w:tc>
          <w:tcPr>
            <w:tcW w:w="5600" w:type="dxa"/>
            <w:vAlign w:val="bottom"/>
            <w:gridSpan w:val="2"/>
          </w:tcPr>
          <w:p>
            <w:pPr>
              <w:jc w:val="center"/>
              <w:ind w:right="320"/>
              <w:spacing w:after="0" w:line="177" w:lineRule="exact"/>
              <w:rPr>
                <w:sz w:val="20"/>
                <w:szCs w:val="20"/>
                <w:color w:val="auto"/>
              </w:rPr>
            </w:pPr>
            <w:r>
              <w:rPr>
                <w:rFonts w:ascii="Times New Roman" w:cs="Times New Roman" w:eastAsia="Times New Roman" w:hAnsi="Times New Roman"/>
                <w:sz w:val="18"/>
                <w:szCs w:val="18"/>
                <w:color w:val="auto"/>
              </w:rPr>
              <w:t>Chief Financial Officer and Treasurer</w:t>
            </w:r>
          </w:p>
        </w:tc>
        <w:tc>
          <w:tcPr>
            <w:tcW w:w="1480" w:type="dxa"/>
            <w:vAlign w:val="bottom"/>
          </w:tcPr>
          <w:p>
            <w:pPr>
              <w:spacing w:after="0"/>
              <w:rPr>
                <w:sz w:val="15"/>
                <w:szCs w:val="15"/>
                <w:color w:val="auto"/>
              </w:rPr>
            </w:pPr>
          </w:p>
        </w:tc>
      </w:tr>
      <w:tr>
        <w:trPr>
          <w:trHeight w:val="234"/>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80" w:type="dxa"/>
            <w:vAlign w:val="bottom"/>
          </w:tcPr>
          <w:p>
            <w:pPr>
              <w:spacing w:after="0"/>
              <w:rPr>
                <w:sz w:val="20"/>
                <w:szCs w:val="20"/>
                <w:color w:val="auto"/>
              </w:rPr>
            </w:pPr>
          </w:p>
        </w:tc>
      </w:tr>
      <w:tr>
        <w:trPr>
          <w:trHeight w:val="43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L. SHOOS</w:t>
            </w:r>
          </w:p>
        </w:tc>
        <w:tc>
          <w:tcPr>
            <w:tcW w:w="260" w:type="dxa"/>
            <w:vAlign w:val="bottom"/>
          </w:tcPr>
          <w:p>
            <w:pPr>
              <w:spacing w:after="0"/>
              <w:rPr>
                <w:sz w:val="24"/>
                <w:szCs w:val="24"/>
                <w:color w:val="auto"/>
              </w:rPr>
            </w:pPr>
          </w:p>
        </w:tc>
        <w:tc>
          <w:tcPr>
            <w:tcW w:w="5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 Chair of the Board of Directors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L. Shoos</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L. BROWNLIE</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Keith L. Brownlie</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CHERYL L. COHEN</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Cheryl L. Cohen</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HERBERT J. CONRAD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Herbert J. Conrad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RITA I. JAIN, M.D,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Rita I. Jain, M.D.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J. MARINO</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J. Marino</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GARRY A. NEIL, M.D.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Garry A. Neil, M.D.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HARRY H. PENNER, JR.</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Harry H. Penner, Jr.</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ind w:left="8588"/>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1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CELLDEX THERAPEUTICS, INC.</w:t>
      </w:r>
    </w:p>
    <w:p>
      <w:pPr>
        <w:spacing w:after="0" w:line="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Shares of Common Stock</w:t>
      </w:r>
    </w:p>
    <w:p>
      <w:pPr>
        <w:jc w:val="center"/>
        <w:ind w:right="312"/>
        <w:spacing w:after="0"/>
        <w:rPr>
          <w:sz w:val="20"/>
          <w:szCs w:val="20"/>
          <w:color w:val="auto"/>
        </w:rPr>
      </w:pPr>
      <w:r>
        <w:rPr>
          <w:rFonts w:ascii="Times New Roman" w:cs="Times New Roman" w:eastAsia="Times New Roman" w:hAnsi="Times New Roman"/>
          <w:sz w:val="22"/>
          <w:szCs w:val="22"/>
          <w:color w:val="auto"/>
        </w:rPr>
        <w:t>(par value $0.001 per share)</w:t>
      </w:r>
    </w:p>
    <w:p>
      <w:pPr>
        <w:spacing w:after="0" w:line="1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Controlled Equity Offering</w:t>
      </w:r>
      <w:r>
        <w:rPr>
          <w:rFonts w:ascii="Times New Roman" w:cs="Times New Roman" w:eastAsia="Times New Roman" w:hAnsi="Times New Roman"/>
          <w:sz w:val="16"/>
          <w:szCs w:val="16"/>
          <w:b w:val="1"/>
          <w:bCs w:val="1"/>
          <w:color w:val="auto"/>
        </w:rPr>
        <w:t>SM</w:t>
      </w:r>
    </w:p>
    <w:p>
      <w:pPr>
        <w:spacing w:after="0" w:line="20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26, 2024</w:t>
      </w:r>
    </w:p>
    <w:p>
      <w:pPr>
        <w:spacing w:after="0" w:line="20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2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110 East 59</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Street</w:t>
      </w:r>
    </w:p>
    <w:p>
      <w:pPr>
        <w:spacing w:after="0" w:line="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9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ind w:left="328" w:firstLine="648"/>
        <w:spacing w:after="0" w:line="262" w:lineRule="auto"/>
        <w:rPr>
          <w:sz w:val="20"/>
          <w:szCs w:val="20"/>
          <w:color w:val="auto"/>
        </w:rPr>
      </w:pPr>
      <w:r>
        <w:rPr>
          <w:rFonts w:ascii="Times New Roman" w:cs="Times New Roman" w:eastAsia="Times New Roman" w:hAnsi="Times New Roman"/>
          <w:sz w:val="22"/>
          <w:szCs w:val="22"/>
          <w:color w:val="auto"/>
        </w:rPr>
        <w:t>Celldex Therapeutics,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with Cantor Fitzgerald &amp; Co. (the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as follows:</w:t>
      </w:r>
    </w:p>
    <w:p>
      <w:pPr>
        <w:spacing w:after="0" w:line="154" w:lineRule="exact"/>
        <w:rPr>
          <w:sz w:val="20"/>
          <w:szCs w:val="20"/>
          <w:color w:val="auto"/>
        </w:rPr>
      </w:pPr>
    </w:p>
    <w:p>
      <w:pPr>
        <w:jc w:val="both"/>
        <w:ind w:left="328" w:hanging="328"/>
        <w:spacing w:after="0" w:line="232" w:lineRule="auto"/>
        <w:tabs>
          <w:tab w:leader="none" w:pos="3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 the term of this Agreement, on the terms and subject to the conditions set forth herein, it may issue and sell to or through the Agent, as sales agent or principal, shares of common stock (the “</w:t>
      </w:r>
      <w:r>
        <w:rPr>
          <w:rFonts w:ascii="Times New Roman" w:cs="Times New Roman" w:eastAsia="Times New Roman" w:hAnsi="Times New Roman"/>
          <w:sz w:val="22"/>
          <w:szCs w:val="22"/>
          <w:b w:val="1"/>
          <w:bCs w:val="1"/>
          <w:u w:val="single" w:color="auto"/>
          <w:color w:val="auto"/>
        </w:rPr>
        <w:t>Placement Shares</w:t>
      </w:r>
      <w:r>
        <w:rPr>
          <w:rFonts w:ascii="Times New Roman" w:cs="Times New Roman" w:eastAsia="Times New Roman" w:hAnsi="Times New Roman"/>
          <w:sz w:val="22"/>
          <w:szCs w:val="22"/>
          <w:color w:val="auto"/>
        </w:rPr>
        <w:t>”) of the Company, par value $0.001 per share (the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the Company issue or sell through the Agent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Times New Roman" w:cs="Times New Roman" w:eastAsia="Times New Roman" w:hAnsi="Times New Roman"/>
          <w:sz w:val="22"/>
          <w:szCs w:val="22"/>
          <w:b w:val="1"/>
          <w:bCs w:val="1"/>
          <w:u w:val="single" w:color="auto"/>
          <w:color w:val="auto"/>
        </w:rPr>
        <w:t>Maximum Amount</w:t>
      </w:r>
      <w:r>
        <w:rPr>
          <w:rFonts w:ascii="Times New Roman" w:cs="Times New Roman" w:eastAsia="Times New Roman" w:hAnsi="Times New Roman"/>
          <w:sz w:val="22"/>
          <w:szCs w:val="22"/>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amount of Placement Shares issued and sold under this Agreement shall be the sole responsibility of the Company and that the Agent shall have no obligation in connection with such compliance;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Agent follows, in all material respects, the trading instructions provided pursuant to any Placement Notice (as defined below). The offer and sale of Placement Shares through the Agent will be effected pursuant to the Registration Statement (as defined below) filed by the Company which automatic shelf registration statement became effective upon filing with the Securities and Exchange Commission (the “</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on November 3, 2023, although nothing in this Agreement shall be construed as requiring the Company to use the Registration Statement to issue Common Stock.</w:t>
      </w:r>
    </w:p>
    <w:p>
      <w:pPr>
        <w:spacing w:after="0" w:line="180" w:lineRule="exact"/>
        <w:rPr>
          <w:sz w:val="20"/>
          <w:szCs w:val="20"/>
          <w:color w:val="auto"/>
        </w:rPr>
      </w:pPr>
    </w:p>
    <w:p>
      <w:pPr>
        <w:jc w:val="both"/>
        <w:ind w:left="328" w:firstLine="648"/>
        <w:spacing w:after="0" w:line="239" w:lineRule="auto"/>
        <w:rPr>
          <w:sz w:val="20"/>
          <w:szCs w:val="20"/>
          <w:color w:val="auto"/>
        </w:rPr>
      </w:pPr>
      <w:r>
        <w:rPr>
          <w:rFonts w:ascii="Times New Roman" w:cs="Times New Roman" w:eastAsia="Times New Roman" w:hAnsi="Times New Roman"/>
          <w:sz w:val="22"/>
          <w:szCs w:val="22"/>
          <w:color w:val="auto"/>
        </w:rPr>
        <w:t>The Company has filed, in accordance with the provisions of the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and the rules and regulations thereunder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Regulations</w:t>
      </w:r>
      <w:r>
        <w:rPr>
          <w:rFonts w:ascii="Times New Roman" w:cs="Times New Roman" w:eastAsia="Times New Roman" w:hAnsi="Times New Roman"/>
          <w:sz w:val="22"/>
          <w:szCs w:val="22"/>
          <w:color w:val="auto"/>
        </w:rPr>
        <w:t>”), with the Commission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automatic shelf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on Form S-3 (File No. 333-275300), including a base prospectus, relating to certain securities, including the</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8"/>
          </w:cols>
          <w:pgMar w:left="1312" w:top="108" w:right="999" w:bottom="1440" w:gutter="0" w:footer="0" w:header="0"/>
        </w:sectPr>
      </w:pPr>
    </w:p>
    <w:bookmarkStart w:id="106" w:name="page107"/>
    <w:bookmarkEnd w:id="106"/>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22"/>
          <w:szCs w:val="22"/>
          <w:b w:val="1"/>
          <w:bCs w:val="1"/>
          <w:u w:val="single" w:color="auto"/>
          <w:color w:val="auto"/>
        </w:rPr>
        <w:t>Prospectus Supplement</w:t>
      </w:r>
      <w:r>
        <w:rPr>
          <w:rFonts w:ascii="Times New Roman" w:cs="Times New Roman" w:eastAsia="Times New Roman" w:hAnsi="Times New Roman"/>
          <w:sz w:val="22"/>
          <w:szCs w:val="22"/>
          <w:color w:val="auto"/>
        </w:rPr>
        <w:t>”). The Company will furnish to the Agent, for use by the Agent, copies of the prospectus included as part of such registration statement, 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22"/>
          <w:szCs w:val="22"/>
          <w:b w:val="1"/>
          <w:bCs w:val="1"/>
          <w:u w:val="single" w:color="auto"/>
          <w:color w:val="auto"/>
        </w:rPr>
        <w:t>Prospectus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1"/>
          <w:szCs w:val="21"/>
          <w:color w:val="auto"/>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21"/>
          <w:szCs w:val="21"/>
          <w:b w:val="1"/>
          <w:bCs w:val="1"/>
          <w:u w:val="single" w:color="auto"/>
          <w:color w:val="auto"/>
        </w:rPr>
        <w:t>Incorporated Documents</w:t>
      </w:r>
      <w:r>
        <w:rPr>
          <w:rFonts w:ascii="Times New Roman" w:cs="Times New Roman" w:eastAsia="Times New Roman" w:hAnsi="Times New Roman"/>
          <w:sz w:val="21"/>
          <w:szCs w:val="21"/>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21"/>
          <w:szCs w:val="21"/>
          <w:b w:val="1"/>
          <w:bCs w:val="1"/>
          <w:u w:val="single" w:color="auto"/>
          <w:color w:val="auto"/>
        </w:rPr>
        <w:t>EDGAR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660" w:hanging="652"/>
        <w:spacing w:after="0" w:line="235"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Placements</w:t>
      </w:r>
      <w:r>
        <w:rPr>
          <w:rFonts w:ascii="Times New Roman" w:cs="Times New Roman" w:eastAsia="Times New Roman" w:hAnsi="Times New Roman"/>
          <w:sz w:val="22"/>
          <w:szCs w:val="22"/>
          <w:color w:val="auto"/>
        </w:rPr>
        <w:t>. Each time that the Company wishes to issue and sell Placement Shares hereunder (each, a “</w:t>
      </w:r>
      <w:r>
        <w:rPr>
          <w:rFonts w:ascii="Times New Roman" w:cs="Times New Roman" w:eastAsia="Times New Roman" w:hAnsi="Times New Roman"/>
          <w:sz w:val="22"/>
          <w:szCs w:val="22"/>
          <w:b w:val="1"/>
          <w:bCs w:val="1"/>
          <w:u w:val="single" w:color="auto"/>
          <w:color w:val="auto"/>
        </w:rPr>
        <w:t>Placement</w:t>
      </w:r>
      <w:r>
        <w:rPr>
          <w:rFonts w:ascii="Times New Roman" w:cs="Times New Roman" w:eastAsia="Times New Roman" w:hAnsi="Times New Roman"/>
          <w:sz w:val="22"/>
          <w:szCs w:val="22"/>
          <w:color w:val="auto"/>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22"/>
          <w:szCs w:val="22"/>
          <w:b w:val="1"/>
          <w:bCs w:val="1"/>
          <w:u w:val="single" w:color="auto"/>
          <w:color w:val="auto"/>
        </w:rPr>
        <w:t>Placement Notice</w:t>
      </w:r>
      <w:r>
        <w:rPr>
          <w:rFonts w:ascii="Times New Roman" w:cs="Times New Roman" w:eastAsia="Times New Roman" w:hAnsi="Times New Roman"/>
          <w:sz w:val="22"/>
          <w:szCs w:val="22"/>
          <w:color w:val="auto"/>
        </w:rPr>
        <w:t xml:space="preserve">”), the form of which is 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The Placement Notice shall originate from any of the individuals from the Company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(with a copy to each of the other individuals from the Company listed on such schedule), and shall be addressed to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7" w:name="page108"/>
    <w:bookmarkEnd w:id="107"/>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the individuals from the Agent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as such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may be amended from time to time. The Placement Notice shall be effective unless and until (i) the Agent declines to accept the terms contained therein for any reason, in its sole discretion, (ii) the entire amount of the Placement Shares thereunder have been sold, (iii) the Company suspends or terminates the Placement Notice or (iv) this Agreement has been terminated under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83" w:lineRule="exact"/>
        <w:rPr>
          <w:sz w:val="20"/>
          <w:szCs w:val="20"/>
          <w:color w:val="auto"/>
        </w:rPr>
      </w:pPr>
    </w:p>
    <w:p>
      <w:pPr>
        <w:jc w:val="both"/>
        <w:ind w:left="660" w:hanging="652"/>
        <w:spacing w:after="0" w:line="233" w:lineRule="auto"/>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 by the Agent</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the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22"/>
          <w:szCs w:val="22"/>
          <w:b w:val="1"/>
          <w:bCs w:val="1"/>
          <w:u w:val="single" w:color="auto"/>
          <w:color w:val="auto"/>
        </w:rPr>
        <w:t>Exchange</w:t>
      </w:r>
      <w:r>
        <w:rPr>
          <w:rFonts w:ascii="Times New Roman" w:cs="Times New Roman" w:eastAsia="Times New Roman" w:hAnsi="Times New Roman"/>
          <w:sz w:val="22"/>
          <w:szCs w:val="22"/>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from the gross proceeds that it receives from such sales. Subject to the terms of the Placement Notice, the Agent may sell Placement Shares by any method permitted by law deemed to be an “at the market offering” as defined in Rule 415(a)(4) of the Securities Act Regulations. “</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any day on which Common Stock is traded on the Exchange.</w:t>
      </w:r>
    </w:p>
    <w:p>
      <w:pPr>
        <w:spacing w:after="0" w:line="179"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of Sales</w:t>
      </w:r>
      <w:r>
        <w:rPr>
          <w:rFonts w:ascii="Times New Roman" w:cs="Times New Roman" w:eastAsia="Times New Roman" w:hAnsi="Times New Roman"/>
          <w:sz w:val="21"/>
          <w:szCs w:val="21"/>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suspend any sale of Placement Shares (a “</w:t>
      </w:r>
      <w:r>
        <w:rPr>
          <w:rFonts w:ascii="Times New Roman" w:cs="Times New Roman" w:eastAsia="Times New Roman" w:hAnsi="Times New Roman"/>
          <w:sz w:val="21"/>
          <w:szCs w:val="21"/>
          <w:b w:val="1"/>
          <w:bCs w:val="1"/>
          <w:u w:val="single" w:color="auto"/>
          <w:color w:val="auto"/>
        </w:rPr>
        <w:t>Suspension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21"/>
          <w:szCs w:val="21"/>
          <w:u w:val="single" w:color="auto"/>
          <w:color w:val="auto"/>
        </w:rPr>
        <w:t>Sections 7(l)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7(m)</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7(n)</w:t>
      </w:r>
      <w:r>
        <w:rPr>
          <w:rFonts w:ascii="Times New Roman" w:cs="Times New Roman" w:eastAsia="Times New Roman" w:hAnsi="Times New Roman"/>
          <w:sz w:val="21"/>
          <w:szCs w:val="21"/>
          <w:color w:val="auto"/>
        </w:rPr>
        <w:t xml:space="preserve"> with respect to the delivery of certificates, opinions, or comfort letters to the Agent, shall be waived. Each of the parties agrees that no such notice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effective against any other party unless it is made to one of the individuals named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hereto, as such Schedule may be amended from time to time.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(iii) the Agent shall not be obligated to sell or offer to sell any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8" w:name="page109"/>
    <w:bookmarkEnd w:id="108"/>
    <w:p>
      <w:pPr>
        <w:ind w:left="660" w:hanging="652"/>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and Delivery to the Agent; Settlement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left="660" w:hanging="652"/>
        <w:spacing w:after="0" w:line="233"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79"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specified in the applicable Placement Notice, settlement for sales of Placement Shares will occur on the second (2nd) Trading Day (and on and after May 28, 2024 (or such later date on which the Commission’s final rule with respect to the shortening of the securities transaction settlement cycle becomes effective), on the first (1st) Trading Day, or any such other settlement cycle as may be in effect pursuant to Rule 15c6-1 under the Exchange Act from time to time)) following the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22"/>
          <w:szCs w:val="22"/>
          <w:b w:val="1"/>
          <w:bCs w:val="1"/>
          <w:u w:val="single" w:color="auto"/>
          <w:color w:val="auto"/>
        </w:rPr>
        <w:t>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Proceeds</w:t>
      </w:r>
      <w:r>
        <w:rPr>
          <w:rFonts w:ascii="Times New Roman" w:cs="Times New Roman" w:eastAsia="Times New Roman" w:hAnsi="Times New Roman"/>
          <w:sz w:val="22"/>
          <w:szCs w:val="22"/>
          <w:color w:val="auto"/>
        </w:rPr>
        <w:t>”) will be equal to the aggregate sales price received by the Agent, after deduction for (i)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and (ii) any transaction fees imposed by any Governmental Authority (as defined below) in respect of such sales.</w:t>
      </w:r>
    </w:p>
    <w:p>
      <w:pPr>
        <w:spacing w:after="0" w:line="18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Placement Shares</w:t>
      </w:r>
      <w:r>
        <w:rPr>
          <w:rFonts w:ascii="Times New Roman" w:cs="Times New Roman" w:eastAsia="Times New Roman" w:hAnsi="Times New Roman"/>
          <w:sz w:val="21"/>
          <w:szCs w:val="21"/>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 Company agrees that in addition to and in no way limiting the rights and obligations set forth in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xml:space="preserve"> hereto, it will (i) hold the Agent harmless against any loss, claim, damage, or expense (including reasonable and documented legal fees and expenses), as incurred, arising out of or in connection with such default by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9" w:name="page110"/>
    <w:bookmarkEnd w:id="109"/>
    <w:p>
      <w:pPr>
        <w:ind w:left="652"/>
        <w:spacing w:after="0" w:line="259" w:lineRule="auto"/>
        <w:rPr>
          <w:sz w:val="20"/>
          <w:szCs w:val="20"/>
          <w:color w:val="auto"/>
        </w:rPr>
      </w:pPr>
      <w:r>
        <w:rPr>
          <w:rFonts w:ascii="Times New Roman" w:cs="Times New Roman" w:eastAsia="Times New Roman" w:hAnsi="Times New Roman"/>
          <w:sz w:val="22"/>
          <w:szCs w:val="22"/>
          <w:color w:val="auto"/>
        </w:rPr>
        <w:t>transfer agent (if applicable) and (ii) pay to the Agent any commission, discount, or other compensation to which it would otherwise have been entitled absent such default.</w:t>
      </w:r>
    </w:p>
    <w:p>
      <w:pPr>
        <w:spacing w:after="0" w:line="153" w:lineRule="exact"/>
        <w:rPr>
          <w:sz w:val="20"/>
          <w:szCs w:val="20"/>
          <w:color w:val="auto"/>
        </w:rPr>
      </w:pPr>
    </w:p>
    <w:p>
      <w:pPr>
        <w:jc w:val="both"/>
        <w:ind w:left="652" w:hanging="652"/>
        <w:spacing w:after="0" w:line="252" w:lineRule="auto"/>
        <w:tabs>
          <w:tab w:leader="none" w:pos="65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Denominations; Registration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Certificates for the Placement Shares, if any, shall be in such denominations and registered in such names as the Agent may request in writing at least one full Business Day (as defined below) before the applicable Settlement Date. The certificates for the Placement Shares, if any, will be made available by the Company for examination and packaging by the Agent in The City of New York not later than noon (New York time) on the Business Day prior to the applicable Settlement Date.</w:t>
      </w:r>
    </w:p>
    <w:p>
      <w:pPr>
        <w:spacing w:after="0" w:line="163" w:lineRule="exact"/>
        <w:rPr>
          <w:rFonts w:ascii="Times New Roman" w:cs="Times New Roman" w:eastAsia="Times New Roman" w:hAnsi="Times New Roman"/>
          <w:sz w:val="21"/>
          <w:szCs w:val="21"/>
          <w:color w:val="auto"/>
        </w:rPr>
      </w:pPr>
    </w:p>
    <w:p>
      <w:pPr>
        <w:jc w:val="both"/>
        <w:ind w:left="652" w:hanging="652"/>
        <w:spacing w:after="0" w:line="239" w:lineRule="auto"/>
        <w:tabs>
          <w:tab w:leader="none" w:pos="65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Offering Size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w:t>
      </w:r>
    </w:p>
    <w:p>
      <w:pPr>
        <w:spacing w:after="0" w:line="1" w:lineRule="exact"/>
        <w:rPr>
          <w:rFonts w:ascii="Times New Roman" w:cs="Times New Roman" w:eastAsia="Times New Roman" w:hAnsi="Times New Roman"/>
          <w:sz w:val="22"/>
          <w:szCs w:val="22"/>
          <w:color w:val="auto"/>
        </w:rPr>
      </w:pPr>
    </w:p>
    <w:p>
      <w:pPr>
        <w:jc w:val="both"/>
        <w:ind w:left="652"/>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 Further, under no circumstances shall the Company cause or permit the aggregate offering amount of Placement Shares sold pursuant to this Agreement to exceed the Maximum Amount.</w:t>
      </w:r>
    </w:p>
    <w:p>
      <w:pPr>
        <w:spacing w:after="0" w:line="178" w:lineRule="exact"/>
        <w:rPr>
          <w:sz w:val="20"/>
          <w:szCs w:val="20"/>
          <w:color w:val="auto"/>
        </w:rPr>
      </w:pPr>
    </w:p>
    <w:p>
      <w:pPr>
        <w:jc w:val="both"/>
        <w:ind w:left="652" w:hanging="652"/>
        <w:spacing w:after="0" w:line="244" w:lineRule="auto"/>
        <w:tabs>
          <w:tab w:leader="none" w:pos="65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 the Agent that as of the date of this Agreement and as of each Applicable Time (as defined below), unless such representation, warranty or agreement speaks as of a different time:</w:t>
      </w:r>
    </w:p>
    <w:p>
      <w:pPr>
        <w:spacing w:after="0" w:line="173" w:lineRule="exact"/>
        <w:rPr>
          <w:sz w:val="20"/>
          <w:szCs w:val="20"/>
          <w:color w:val="auto"/>
        </w:rPr>
      </w:pPr>
    </w:p>
    <w:p>
      <w:pPr>
        <w:jc w:val="both"/>
        <w:ind w:left="652" w:hanging="652"/>
        <w:spacing w:after="0" w:line="232" w:lineRule="auto"/>
        <w:tabs>
          <w:tab w:leader="none" w:pos="65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and Prospectus</w:t>
      </w:r>
      <w:r>
        <w:rPr>
          <w:rFonts w:ascii="Times New Roman" w:cs="Times New Roman" w:eastAsia="Times New Roman" w:hAnsi="Times New Roman"/>
          <w:sz w:val="22"/>
          <w:szCs w:val="22"/>
          <w:color w:val="auto"/>
        </w:rPr>
        <w:t>. The Company and the transactions contemplated by this Agreement meet the requirements for and comply with the applicable conditions set forth in Form S-3 (including General Instructions I.A and I.B) under the Securities Act. The Registration Statement has been filed with the Commission and became effective upon filing with the Commission on November 3, 2023 under the Securities Act. The Registration Statement is an “automatic shelf registration statement” (as defined in Rule 405) and the Placement Shares have been and remain eligible for registration by the Company on such automatic shelf registration statement.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10" w:name="page111"/>
    <w:bookmarkEnd w:id="110"/>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material in connection with the offering or sale of the Placement Shares other than the Registration Statement and the Prospectus and any Issuer Free Writing Prospectus to which the Agent has consented (any such consent shall not be unreasonably withheld, conditioned or delayed). The Common Stock is registered pursuant to Section 12(b) of the Exchange Act and is currently listed on the Exchange under the trading symbol “CLDX.”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84" w:lineRule="exact"/>
        <w:rPr>
          <w:sz w:val="20"/>
          <w:szCs w:val="20"/>
          <w:color w:val="auto"/>
        </w:rPr>
      </w:pPr>
    </w:p>
    <w:p>
      <w:pPr>
        <w:jc w:val="both"/>
        <w:ind w:left="660" w:hanging="652"/>
        <w:spacing w:after="0" w:line="233" w:lineRule="auto"/>
        <w:tabs>
          <w:tab w:leader="none" w:pos="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w:t>
      </w:r>
      <w:r>
        <w:rPr>
          <w:rFonts w:ascii="Times New Roman" w:cs="Times New Roman" w:eastAsia="Times New Roman" w:hAnsi="Times New Roman"/>
          <w:sz w:val="22"/>
          <w:szCs w:val="22"/>
          <w:color w:val="auto"/>
        </w:rPr>
        <w: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“Agent Information” as defined below.</w:t>
      </w:r>
    </w:p>
    <w:p>
      <w:pPr>
        <w:spacing w:after="0" w:line="177" w:lineRule="exact"/>
        <w:rPr>
          <w:rFonts w:ascii="Times New Roman" w:cs="Times New Roman" w:eastAsia="Times New Roman" w:hAnsi="Times New Roman"/>
          <w:sz w:val="22"/>
          <w:szCs w:val="22"/>
          <w:color w:val="auto"/>
        </w:rPr>
      </w:pPr>
    </w:p>
    <w:p>
      <w:pPr>
        <w:jc w:val="both"/>
        <w:ind w:left="660" w:hanging="652"/>
        <w:spacing w:after="0" w:line="235" w:lineRule="auto"/>
        <w:tabs>
          <w:tab w:leader="none" w:pos="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the Securities Act and Exchange Act</w:t>
      </w:r>
      <w:r>
        <w:rPr>
          <w:rFonts w:ascii="Times New Roman" w:cs="Times New Roman" w:eastAsia="Times New Roman" w:hAnsi="Times New Roman"/>
          <w:sz w:val="22"/>
          <w:szCs w:val="22"/>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 At each Settlement Date, the Registration Statement and the Prospectus, as of such date, will conform in all material respects with the requirements of the Securities Act.</w:t>
      </w:r>
    </w:p>
    <w:p>
      <w:pPr>
        <w:spacing w:after="0" w:line="178" w:lineRule="exact"/>
        <w:rPr>
          <w:rFonts w:ascii="Times New Roman" w:cs="Times New Roman" w:eastAsia="Times New Roman" w:hAnsi="Times New Roman"/>
          <w:sz w:val="22"/>
          <w:szCs w:val="22"/>
          <w:color w:val="auto"/>
        </w:rPr>
      </w:pPr>
    </w:p>
    <w:p>
      <w:pPr>
        <w:jc w:val="both"/>
        <w:ind w:left="660" w:hanging="652"/>
        <w:spacing w:after="0" w:line="234" w:lineRule="auto"/>
        <w:tabs>
          <w:tab w:leader="none" w:pos="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to normal year-end audit adjustments for interim financial statements) and have been prepared in compliance with the requirements of the Securities Act and Exchange Act and in conformity with U.S. Generally Accepted Accounting Principles (“</w:t>
      </w:r>
      <w:r>
        <w:rPr>
          <w:rFonts w:ascii="Times New Roman" w:cs="Times New Roman" w:eastAsia="Times New Roman" w:hAnsi="Times New Roman"/>
          <w:sz w:val="22"/>
          <w:szCs w:val="22"/>
          <w:b w:val="1"/>
          <w:bCs w:val="1"/>
          <w:u w:val="single" w:color="auto"/>
          <w:color w:val="auto"/>
        </w:rPr>
        <w:t>GAAP</w:t>
      </w:r>
      <w:r>
        <w:rPr>
          <w:rFonts w:ascii="Times New Roman" w:cs="Times New Roman" w:eastAsia="Times New Roman" w:hAnsi="Times New Roman"/>
          <w:sz w:val="22"/>
          <w:szCs w:val="22"/>
          <w:color w:val="auto"/>
        </w:rPr>
        <w:t>”) applied on a consistent basis during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1" w:name="page112"/>
    <w:bookmarkEnd w:id="111"/>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involved; the other financial and statistical data with respect to the Company and the Subsidiaries (as defined below)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92" w:lineRule="exact"/>
        <w:rPr>
          <w:sz w:val="20"/>
          <w:szCs w:val="20"/>
          <w:color w:val="auto"/>
        </w:rPr>
      </w:pPr>
    </w:p>
    <w:p>
      <w:pPr>
        <w:jc w:val="both"/>
        <w:ind w:left="660" w:hanging="652"/>
        <w:spacing w:after="0" w:line="239" w:lineRule="auto"/>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EDGAR Filing</w:t>
      </w:r>
      <w:r>
        <w:rPr>
          <w:rFonts w:ascii="Times New Roman" w:cs="Times New Roman" w:eastAsia="Times New Roman" w:hAnsi="Times New Roman"/>
          <w:sz w:val="22"/>
          <w:szCs w:val="22"/>
          <w:color w:val="auto"/>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660" w:hanging="652"/>
        <w:spacing w:after="0" w:line="235" w:lineRule="auto"/>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The subsidiaries set forth on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u w:val="single" w:color="auto"/>
          <w:color w:val="auto"/>
        </w:rPr>
        <w:t>Subsidiaries</w:t>
      </w:r>
      <w:r>
        <w:rPr>
          <w:rFonts w:ascii="Times New Roman" w:cs="Times New Roman" w:eastAsia="Times New Roman" w:hAnsi="Times New Roman"/>
          <w:sz w:val="22"/>
          <w:szCs w:val="22"/>
          <w:color w:val="auto"/>
        </w:rPr>
        <w:t>”), are the Company’s only significant subsidiaries (as such term is defined in Rule 1-02 of Regulation S-X promulgated by the Commission).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2" w:name="page113"/>
    <w:bookmarkEnd w:id="112"/>
    <w:p>
      <w:pPr>
        <w:ind w:left="660"/>
        <w:spacing w:after="0" w:line="258" w:lineRule="auto"/>
        <w:rPr>
          <w:sz w:val="20"/>
          <w:szCs w:val="20"/>
          <w:color w:val="auto"/>
        </w:rPr>
      </w:pPr>
      <w:r>
        <w:rPr>
          <w:rFonts w:ascii="Times New Roman" w:cs="Times New Roman" w:eastAsia="Times New Roman" w:hAnsi="Times New Roman"/>
          <w:sz w:val="22"/>
          <w:szCs w:val="22"/>
          <w:color w:val="auto"/>
        </w:rPr>
        <w:t>advances to such Subsidiary from the Company or from transferring any of such Subsidiary’s property or assets to the Company or any other Subsidiary of the Company.</w:t>
      </w:r>
    </w:p>
    <w:p>
      <w:pPr>
        <w:spacing w:after="0" w:line="159" w:lineRule="exact"/>
        <w:rPr>
          <w:sz w:val="20"/>
          <w:szCs w:val="20"/>
          <w:color w:val="auto"/>
        </w:rPr>
      </w:pPr>
    </w:p>
    <w:p>
      <w:pPr>
        <w:jc w:val="both"/>
        <w:ind w:left="660" w:hanging="652"/>
        <w:spacing w:after="0" w:line="233" w:lineRule="auto"/>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or Default</w:t>
      </w:r>
      <w:r>
        <w:rPr>
          <w:rFonts w:ascii="Times New Roman" w:cs="Times New Roman" w:eastAsia="Times New Roman" w:hAnsi="Times New Roman"/>
          <w:sz w:val="22"/>
          <w:szCs w:val="22"/>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reasonably be expected to have a Material Adverse Effect.</w:t>
      </w:r>
    </w:p>
    <w:p>
      <w:pPr>
        <w:spacing w:after="0" w:line="184"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Subsequent to the respective dates as of which information is given in the Registration Statement, the Prospectus and the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4"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stock option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in all material respects to the description thereof set forth in the Registration Statement and the Prospectus (including any document deemed incorporated by reference therein).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3" w:name="page114"/>
    <w:bookmarkEnd w:id="113"/>
    <w:p>
      <w:pPr>
        <w:ind w:left="660"/>
        <w:spacing w:after="0" w:line="258" w:lineRule="auto"/>
        <w:rPr>
          <w:sz w:val="20"/>
          <w:szCs w:val="20"/>
          <w:color w:val="auto"/>
        </w:rPr>
      </w:pPr>
      <w:r>
        <w:rPr>
          <w:rFonts w:ascii="Times New Roman" w:cs="Times New Roman" w:eastAsia="Times New Roman" w:hAnsi="Times New Roman"/>
          <w:sz w:val="22"/>
          <w:szCs w:val="22"/>
          <w:color w:val="auto"/>
        </w:rPr>
        <w:t>exchangeable for, or any contracts or commitments to issue or sell, any shares of capital stock or other securities.</w:t>
      </w:r>
    </w:p>
    <w:p>
      <w:pPr>
        <w:spacing w:after="0" w:line="159" w:lineRule="exact"/>
        <w:rPr>
          <w:sz w:val="20"/>
          <w:szCs w:val="20"/>
          <w:color w:val="auto"/>
        </w:rPr>
      </w:pPr>
    </w:p>
    <w:p>
      <w:pPr>
        <w:jc w:val="both"/>
        <w:ind w:left="660" w:hanging="652"/>
        <w:spacing w:after="0" w:line="235" w:lineRule="auto"/>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rights to indemnification or contribution hereunder may be limited by federal or state securities laws and public policy considerations in respect thereof and except to the extent that enforceability may be limited by bankruptcy, insolvency, reorganization, moratorium or similar laws affecting creditors’ rights generally and by general equitable principles.</w:t>
      </w:r>
    </w:p>
    <w:p>
      <w:pPr>
        <w:spacing w:after="0" w:line="178" w:lineRule="exact"/>
        <w:rPr>
          <w:rFonts w:ascii="Times New Roman" w:cs="Times New Roman" w:eastAsia="Times New Roman" w:hAnsi="Times New Roman"/>
          <w:sz w:val="22"/>
          <w:szCs w:val="22"/>
          <w:color w:val="auto"/>
        </w:rPr>
      </w:pPr>
    </w:p>
    <w:p>
      <w:pPr>
        <w:jc w:val="both"/>
        <w:ind w:left="660" w:hanging="652"/>
        <w:spacing w:after="0" w:line="234" w:lineRule="auto"/>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Placement Shares</w:t>
      </w:r>
      <w:r>
        <w:rPr>
          <w:rFonts w:ascii="Times New Roman" w:cs="Times New Roman" w:eastAsia="Times New Roman" w:hAnsi="Times New Roman"/>
          <w:sz w:val="22"/>
          <w:szCs w:val="22"/>
          <w:color w:val="auto"/>
        </w:rPr>
        <w:t>. The Placement Shares, when issued and delivered pursuant to the terms contained in the Placement Notice which has been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the Agent or the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79" w:lineRule="exact"/>
        <w:rPr>
          <w:rFonts w:ascii="Times New Roman" w:cs="Times New Roman" w:eastAsia="Times New Roman" w:hAnsi="Times New Roman"/>
          <w:sz w:val="22"/>
          <w:szCs w:val="22"/>
          <w:color w:val="auto"/>
        </w:rPr>
      </w:pPr>
    </w:p>
    <w:p>
      <w:pPr>
        <w:jc w:val="both"/>
        <w:ind w:left="660" w:hanging="652"/>
        <w:spacing w:after="0" w:line="249" w:lineRule="auto"/>
        <w:tabs>
          <w:tab w:leader="none" w:pos="6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Consents Required</w:t>
      </w:r>
      <w:r>
        <w:rPr>
          <w:rFonts w:ascii="Times New Roman" w:cs="Times New Roman" w:eastAsia="Times New Roman" w:hAnsi="Times New Roman"/>
          <w:sz w:val="21"/>
          <w:szCs w:val="21"/>
          <w:color w:val="auto"/>
        </w:rPr>
        <w:t>. No consent, approval, authorization, order, registration or qualification of or with any Governmental Authority is required for the execution, delivery and performance by the Company of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Times New Roman" w:cs="Times New Roman" w:eastAsia="Times New Roman" w:hAnsi="Times New Roman"/>
          <w:sz w:val="21"/>
          <w:szCs w:val="21"/>
          <w:b w:val="1"/>
          <w:bCs w:val="1"/>
          <w:u w:val="single" w:color="auto"/>
          <w:color w:val="auto"/>
        </w:rPr>
        <w:t>FINRA</w:t>
      </w:r>
      <w:r>
        <w:rPr>
          <w:rFonts w:ascii="Times New Roman" w:cs="Times New Roman" w:eastAsia="Times New Roman" w:hAnsi="Times New Roman"/>
          <w:sz w:val="21"/>
          <w:szCs w:val="21"/>
          <w:color w:val="auto"/>
        </w:rPr>
        <w:t>”) or the Exchange in connection with the sale of the Placement Shares by the Agent.</w:t>
      </w:r>
    </w:p>
    <w:p>
      <w:pPr>
        <w:spacing w:after="0" w:line="170" w:lineRule="exact"/>
        <w:rPr>
          <w:rFonts w:ascii="Times New Roman" w:cs="Times New Roman" w:eastAsia="Times New Roman" w:hAnsi="Times New Roman"/>
          <w:sz w:val="21"/>
          <w:szCs w:val="21"/>
          <w:color w:val="auto"/>
        </w:rPr>
      </w:pPr>
    </w:p>
    <w:p>
      <w:pPr>
        <w:jc w:val="both"/>
        <w:ind w:left="660" w:hanging="652"/>
        <w:spacing w:after="0" w:line="244" w:lineRule="auto"/>
        <w:tabs>
          <w:tab w:leader="none" w:pos="6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Preferential Rights</w:t>
      </w:r>
      <w:r>
        <w:rPr>
          <w:rFonts w:ascii="Times New Roman" w:cs="Times New Roman" w:eastAsia="Times New Roman" w:hAnsi="Times New Roman"/>
          <w:sz w:val="21"/>
          <w:szCs w:val="21"/>
          <w:color w:val="auto"/>
        </w:rPr>
        <w:t>. Except as set forth in the Registration Statement and the Prospectus, (i) no person, as such term is defined in Rule 1-02 of Regulation S-X promulgated under the Securities Act (each, a “</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(other than upon the exercise of options or warrants to purchase Common Stock or upon the exercise or vesting of options or other equity awards that may be granted from time to time under the Company’s equity compensation plans),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4" w:name="page115"/>
    <w:bookmarkEnd w:id="114"/>
    <w:p>
      <w:pPr>
        <w:jc w:val="both"/>
        <w:ind w:left="652" w:hanging="652"/>
        <w:spacing w:after="0" w:line="235" w:lineRule="auto"/>
        <w:tabs>
          <w:tab w:leader="none" w:pos="65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Public Accounting Firm</w:t>
      </w:r>
      <w:r>
        <w:rPr>
          <w:rFonts w:ascii="Times New Roman" w:cs="Times New Roman" w:eastAsia="Times New Roman" w:hAnsi="Times New Roman"/>
          <w:sz w:val="22"/>
          <w:szCs w:val="22"/>
          <w:color w:val="auto"/>
        </w:rPr>
        <w:t>. PricewaterhouseCoopers LLP (the “</w:t>
      </w:r>
      <w:r>
        <w:rPr>
          <w:rFonts w:ascii="Times New Roman" w:cs="Times New Roman" w:eastAsia="Times New Roman" w:hAnsi="Times New Roman"/>
          <w:sz w:val="22"/>
          <w:szCs w:val="22"/>
          <w:b w:val="1"/>
          <w:bCs w:val="1"/>
          <w:u w:val="single" w:color="auto"/>
          <w:color w:val="auto"/>
        </w:rPr>
        <w:t>Accountant</w:t>
      </w:r>
      <w:r>
        <w:rPr>
          <w:rFonts w:ascii="Times New Roman" w:cs="Times New Roman" w:eastAsia="Times New Roman" w:hAnsi="Times New Roman"/>
          <w:sz w:val="22"/>
          <w:szCs w:val="22"/>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with respect to the Company.</w:t>
      </w:r>
    </w:p>
    <w:p>
      <w:pPr>
        <w:spacing w:after="0" w:line="182" w:lineRule="exact"/>
        <w:rPr>
          <w:rFonts w:ascii="Times New Roman" w:cs="Times New Roman" w:eastAsia="Times New Roman" w:hAnsi="Times New Roman"/>
          <w:sz w:val="22"/>
          <w:szCs w:val="22"/>
          <w:color w:val="auto"/>
        </w:rPr>
      </w:pPr>
    </w:p>
    <w:p>
      <w:pPr>
        <w:jc w:val="both"/>
        <w:ind w:left="652" w:hanging="652"/>
        <w:spacing w:after="0" w:line="234" w:lineRule="auto"/>
        <w:tabs>
          <w:tab w:leader="none" w:pos="65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 of Agreements</w:t>
      </w:r>
      <w:r>
        <w:rPr>
          <w:rFonts w:ascii="Times New Roman" w:cs="Times New Roman" w:eastAsia="Times New Roman" w:hAnsi="Times New Roman"/>
          <w:sz w:val="22"/>
          <w:szCs w:val="22"/>
          <w:color w:val="auto"/>
        </w:rPr>
        <w:t>. All agreements between the Company and third parties expressly referenced in the Prospectus, other than such agreements that have expired by their terms or the termination of which is disclosed in documents filed by the Company via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left="652" w:hanging="652"/>
        <w:spacing w:after="0" w:line="233" w:lineRule="auto"/>
        <w:tabs>
          <w:tab w:leader="none" w:pos="65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Except as set forth in the Registration Statement or the Prospectus, there are no actions, suits or proceedings by or before any Governmental Authority pending, nor any audits or investigations by or before any Governmental Authority to which the Company or a Subsidiary is a party or to which any property of the Company or any of its Subsidiaries is the subject that, individually or in the aggregate, if determined adversely to the Company would reasonably be expected to have a Material Adverse Effect and, to the Company’s knowledge, no such actions, suits, proceedings, audits or investigations are threatened or contemplated by any Governmental Authority or threatened by others; and (i) there are no current or pending audits or investigations, actions, suits or proceedings by or before any Governmental Authority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87" w:lineRule="exact"/>
        <w:rPr>
          <w:rFonts w:ascii="Times New Roman" w:cs="Times New Roman" w:eastAsia="Times New Roman" w:hAnsi="Times New Roman"/>
          <w:sz w:val="22"/>
          <w:szCs w:val="22"/>
          <w:color w:val="auto"/>
        </w:rPr>
      </w:pPr>
    </w:p>
    <w:p>
      <w:pPr>
        <w:jc w:val="both"/>
        <w:ind w:left="652" w:hanging="652"/>
        <w:spacing w:after="0" w:line="245" w:lineRule="auto"/>
        <w:tabs>
          <w:tab w:leader="none" w:pos="65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Consents and Permits</w:t>
      </w:r>
      <w:r>
        <w:rPr>
          <w:rFonts w:ascii="Times New Roman" w:cs="Times New Roman" w:eastAsia="Times New Roman" w:hAnsi="Times New Roman"/>
          <w:sz w:val="21"/>
          <w:szCs w:val="21"/>
          <w:color w:val="auto"/>
        </w:rPr>
        <w:t>. Except as disclosed in the Registration Statement and the Prospectus,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Times New Roman" w:cs="Times New Roman" w:eastAsia="Times New Roman" w:hAnsi="Times New Roman"/>
          <w:sz w:val="21"/>
          <w:szCs w:val="21"/>
          <w:b w:val="1"/>
          <w:bCs w:val="1"/>
          <w:u w:val="single" w:color="auto"/>
          <w:color w:val="auto"/>
        </w:rPr>
        <w:t>FDA</w:t>
      </w:r>
      <w:r>
        <w:rPr>
          <w:rFonts w:ascii="Times New Roman" w:cs="Times New Roman" w:eastAsia="Times New Roman" w:hAnsi="Times New Roman"/>
          <w:sz w:val="21"/>
          <w:szCs w:val="21"/>
          <w:color w:val="auto"/>
        </w:rPr>
        <w:t>”), the United States Drug Enforcement Administration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Times New Roman" w:cs="Times New Roman" w:eastAsia="Times New Roman" w:hAnsi="Times New Roman"/>
          <w:sz w:val="21"/>
          <w:szCs w:val="21"/>
          <w:b w:val="1"/>
          <w:bCs w:val="1"/>
          <w:u w:val="single" w:color="auto"/>
          <w:color w:val="auto"/>
        </w:rPr>
        <w:t>Permits</w:t>
      </w:r>
      <w:r>
        <w:rPr>
          <w:rFonts w:ascii="Times New Roman" w:cs="Times New Roman" w:eastAsia="Times New Roman" w:hAnsi="Times New Roman"/>
          <w:sz w:val="21"/>
          <w:szCs w:val="21"/>
          <w:color w:val="auto"/>
        </w:rPr>
        <w:t>”), except for such Permits the failure of which to possess, obtain or make the same would not reasonably be expected to have a Material Adverse Effect; the Company and its Subsidiaries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08" w:right="999" w:bottom="1440" w:gutter="0" w:footer="0" w:header="0"/>
        </w:sectPr>
      </w:pPr>
    </w:p>
    <w:bookmarkStart w:id="115" w:name="page116"/>
    <w:bookmarkEnd w:id="115"/>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in compliance with the terms and conditions of all such Permits, except where the failure to be in compliance would not reasonably be expected to have a Material Adverse Effect; all of the Permits are valid and in full force and effect, except where any invalidity, individually or in the aggregate, would not reasonably be expected to have a Material Adverse Effect; and neither the Company nor any of its Subsidiaries has received any written notice of proceedings relating to the limitation, revocation, cancellation, suspension, modification or non-renewal of any such Permit which, singly or in the aggregate, if the subject of an unfavorable decision, ruling or finding, would reasonably be expected to have a Material Adverse Effect, or has any reason to believe that any such license, certificate, permit or authorization will not be renewed in the ordinary course. To the extent required by applicable laws and regulations of the FDA, the Company or the applicable Subsidiary has submitted to the FDA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with respect to any such submissions.</w:t>
      </w:r>
    </w:p>
    <w:p>
      <w:pPr>
        <w:spacing w:after="0" w:line="180" w:lineRule="exact"/>
        <w:rPr>
          <w:sz w:val="20"/>
          <w:szCs w:val="20"/>
          <w:color w:val="auto"/>
        </w:rPr>
      </w:pPr>
    </w:p>
    <w:p>
      <w:pPr>
        <w:jc w:val="both"/>
        <w:ind w:left="660" w:hanging="652"/>
        <w:spacing w:after="0" w:line="232" w:lineRule="auto"/>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Filings</w:t>
      </w:r>
      <w:r>
        <w:rPr>
          <w:rFonts w:ascii="Times New Roman" w:cs="Times New Roman" w:eastAsia="Times New Roman" w:hAnsi="Times New Roman"/>
          <w:sz w:val="22"/>
          <w:szCs w:val="22"/>
          <w:color w:val="auto"/>
        </w:rPr>
        <w:t>. Except as disclosed in the Registration Statement and the Prospectus, neither the Company nor any of its Subsidiaries has failed to file with the applicable Governmental Authorities (including, without limitation, the FDA, or any foreign, federal, state, provincial or local Governmental Authority performing functions similar to those performed by the FDA) any required filing, declaration, listing, registration, report or submission, except for such failures that, individually or in the aggregate, would not reasonably be expected to have a Material Adverse Effect;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reasonably be expected to have a Material Adverse Effect. The Company has operated and currently is, in all material respects, in compliance with the United States Federal Food, Drug, and Cosmetic Act, all applicable rules and regulations of the FDA and other federal, state, local and foreign Governmental Authority exercising comparable authority. The Company has no knowledge of any studies, tests or trials not described in the Prospectus the results of which reasonably call into question in any material respect the results of the studies, tests and trials described in the Prospectus.</w:t>
      </w:r>
    </w:p>
    <w:p>
      <w:pPr>
        <w:spacing w:after="0" w:line="191"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Except as disclosed in the Registration Statement and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necessary for the conduct of their respective businesses as now conducted except to the extent that the failure to own, possess, license or otherwise hold adequate rights to use such Intellectual Property would not, individually or in the aggregate, reasonably be expected to have a Material Adverse Effect. Except as disclosed in the Registration Statement and the Prospectus (i) to the Company’s knowledge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6" w:name="page117"/>
    <w:bookmarkEnd w:id="116"/>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Registration Statement and the Prospectus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infringement by third parties or any such pending or threatened suit, action, proceeding or claim as would not, individually or in the aggregate, reasonably be expected to result in a Material Adverse Effect.</w:t>
      </w:r>
    </w:p>
    <w:p>
      <w:pPr>
        <w:spacing w:after="0" w:line="178" w:lineRule="exact"/>
        <w:rPr>
          <w:sz w:val="20"/>
          <w:szCs w:val="20"/>
          <w:color w:val="auto"/>
        </w:rPr>
      </w:pPr>
    </w:p>
    <w:p>
      <w:pPr>
        <w:jc w:val="both"/>
        <w:ind w:left="660" w:hanging="652"/>
        <w:spacing w:after="0" w:line="233" w:lineRule="auto"/>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Studies</w:t>
      </w:r>
      <w:r>
        <w:rPr>
          <w:rFonts w:ascii="Times New Roman" w:cs="Times New Roman" w:eastAsia="Times New Roman" w:hAnsi="Times New Roman"/>
          <w:sz w:val="22"/>
          <w:szCs w:val="22"/>
          <w:color w:val="auto"/>
        </w:rPr>
        <w:t>. The preclinical studies and tests and clinical trials described in the Prospectus were, and, if still pending, are being conducted in all material respects in accordance with the experimental protocols, procedures and controls pursuant to, where applicable, accepted professional and scientific standards for products or product candidates comparable to those being developed by the Company; the descriptions of such studies, tests and trials, and the results thereof, contained in the Prospectus are accurate and complete in all material respects; the Company is not aware of any tests, studies or trials not described in the Prospectus, the results of which reasonably call into question the results of the tests, studies and trials described in the Prospectus; and the Company has not received any written notice or correspondence from the FDA or any foreign, state or local Governmental Authority exercising comparable authority or any institutional review board or comparable authority requiring the termination, suspension, clinical hold or material modification of any tests, studies or trials.</w:t>
      </w:r>
    </w:p>
    <w:p>
      <w:pPr>
        <w:spacing w:after="0" w:line="187" w:lineRule="exact"/>
        <w:rPr>
          <w:rFonts w:ascii="Times New Roman" w:cs="Times New Roman" w:eastAsia="Times New Roman" w:hAnsi="Times New Roman"/>
          <w:sz w:val="22"/>
          <w:szCs w:val="22"/>
          <w:color w:val="auto"/>
        </w:rPr>
      </w:pPr>
    </w:p>
    <w:p>
      <w:pPr>
        <w:jc w:val="both"/>
        <w:ind w:left="660" w:hanging="652"/>
        <w:spacing w:after="0" w:line="243" w:lineRule="auto"/>
        <w:tabs>
          <w:tab w:leader="none" w:pos="6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Market Capitalization</w:t>
      </w:r>
      <w:r>
        <w:rPr>
          <w:rFonts w:ascii="Times New Roman" w:cs="Times New Roman" w:eastAsia="Times New Roman" w:hAnsi="Times New Roman"/>
          <w:sz w:val="21"/>
          <w:szCs w:val="21"/>
          <w:color w:val="auto"/>
        </w:rPr>
        <w:t>. At the time the Registration Statement became effective, and at the time the Company’s most recent Annual Report on Form 10-K was filed with the Commission, the Company met the then applicable requirements for the use of Form S-3 under the Securities Act, including, but not limited to, General Instruction I.B.1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 (A) At the original effectiveness of the Registration Statement and (B)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the Company was a “well-known seasoned issuer” (as defined in Rule 405 under the Securities Act). The Company has not received from the Commission any notice pursuant to Rule 401(g)</w:t>
      </w:r>
    </w:p>
    <w:p>
      <w:pPr>
        <w:spacing w:after="0" w:line="4"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under the Securities Act objecting to the Company’s use of the automatic shelf registration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7" w:name="page118"/>
    <w:bookmarkEnd w:id="117"/>
    <w:p>
      <w:pPr>
        <w:jc w:val="both"/>
        <w:ind w:left="652" w:hanging="652"/>
        <w:spacing w:after="0" w:line="235" w:lineRule="auto"/>
        <w:tabs>
          <w:tab w:leader="none" w:pos="6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Defaults</w:t>
      </w:r>
      <w:r>
        <w:rPr>
          <w:rFonts w:ascii="Times New Roman" w:cs="Times New Roman" w:eastAsia="Times New Roman" w:hAnsi="Times New Roman"/>
          <w:sz w:val="22"/>
          <w:szCs w:val="22"/>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Market Activities</w:t>
      </w:r>
      <w:r>
        <w:rPr>
          <w:rFonts w:ascii="Times New Roman" w:cs="Times New Roman" w:eastAsia="Times New Roman" w:hAnsi="Times New Roman"/>
          <w:sz w:val="22"/>
          <w:szCs w:val="22"/>
          <w:color w:val="auto"/>
        </w:rPr>
        <w:t>. Neither the Company, nor any of the Subsidiaries, nor, to the Company’s knowledge,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39" w:lineRule="auto"/>
        <w:tabs>
          <w:tab w:leader="none" w:pos="6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Broker/Dealer Relationships</w:t>
      </w:r>
      <w:r>
        <w:rPr>
          <w:rFonts w:ascii="Times New Roman" w:cs="Times New Roman" w:eastAsia="Times New Roman" w:hAnsi="Times New Roman"/>
          <w:sz w:val="22"/>
          <w:szCs w:val="22"/>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80" w:lineRule="exact"/>
        <w:rPr>
          <w:rFonts w:ascii="Times New Roman" w:cs="Times New Roman" w:eastAsia="Times New Roman" w:hAnsi="Times New Roman"/>
          <w:sz w:val="22"/>
          <w:szCs w:val="22"/>
          <w:color w:val="auto"/>
        </w:rPr>
      </w:pPr>
    </w:p>
    <w:p>
      <w:pPr>
        <w:ind w:left="652" w:hanging="652"/>
        <w:spacing w:after="0" w:line="258" w:lineRule="auto"/>
        <w:tabs>
          <w:tab w:leader="none" w:pos="6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The Company has not relied upon the Agent or legal counsel for the Agent for any legal, tax or accounting advice in connection with the offering and sale of the Placement Shares.</w:t>
      </w:r>
    </w:p>
    <w:p>
      <w:pPr>
        <w:spacing w:after="0" w:line="158" w:lineRule="exact"/>
        <w:rPr>
          <w:sz w:val="20"/>
          <w:szCs w:val="20"/>
          <w:color w:val="auto"/>
        </w:rPr>
      </w:pPr>
    </w:p>
    <w:p>
      <w:pPr>
        <w:jc w:val="both"/>
        <w:ind w:left="652" w:hanging="652"/>
        <w:spacing w:after="0" w:line="234" w:lineRule="auto"/>
        <w:tabs>
          <w:tab w:leader="none" w:pos="65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83" w:lineRule="exact"/>
        <w:rPr>
          <w:rFonts w:ascii="Times New Roman" w:cs="Times New Roman" w:eastAsia="Times New Roman" w:hAnsi="Times New Roman"/>
          <w:sz w:val="22"/>
          <w:szCs w:val="22"/>
          <w:color w:val="auto"/>
        </w:rPr>
      </w:pPr>
    </w:p>
    <w:p>
      <w:pPr>
        <w:jc w:val="both"/>
        <w:ind w:left="652" w:hanging="652"/>
        <w:spacing w:after="0" w:line="233" w:lineRule="auto"/>
        <w:tabs>
          <w:tab w:leader="none" w:pos="65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Real and Personal Property</w:t>
      </w:r>
      <w:r>
        <w:rPr>
          <w:rFonts w:ascii="Times New Roman" w:cs="Times New Roman" w:eastAsia="Times New Roman" w:hAnsi="Times New Roman"/>
          <w:sz w:val="22"/>
          <w:szCs w:val="22"/>
          <w:color w:val="auto"/>
        </w:rPr>
        <w:t>. Except as set forth in the Registration Statement or the Prospectus, the Company and its Subsidiaries have good and marketable title in fee simple to all items of real property owned by them, good and valid title to all personal property described in the Registration Statement or Prospectus as being owned by them that are material to the business of the Company or such Subsidiary, in each case free and clear of all liens, encumbrances and claims, except those matters that (i) do not materially interfere with the use made and proposed to be made of such property by the Company and any of its Subsidiaries or (ii) would not, individually or in the aggregate, reasonably be expected to have a Material Adverse Effect.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18" w:name="page119"/>
    <w:bookmarkEnd w:id="118"/>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expected, individually or in the aggregate, to have a Material Adverse Effect. Each of the properties owned by the Company and its Subsidiaries complies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spacing w:after="0" w:line="183" w:lineRule="exact"/>
        <w:rPr>
          <w:sz w:val="20"/>
          <w:szCs w:val="20"/>
          <w:color w:val="auto"/>
        </w:rPr>
      </w:pPr>
    </w:p>
    <w:p>
      <w:pPr>
        <w:jc w:val="both"/>
        <w:ind w:left="660" w:hanging="652"/>
        <w:spacing w:after="0" w:line="245" w:lineRule="auto"/>
        <w:tabs>
          <w:tab w:leader="none" w:pos="6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21"/>
          <w:szCs w:val="21"/>
          <w:b w:val="1"/>
          <w:bCs w:val="1"/>
          <w:u w:val="single" w:color="auto"/>
          <w:color w:val="auto"/>
        </w:rPr>
        <w:t>Environmental Laws</w:t>
      </w:r>
      <w:r>
        <w:rPr>
          <w:rFonts w:ascii="Times New Roman" w:cs="Times New Roman" w:eastAsia="Times New Roman" w:hAnsi="Times New Roman"/>
          <w:sz w:val="21"/>
          <w:szCs w:val="21"/>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77" w:lineRule="exact"/>
        <w:rPr>
          <w:rFonts w:ascii="Times New Roman" w:cs="Times New Roman" w:eastAsia="Times New Roman" w:hAnsi="Times New Roman"/>
          <w:sz w:val="21"/>
          <w:szCs w:val="21"/>
          <w:color w:val="auto"/>
        </w:rPr>
      </w:pPr>
    </w:p>
    <w:p>
      <w:pPr>
        <w:jc w:val="both"/>
        <w:ind w:left="660" w:hanging="652"/>
        <w:spacing w:after="0" w:line="232" w:lineRule="auto"/>
        <w:tabs>
          <w:tab w:leader="none" w:pos="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9" w:name="page120"/>
    <w:bookmarkEnd w:id="119"/>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 xml:space="preserve">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Evaluation Date</w:t>
      </w:r>
      <w:r>
        <w:rPr>
          <w:rFonts w:ascii="Times New Roman" w:cs="Times New Roman" w:eastAsia="Times New Roman" w:hAnsi="Times New Roman"/>
          <w:sz w:val="22"/>
          <w:szCs w:val="22"/>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184" w:lineRule="exact"/>
        <w:rPr>
          <w:sz w:val="20"/>
          <w:szCs w:val="20"/>
          <w:color w:val="auto"/>
        </w:rPr>
      </w:pPr>
    </w:p>
    <w:p>
      <w:pPr>
        <w:jc w:val="both"/>
        <w:ind w:left="660" w:hanging="652"/>
        <w:spacing w:after="0" w:line="234"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Finder’s Fees</w:t>
      </w:r>
      <w:r>
        <w:rPr>
          <w:rFonts w:ascii="Times New Roman" w:cs="Times New Roman" w:eastAsia="Times New Roman" w:hAnsi="Times New Roman"/>
          <w:sz w:val="22"/>
          <w:szCs w:val="22"/>
          <w:color w:val="auto"/>
        </w:rPr>
        <w:t>. Neither the Company nor any of the Subsidiaries has incurred any liability for any finder’s fees, brokerage commissions or similar payments in connection with the transactions herein contemplated, except as may otherwise exist with respect to the Agent pursuant to this Agreement.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Disputes</w:t>
      </w:r>
      <w:r>
        <w:rPr>
          <w:rFonts w:ascii="Times New Roman" w:cs="Times New Roman" w:eastAsia="Times New Roman" w:hAnsi="Times New Roman"/>
          <w:sz w:val="22"/>
          <w:szCs w:val="22"/>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46" w:lineRule="auto"/>
        <w:tabs>
          <w:tab w:leader="none" w:pos="6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Operations</w:t>
      </w:r>
      <w:r>
        <w:rPr>
          <w:rFonts w:ascii="Times New Roman" w:cs="Times New Roman" w:eastAsia="Times New Roman" w:hAnsi="Times New Roman"/>
          <w:sz w:val="21"/>
          <w:szCs w:val="21"/>
          <w:color w:val="auto"/>
        </w:rPr>
        <w:t>. The operations of the Company and its Subsidiaries are and have been conducted at all times in compliance with applicable financial record keeping and reporting requirements of the Currency and Foreign Transactions Reporting Act of 1970, as amended, the applicable money laundering statutes of all jurisdictions to which the Company or its Subsidiaries are subject, the applicable rules and regulations thereunder and any applicable related or similar rules, regulations or guidelines, issued, administered or enforced by any Governmental Authority (collectively, the “</w:t>
      </w:r>
      <w:r>
        <w:rPr>
          <w:rFonts w:ascii="Times New Roman" w:cs="Times New Roman" w:eastAsia="Times New Roman" w:hAnsi="Times New Roman"/>
          <w:sz w:val="21"/>
          <w:szCs w:val="21"/>
          <w:b w:val="1"/>
          <w:bCs w:val="1"/>
          <w:u w:val="single" w:color="auto"/>
          <w:color w:val="auto"/>
        </w:rPr>
        <w:t>Money Laundering Laws</w:t>
      </w:r>
      <w:r>
        <w:rPr>
          <w:rFonts w:ascii="Times New Roman" w:cs="Times New Roman" w:eastAsia="Times New Roman" w:hAnsi="Times New Roman"/>
          <w:sz w:val="21"/>
          <w:szCs w:val="21"/>
          <w:color w:val="auto"/>
        </w:rPr>
        <w:t>”), except as would not reasonably be expected to result in a Material Adverse Effect; and no action, suit or proceeding by or before any Governmental Authority involving the Company or any of its Subsidiaries with respect to the Money Laundering Laws is pending or, to the knowledge of the Company,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0" w:name="page121"/>
    <w:bookmarkEnd w:id="120"/>
    <w:p>
      <w:pPr>
        <w:jc w:val="both"/>
        <w:ind w:left="652" w:hanging="652"/>
        <w:spacing w:after="0" w:line="247" w:lineRule="auto"/>
        <w:tabs>
          <w:tab w:leader="none" w:pos="65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Off-Balance Sheet Arrangements</w:t>
      </w:r>
      <w:r>
        <w:rPr>
          <w:rFonts w:ascii="Times New Roman" w:cs="Times New Roman" w:eastAsia="Times New Roman" w:hAnsi="Times New Roman"/>
          <w:sz w:val="21"/>
          <w:szCs w:val="21"/>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cs="Times New Roman" w:eastAsia="Times New Roman" w:hAnsi="Times New Roman"/>
          <w:sz w:val="21"/>
          <w:szCs w:val="21"/>
          <w:b w:val="1"/>
          <w:bCs w:val="1"/>
          <w:u w:val="single" w:color="auto"/>
          <w:color w:val="auto"/>
        </w:rPr>
        <w:t>Off-Balance Sheet Transaction</w:t>
      </w:r>
      <w:r>
        <w:rPr>
          <w:rFonts w:ascii="Times New Roman" w:cs="Times New Roman" w:eastAsia="Times New Roman" w:hAnsi="Times New Roman"/>
          <w:sz w:val="21"/>
          <w:szCs w:val="21"/>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72" w:lineRule="exact"/>
        <w:rPr>
          <w:rFonts w:ascii="Times New Roman" w:cs="Times New Roman" w:eastAsia="Times New Roman" w:hAnsi="Times New Roman"/>
          <w:sz w:val="21"/>
          <w:szCs w:val="21"/>
          <w:color w:val="auto"/>
        </w:rPr>
      </w:pPr>
    </w:p>
    <w:p>
      <w:pPr>
        <w:ind w:left="652" w:hanging="652"/>
        <w:spacing w:after="0" w:line="258" w:lineRule="auto"/>
        <w:tabs>
          <w:tab w:leader="none" w:pos="65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Underwriter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58" w:lineRule="exact"/>
        <w:rPr>
          <w:rFonts w:ascii="Times New Roman" w:cs="Times New Roman" w:eastAsia="Times New Roman" w:hAnsi="Times New Roman"/>
          <w:sz w:val="22"/>
          <w:szCs w:val="22"/>
          <w:color w:val="auto"/>
        </w:rPr>
      </w:pPr>
    </w:p>
    <w:p>
      <w:pPr>
        <w:jc w:val="both"/>
        <w:ind w:left="652" w:hanging="652"/>
        <w:spacing w:after="0" w:line="244" w:lineRule="auto"/>
        <w:tabs>
          <w:tab w:leader="none" w:pos="65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21"/>
          <w:szCs w:val="21"/>
          <w:b w:val="1"/>
          <w:bCs w:val="1"/>
          <w:u w:val="single" w:color="auto"/>
          <w:color w:val="auto"/>
        </w:rPr>
        <w:t>ERISA</w:t>
      </w:r>
      <w:r>
        <w:rPr>
          <w:rFonts w:ascii="Times New Roman" w:cs="Times New Roman" w:eastAsia="Times New Roman" w:hAnsi="Times New Roman"/>
          <w:sz w:val="21"/>
          <w:szCs w:val="21"/>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83" w:lineRule="exact"/>
        <w:rPr>
          <w:rFonts w:ascii="Times New Roman" w:cs="Times New Roman" w:eastAsia="Times New Roman" w:hAnsi="Times New Roman"/>
          <w:sz w:val="21"/>
          <w:szCs w:val="21"/>
          <w:color w:val="auto"/>
        </w:rPr>
      </w:pPr>
    </w:p>
    <w:p>
      <w:pPr>
        <w:jc w:val="both"/>
        <w:ind w:left="652" w:hanging="652"/>
        <w:spacing w:after="0" w:line="239" w:lineRule="auto"/>
        <w:tabs>
          <w:tab w:leader="none" w:pos="65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 No forward-looking statement (within the meaning of Section 27A of the Securities Act and Section 21E of the Exchange Act) (a “</w:t>
      </w:r>
      <w:r>
        <w:rPr>
          <w:rFonts w:ascii="Times New Roman" w:cs="Times New Roman" w:eastAsia="Times New Roman" w:hAnsi="Times New Roman"/>
          <w:sz w:val="22"/>
          <w:szCs w:val="22"/>
          <w:b w:val="1"/>
          <w:bCs w:val="1"/>
          <w:u w:val="single" w:color="auto"/>
          <w:color w:val="auto"/>
        </w:rPr>
        <w:t>Forward-Looking Statement</w:t>
      </w:r>
      <w:r>
        <w:rPr>
          <w:rFonts w:ascii="Times New Roman" w:cs="Times New Roman" w:eastAsia="Times New Roman" w:hAnsi="Times New Roman"/>
          <w:sz w:val="22"/>
          <w:szCs w:val="22"/>
          <w:color w:val="auto"/>
        </w:rPr>
        <w:t>”) contained in the Registration Statement and the Prospectus has been made or reaffirmed without a reasonable basis or has been disclosed other than in good faith.</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9" w:lineRule="auto"/>
        <w:tabs>
          <w:tab w:leader="none" w:pos="65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Purchases</w:t>
      </w:r>
      <w:r>
        <w:rPr>
          <w:rFonts w:ascii="Times New Roman" w:cs="Times New Roman" w:eastAsia="Times New Roman" w:hAnsi="Times New Roman"/>
          <w:sz w:val="22"/>
          <w:szCs w:val="22"/>
          <w:color w:val="auto"/>
        </w:rPr>
        <w:t xml:space="preserve">. The Company acknowledges and agrees that the Agent has informed the Company that the Agent may, to the extent permitted under the Securities Act and the Exchange Act, purchase and sell Common Stock for its own account while this Agreement is in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not be deemed to have authorized or consented to any such purchases or sales by the Agent.</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9" w:lineRule="auto"/>
        <w:tabs>
          <w:tab w:leader="none" w:pos="65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Rules</w:t>
      </w:r>
      <w:r>
        <w:rPr>
          <w:rFonts w:ascii="Times New Roman" w:cs="Times New Roman" w:eastAsia="Times New Roman" w:hAnsi="Times New Roman"/>
          <w:sz w:val="22"/>
          <w:szCs w:val="22"/>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0" w:lineRule="exact"/>
        <w:rPr>
          <w:rFonts w:ascii="Times New Roman" w:cs="Times New Roman" w:eastAsia="Times New Roman" w:hAnsi="Times New Roman"/>
          <w:sz w:val="22"/>
          <w:szCs w:val="22"/>
          <w:color w:val="auto"/>
        </w:rPr>
      </w:pPr>
    </w:p>
    <w:p>
      <w:pPr>
        <w:ind w:left="652" w:hanging="652"/>
        <w:spacing w:after="0" w:line="258" w:lineRule="auto"/>
        <w:tabs>
          <w:tab w:leader="none" w:pos="65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each of its Subsidiaries carry, or are covered by, insurance in such amounts and covering such risks as the Company and each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21" w:name="page122"/>
    <w:bookmarkEnd w:id="121"/>
    <w:p>
      <w:pPr>
        <w:ind w:left="660"/>
        <w:spacing w:after="0" w:line="258" w:lineRule="auto"/>
        <w:rPr>
          <w:sz w:val="20"/>
          <w:szCs w:val="20"/>
          <w:color w:val="auto"/>
        </w:rPr>
      </w:pPr>
      <w:r>
        <w:rPr>
          <w:rFonts w:ascii="Times New Roman" w:cs="Times New Roman" w:eastAsia="Times New Roman" w:hAnsi="Times New Roman"/>
          <w:sz w:val="22"/>
          <w:szCs w:val="22"/>
          <w:color w:val="auto"/>
        </w:rPr>
        <w:t>reasonably believe are adequate for the conduct of their properties and as is customary for companies engaged in similar businesses in similar industries.</w:t>
      </w:r>
    </w:p>
    <w:p>
      <w:pPr>
        <w:spacing w:after="0" w:line="159" w:lineRule="exact"/>
        <w:rPr>
          <w:sz w:val="20"/>
          <w:szCs w:val="20"/>
          <w:color w:val="auto"/>
        </w:rPr>
      </w:pPr>
    </w:p>
    <w:p>
      <w:pPr>
        <w:jc w:val="both"/>
        <w:ind w:left="660" w:hanging="652"/>
        <w:spacing w:after="0" w:line="242" w:lineRule="auto"/>
        <w:tabs>
          <w:tab w:leader="none" w:pos="6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Improper Practices</w:t>
      </w:r>
      <w:r>
        <w:rPr>
          <w:rFonts w:ascii="Times New Roman" w:cs="Times New Roman" w:eastAsia="Times New Roman" w:hAnsi="Times New Roman"/>
          <w:sz w:val="21"/>
          <w:szCs w:val="21"/>
          <w:color w:val="auto"/>
        </w:rPr>
        <w:t>. (i) Neither the Company nor the Subsidiaries, nor to the Company’s knowledge, any director, officer or employee of the Company or any Subsidiary or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to the Company’s knowledge, any affiliate of any of them, on the one hand, and the directors, officers and stockholders of the Company or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director, officer or employee of the Company or any Subsidiary or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 w:cs="Times New Roman" w:eastAsia="Times New Roman" w:hAnsi="Times New Roman"/>
          <w:sz w:val="21"/>
          <w:szCs w:val="21"/>
          <w:b w:val="1"/>
          <w:bCs w:val="1"/>
          <w:u w:val="single" w:color="auto"/>
          <w:color w:val="auto"/>
        </w:rPr>
        <w:t>Anti-Corruption Laws</w:t>
      </w:r>
      <w:r>
        <w:rPr>
          <w:rFonts w:ascii="Times New Roman" w:cs="Times New Roman" w:eastAsia="Times New Roman" w:hAnsi="Times New Roman"/>
          <w:sz w:val="21"/>
          <w:szCs w:val="21"/>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in violation of any Anti-Corruption Laws; or (C) made any payment of funds of the Company or any Subsidiary or received or retained any funds in violation of any Anti-Corruption Laws.</w:t>
      </w:r>
    </w:p>
    <w:p>
      <w:pPr>
        <w:spacing w:after="0" w:line="200" w:lineRule="exact"/>
        <w:rPr>
          <w:rFonts w:ascii="Times New Roman" w:cs="Times New Roman" w:eastAsia="Times New Roman" w:hAnsi="Times New Roman"/>
          <w:sz w:val="21"/>
          <w:szCs w:val="21"/>
          <w:color w:val="auto"/>
        </w:rPr>
      </w:pPr>
    </w:p>
    <w:p>
      <w:pPr>
        <w:spacing w:after="0" w:line="244" w:lineRule="exact"/>
        <w:rPr>
          <w:rFonts w:ascii="Times New Roman" w:cs="Times New Roman" w:eastAsia="Times New Roman" w:hAnsi="Times New Roman"/>
          <w:sz w:val="21"/>
          <w:szCs w:val="21"/>
          <w:color w:val="auto"/>
        </w:rPr>
      </w:pPr>
    </w:p>
    <w:p>
      <w:pPr>
        <w:jc w:val="both"/>
        <w:ind w:left="660" w:right="20" w:hanging="652"/>
        <w:spacing w:after="0" w:line="244" w:lineRule="auto"/>
        <w:tabs>
          <w:tab w:leader="none" w:pos="6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Under the Securities Act</w:t>
      </w:r>
      <w:r>
        <w:rPr>
          <w:rFonts w:ascii="Times New Roman" w:cs="Times New Roman" w:eastAsia="Times New Roman" w:hAnsi="Times New Roman"/>
          <w:sz w:val="22"/>
          <w:szCs w:val="22"/>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6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 in an Issuer Free Writing Prospectus</w:t>
      </w:r>
      <w:r>
        <w:rPr>
          <w:rFonts w:ascii="Times New Roman" w:cs="Times New Roman" w:eastAsia="Times New Roman" w:hAnsi="Times New Roman"/>
          <w:sz w:val="22"/>
          <w:szCs w:val="22"/>
          <w:color w:val="auto"/>
        </w:rPr>
        <w:t xml:space="preserve">. Each Issuer Free Writing Prospectus, as of its issue date and as of each Applicable Time (as defined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2" w:name="page123"/>
    <w:bookmarkEnd w:id="122"/>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foregoing sentence does not apply to statements in or omissions from any Issuer Free Writing Prospectus based upon and in conformity with written information furnished to the Company by the Agent specifically for use therein.</w:t>
      </w:r>
    </w:p>
    <w:p>
      <w:pPr>
        <w:spacing w:after="0" w:line="174" w:lineRule="exact"/>
        <w:rPr>
          <w:sz w:val="20"/>
          <w:szCs w:val="20"/>
          <w:color w:val="auto"/>
        </w:rPr>
      </w:pPr>
    </w:p>
    <w:p>
      <w:pPr>
        <w:jc w:val="both"/>
        <w:ind w:left="660" w:hanging="652"/>
        <w:spacing w:after="0" w:line="233" w:lineRule="auto"/>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material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 except with respect to this clause (y) only, where such violation would not reasonably be expected to have a Material Adverse Effect.</w:t>
      </w:r>
    </w:p>
    <w:p>
      <w:pPr>
        <w:spacing w:after="0" w:line="179"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(i) The Company represents that, neither the Company nor any of its Subsidiaries (collectively, the “</w:t>
      </w:r>
      <w:r>
        <w:rPr>
          <w:rFonts w:ascii="Times New Roman" w:cs="Times New Roman" w:eastAsia="Times New Roman" w:hAnsi="Times New Roman"/>
          <w:sz w:val="22"/>
          <w:szCs w:val="22"/>
          <w:b w:val="1"/>
          <w:bCs w:val="1"/>
          <w:u w:val="single" w:color="auto"/>
          <w:color w:val="auto"/>
        </w:rPr>
        <w:t>Entity</w:t>
      </w:r>
      <w:r>
        <w:rPr>
          <w:rFonts w:ascii="Times New Roman" w:cs="Times New Roman" w:eastAsia="Times New Roman" w:hAnsi="Times New Roman"/>
          <w:sz w:val="22"/>
          <w:szCs w:val="22"/>
          <w:color w:val="auto"/>
        </w:rPr>
        <w:t>”) or, to the Company’s knowledge any director, officer, employee, agent, affiliate or representative of the Entity, is a government, individual, or entity (in this paragraph (uu),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that is, or is owned or controlled by a Person that is:</w:t>
      </w:r>
    </w:p>
    <w:p>
      <w:pPr>
        <w:spacing w:after="0" w:line="180" w:lineRule="exact"/>
        <w:rPr>
          <w:rFonts w:ascii="Times New Roman" w:cs="Times New Roman" w:eastAsia="Times New Roman" w:hAnsi="Times New Roman"/>
          <w:sz w:val="22"/>
          <w:szCs w:val="22"/>
          <w:color w:val="auto"/>
        </w:rPr>
      </w:pPr>
    </w:p>
    <w:p>
      <w:pPr>
        <w:jc w:val="both"/>
        <w:ind w:left="980" w:firstLine="648"/>
        <w:spacing w:after="0" w:line="238" w:lineRule="auto"/>
        <w:tabs>
          <w:tab w:leader="none" w:pos="1985"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the U.S. Department of Treasury’s Office of Foreign Assets Control (“</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22"/>
          <w:szCs w:val="22"/>
          <w:b w:val="1"/>
          <w:bCs w:val="1"/>
          <w:u w:val="single" w:color="auto"/>
          <w:color w:val="auto"/>
        </w:rPr>
        <w:t>Sanctions</w:t>
      </w:r>
      <w:r>
        <w:rPr>
          <w:rFonts w:ascii="Times New Roman" w:cs="Times New Roman" w:eastAsia="Times New Roman" w:hAnsi="Times New Roman"/>
          <w:sz w:val="22"/>
          <w:szCs w:val="22"/>
          <w:color w:val="auto"/>
        </w:rPr>
        <w:t>”), nor</w:t>
      </w:r>
    </w:p>
    <w:p>
      <w:pPr>
        <w:spacing w:after="0" w:line="176" w:lineRule="exact"/>
        <w:rPr>
          <w:rFonts w:ascii="Times New Roman" w:cs="Times New Roman" w:eastAsia="Times New Roman" w:hAnsi="Times New Roman"/>
          <w:sz w:val="22"/>
          <w:szCs w:val="22"/>
          <w:color w:val="auto"/>
        </w:rPr>
      </w:pPr>
    </w:p>
    <w:p>
      <w:pPr>
        <w:jc w:val="both"/>
        <w:ind w:left="980" w:firstLine="648"/>
        <w:spacing w:after="0" w:line="239" w:lineRule="auto"/>
        <w:tabs>
          <w:tab w:leader="none" w:pos="1985"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that broadly prohibit dealings with that country or territory (including, without limitation, Cuba, Iran, North Korea, Syria, the so-called Donetsk People’s Republic, the so-called Luhansk People’s Republic and the Crimea Region of the Ukraine) (the “</w:t>
      </w:r>
      <w:r>
        <w:rPr>
          <w:rFonts w:ascii="Times New Roman" w:cs="Times New Roman" w:eastAsia="Times New Roman" w:hAnsi="Times New Roman"/>
          <w:sz w:val="22"/>
          <w:szCs w:val="22"/>
          <w:b w:val="1"/>
          <w:bCs w:val="1"/>
          <w:color w:val="auto"/>
        </w:rPr>
        <w:t>Sanctioned Countries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660" w:firstLine="320"/>
        <w:spacing w:after="0" w:line="244" w:lineRule="auto"/>
        <w:tabs>
          <w:tab w:leader="none" w:pos="131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represents and covenants that it will not, directly or indirectly, use the proceeds of the offering, or lend, contribute or otherwise make available such proceeds to any subsidiary, joint venture partner or other Person:</w:t>
      </w:r>
    </w:p>
    <w:p>
      <w:pPr>
        <w:spacing w:after="0" w:line="173" w:lineRule="exact"/>
        <w:rPr>
          <w:rFonts w:ascii="Times New Roman" w:cs="Times New Roman" w:eastAsia="Times New Roman" w:hAnsi="Times New Roman"/>
          <w:sz w:val="22"/>
          <w:szCs w:val="22"/>
          <w:color w:val="auto"/>
        </w:rPr>
      </w:pPr>
    </w:p>
    <w:p>
      <w:pPr>
        <w:jc w:val="both"/>
        <w:ind w:left="980" w:firstLine="648"/>
        <w:spacing w:after="0" w:line="244" w:lineRule="auto"/>
        <w:tabs>
          <w:tab w:leader="none" w:pos="2002"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Person or in any country or territory that, at the time of such funding or facilitation, is the subject of Sanctions or is a Sanctioned Country in violation of applicable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3" w:name="page124"/>
    <w:bookmarkEnd w:id="123"/>
    <w:p>
      <w:pPr>
        <w:ind w:left="972" w:firstLine="648"/>
        <w:spacing w:after="0" w:line="258" w:lineRule="auto"/>
        <w:tabs>
          <w:tab w:leader="none" w:pos="1962"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Person (including any Person participating in the offering, whether as underwriter, advisor, investor or otherwise).</w:t>
      </w:r>
    </w:p>
    <w:p>
      <w:pPr>
        <w:spacing w:after="0" w:line="158" w:lineRule="exact"/>
        <w:rPr>
          <w:rFonts w:ascii="Times New Roman" w:cs="Times New Roman" w:eastAsia="Times New Roman" w:hAnsi="Times New Roman"/>
          <w:sz w:val="22"/>
          <w:szCs w:val="22"/>
          <w:color w:val="auto"/>
        </w:rPr>
      </w:pPr>
    </w:p>
    <w:p>
      <w:pPr>
        <w:jc w:val="both"/>
        <w:ind w:left="652" w:firstLine="320"/>
        <w:spacing w:after="0" w:line="238" w:lineRule="auto"/>
        <w:tabs>
          <w:tab w:leader="none" w:pos="136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represents and covenants that, except as detailed in the Registration Statement and the Prospectus, for the past 5 years, it has not knowingly engaged in, is not now knowingly engaging in, and will not engage in, any dealings or transactions with any Person, or in any country or territory, that at the time of the dealing or transaction is or was the subject of Sanctions or is or was a Sanctioned Country in violation of applicable law.</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39" w:lineRule="auto"/>
        <w:tabs>
          <w:tab w:leader="none" w:pos="65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Transfer Taxes</w:t>
      </w:r>
      <w:r>
        <w:rPr>
          <w:rFonts w:ascii="Times New Roman" w:cs="Times New Roman" w:eastAsia="Times New Roman" w:hAnsi="Times New Roman"/>
          <w:sz w:val="22"/>
          <w:szCs w:val="22"/>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43" w:lineRule="auto"/>
        <w:tabs>
          <w:tab w:leader="none" w:pos="65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Each of the Company and its Subsidiaries: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 w:cs="Times New Roman" w:eastAsia="Times New Roman" w:hAnsi="Times New Roman"/>
          <w:sz w:val="21"/>
          <w:szCs w:val="21"/>
          <w:b w:val="1"/>
          <w:bCs w:val="1"/>
          <w:u w:val="single" w:color="auto"/>
          <w:color w:val="auto"/>
        </w:rPr>
        <w:t>Applicable Laws</w:t>
      </w:r>
      <w:r>
        <w:rPr>
          <w:rFonts w:ascii="Times New Roman" w:cs="Times New Roman" w:eastAsia="Times New Roman" w:hAnsi="Times New Roman"/>
          <w:sz w:val="21"/>
          <w:szCs w:val="21"/>
          <w:color w:val="auto"/>
        </w:rPr>
        <w:t>”), except as could not, individually or in the aggregate, reasonably be expected to result in a Material Adverse Effect; (B) has not received any FDA Form 483, notice of adverse finding, warning letter, untitled letter or other correspondence or notice from the FDA or any other Governmental Authority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21"/>
          <w:szCs w:val="21"/>
          <w:b w:val="1"/>
          <w:bCs w:val="1"/>
          <w:u w:val="single" w:color="auto"/>
          <w:color w:val="auto"/>
        </w:rPr>
        <w:t>Authorizations</w:t>
      </w:r>
      <w:r>
        <w:rPr>
          <w:rFonts w:ascii="Times New Roman" w:cs="Times New Roman" w:eastAsia="Times New Roman" w:hAnsi="Times New Roman"/>
          <w:sz w:val="21"/>
          <w:szCs w:val="21"/>
          <w:color w:val="auto"/>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173" w:lineRule="exact"/>
        <w:rPr>
          <w:rFonts w:ascii="Times New Roman" w:cs="Times New Roman" w:eastAsia="Times New Roman" w:hAnsi="Times New Roman"/>
          <w:sz w:val="21"/>
          <w:szCs w:val="21"/>
          <w:color w:val="auto"/>
        </w:rPr>
      </w:pPr>
    </w:p>
    <w:p>
      <w:pPr>
        <w:ind w:left="652" w:hanging="652"/>
        <w:spacing w:after="0" w:line="258" w:lineRule="auto"/>
        <w:tabs>
          <w:tab w:leader="none" w:pos="65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The statistical, demographic and market-related data included in the Registration Statement and Prospectus are based on or derived from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24" w:name="page125"/>
    <w:bookmarkEnd w:id="124"/>
    <w:p>
      <w:pPr>
        <w:ind w:left="652" w:right="20"/>
        <w:spacing w:after="0" w:line="258" w:lineRule="auto"/>
        <w:rPr>
          <w:sz w:val="20"/>
          <w:szCs w:val="20"/>
          <w:color w:val="auto"/>
        </w:rPr>
      </w:pPr>
      <w:r>
        <w:rPr>
          <w:rFonts w:ascii="Times New Roman" w:cs="Times New Roman" w:eastAsia="Times New Roman" w:hAnsi="Times New Roman"/>
          <w:sz w:val="22"/>
          <w:szCs w:val="22"/>
          <w:color w:val="auto"/>
        </w:rPr>
        <w:t>that the Company believes to be reliable and accurate or represent the Company’s good faith estimates that are made on the basis of data derived from such sources.</w:t>
      </w:r>
    </w:p>
    <w:p>
      <w:pPr>
        <w:spacing w:after="0" w:line="159" w:lineRule="exact"/>
        <w:rPr>
          <w:sz w:val="20"/>
          <w:szCs w:val="20"/>
          <w:color w:val="auto"/>
        </w:rPr>
      </w:pPr>
    </w:p>
    <w:p>
      <w:pPr>
        <w:jc w:val="both"/>
        <w:ind w:left="652" w:hanging="652"/>
        <w:spacing w:after="0" w:line="242" w:lineRule="auto"/>
        <w:tabs>
          <w:tab w:leader="none" w:pos="65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Cybersecurity</w:t>
      </w:r>
      <w:r>
        <w:rPr>
          <w:rFonts w:ascii="Times New Roman" w:cs="Times New Roman" w:eastAsia="Times New Roman" w:hAnsi="Times New Roman"/>
          <w:sz w:val="21"/>
          <w:szCs w:val="21"/>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1"/>
          <w:szCs w:val="21"/>
          <w:b w:val="1"/>
          <w:bCs w:val="1"/>
          <w:u w:val="single" w:color="auto"/>
          <w:color w:val="auto"/>
        </w:rPr>
        <w:t>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Systems</w:t>
      </w:r>
      <w:r>
        <w:rPr>
          <w:rFonts w:ascii="Times New Roman" w:cs="Times New Roman" w:eastAsia="Times New Roman" w:hAnsi="Times New Roman"/>
          <w:sz w:val="21"/>
          <w:szCs w:val="21"/>
          <w:color w:val="auto"/>
        </w:rPr>
        <w:t>”) are adequate for, and operate and perform in all material respects as required in connection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operation of the business of the Company as currently conducted, to the Company’s knowledge,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Times New Roman" w:cs="Times New Roman" w:eastAsia="Times New Roman" w:hAnsi="Times New Roman"/>
          <w:sz w:val="21"/>
          <w:szCs w:val="21"/>
          <w:b w:val="1"/>
          <w:bCs w:val="1"/>
          <w:u w:val="single" w:color="auto"/>
          <w:color w:val="auto"/>
        </w:rPr>
        <w:t>Confidential Data</w:t>
      </w:r>
      <w:r>
        <w:rPr>
          <w:rFonts w:ascii="Times New Roman" w:cs="Times New Roman" w:eastAsia="Times New Roman" w:hAnsi="Times New Roman"/>
          <w:sz w:val="21"/>
          <w:szCs w:val="21"/>
          <w:color w:val="auto"/>
        </w:rPr>
        <w:t>”) used in connection with their businesses. “Personal Data” means (i) a natural person’s name, street address, telephone number, e-mail address, photograph, social security number, national insurance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1"/>
          <w:szCs w:val="21"/>
          <w:b w:val="1"/>
          <w:bCs w:val="1"/>
          <w:u w:val="single" w:color="auto"/>
          <w:color w:val="auto"/>
        </w:rPr>
        <w:t>HIPAA</w:t>
      </w:r>
      <w:r>
        <w:rPr>
          <w:rFonts w:ascii="Times New Roman" w:cs="Times New Roman" w:eastAsia="Times New Roman" w:hAnsi="Times New Roman"/>
          <w:sz w:val="21"/>
          <w:szCs w:val="21"/>
          <w:color w:val="auto"/>
        </w:rPr>
        <w:t>”); (v) any “personal information” as defined by the California Consumer Privacy Act (“</w:t>
      </w:r>
      <w:r>
        <w:rPr>
          <w:rFonts w:ascii="Times New Roman" w:cs="Times New Roman" w:eastAsia="Times New Roman" w:hAnsi="Times New Roman"/>
          <w:sz w:val="21"/>
          <w:szCs w:val="21"/>
          <w:b w:val="1"/>
          <w:bCs w:val="1"/>
          <w:u w:val="single" w:color="auto"/>
          <w:color w:val="auto"/>
        </w:rPr>
        <w:t>CCPA</w:t>
      </w:r>
      <w:r>
        <w:rPr>
          <w:rFonts w:ascii="Times New Roman" w:cs="Times New Roman" w:eastAsia="Times New Roman" w:hAnsi="Times New Roman"/>
          <w:sz w:val="21"/>
          <w:szCs w:val="21"/>
          <w:color w:val="auto"/>
        </w:rPr>
        <w:t>”); and (vi) any other piece of information that allows the identification of such natural person, or household,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that, in each case, would reasonably be likely to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200" w:lineRule="exact"/>
        <w:rPr>
          <w:rFonts w:ascii="Times New Roman" w:cs="Times New Roman" w:eastAsia="Times New Roman" w:hAnsi="Times New Roman"/>
          <w:sz w:val="21"/>
          <w:szCs w:val="21"/>
          <w:color w:val="auto"/>
        </w:rPr>
      </w:pPr>
    </w:p>
    <w:p>
      <w:pPr>
        <w:spacing w:after="0" w:line="245" w:lineRule="exact"/>
        <w:rPr>
          <w:rFonts w:ascii="Times New Roman" w:cs="Times New Roman" w:eastAsia="Times New Roman" w:hAnsi="Times New Roman"/>
          <w:sz w:val="21"/>
          <w:szCs w:val="21"/>
          <w:color w:val="auto"/>
        </w:rPr>
      </w:pPr>
    </w:p>
    <w:p>
      <w:pPr>
        <w:jc w:val="both"/>
        <w:ind w:left="652" w:hanging="652"/>
        <w:spacing w:after="0" w:line="245" w:lineRule="auto"/>
        <w:tabs>
          <w:tab w:leader="none" w:pos="65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Data Privacy Laws</w:t>
      </w:r>
      <w:r>
        <w:rPr>
          <w:rFonts w:ascii="Times New Roman" w:cs="Times New Roman" w:eastAsia="Times New Roman" w:hAnsi="Times New Roman"/>
          <w:sz w:val="21"/>
          <w:szCs w:val="21"/>
          <w:color w:val="auto"/>
        </w:rPr>
        <w:t>. The Company and its subsidiaries are, and during the previous five-year period as of the date of this Agreement were, in material compliance with all applicable state and federal data privacy and security laws and regulations, including without limitation HIPAA, CCPA, and the European Union General Data Protection Regulation (“</w:t>
      </w:r>
      <w:r>
        <w:rPr>
          <w:rFonts w:ascii="Times New Roman" w:cs="Times New Roman" w:eastAsia="Times New Roman" w:hAnsi="Times New Roman"/>
          <w:sz w:val="21"/>
          <w:szCs w:val="21"/>
          <w:b w:val="1"/>
          <w:bCs w:val="1"/>
          <w:u w:val="single" w:color="auto"/>
          <w:color w:val="auto"/>
        </w:rPr>
        <w:t>GDPR</w:t>
      </w:r>
      <w:r>
        <w:rPr>
          <w:rFonts w:ascii="Times New Roman" w:cs="Times New Roman" w:eastAsia="Times New Roman" w:hAnsi="Times New Roman"/>
          <w:sz w:val="21"/>
          <w:szCs w:val="21"/>
          <w:color w:val="auto"/>
        </w:rPr>
        <w:t>”) (EU 2016/679) (collectively, the “</w:t>
      </w:r>
      <w:r>
        <w:rPr>
          <w:rFonts w:ascii="Times New Roman" w:cs="Times New Roman" w:eastAsia="Times New Roman" w:hAnsi="Times New Roman"/>
          <w:sz w:val="21"/>
          <w:szCs w:val="21"/>
          <w:b w:val="1"/>
          <w:bCs w:val="1"/>
          <w:u w:val="single" w:color="auto"/>
          <w:color w:val="auto"/>
        </w:rPr>
        <w:t>Privacy Laws</w:t>
      </w:r>
      <w:r>
        <w:rPr>
          <w:rFonts w:ascii="Times New Roman" w:cs="Times New Roman" w:eastAsia="Times New Roman" w:hAnsi="Times New Roman"/>
          <w:sz w:val="21"/>
          <w:szCs w:val="21"/>
          <w:color w:val="auto"/>
        </w:rPr>
        <w:t>”). To ensure compliance with the Privacy Laws, the Company has in place, complies with, and takes appropriate steps reasonably designed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21"/>
          <w:szCs w:val="21"/>
          <w:b w:val="1"/>
          <w:bCs w:val="1"/>
          <w:u w:val="single" w:color="auto"/>
          <w:color w:val="auto"/>
        </w:rPr>
        <w:t>Policies</w:t>
      </w:r>
      <w:r>
        <w:rPr>
          <w:rFonts w:ascii="Times New Roman" w:cs="Times New Roman" w:eastAsia="Times New Roman" w:hAnsi="Times New Roman"/>
          <w:sz w:val="21"/>
          <w:szCs w:val="21"/>
          <w:color w:val="auto"/>
        </w:rPr>
        <w:t>”). The Company has, during the previous five-year period as of the date of this Agreement, made its applicable disclosures to users or customers required by applicable laws and regulatory rules or requirements, and none of such disclosures made or contained in any Policy have been in violation of any applicable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25" w:name="page126"/>
    <w:bookmarkEnd w:id="125"/>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legal or regulatory obligation or liability under any Privacy Law.</w:t>
      </w:r>
    </w:p>
    <w:p>
      <w:pPr>
        <w:spacing w:after="0" w:line="184"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73"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the Agent that:</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42" w:lineRule="auto"/>
        <w:tabs>
          <w:tab w:leader="none" w:pos="228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Amendments</w:t>
      </w:r>
      <w:r>
        <w:rPr>
          <w:rFonts w:ascii="Times New Roman" w:cs="Times New Roman" w:eastAsia="Times New Roman" w:hAnsi="Times New Roman"/>
          <w:sz w:val="21"/>
          <w:szCs w:val="21"/>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failure of the Agent to make such request shall not relieve the Company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obligation or liability hereunder, or affect the Agent’s right to rely on the representations and warranties made by the Company in this Agreement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 within a reasonable period of time before the filing and the Agent has not reasonably objected in writing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 described herein;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relating to the Placement Shares to be filed with the Commission as required pursuant to the applicable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6" w:name="page127"/>
    <w:bookmarkEnd w:id="126"/>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 xml:space="preserve">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based on the Company’s reasonable opinion or reasonable objections, shall be made exclusively by the Company).</w:t>
      </w:r>
    </w:p>
    <w:p>
      <w:pPr>
        <w:spacing w:after="0" w:line="177" w:lineRule="exact"/>
        <w:rPr>
          <w:sz w:val="20"/>
          <w:szCs w:val="20"/>
          <w:color w:val="auto"/>
        </w:rPr>
      </w:pPr>
    </w:p>
    <w:p>
      <w:pPr>
        <w:jc w:val="both"/>
        <w:ind w:left="660" w:hanging="652"/>
        <w:spacing w:after="0" w:line="233"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7" w:lineRule="exact"/>
        <w:rPr>
          <w:rFonts w:ascii="Times New Roman" w:cs="Times New Roman" w:eastAsia="Times New Roman" w:hAnsi="Times New Roman"/>
          <w:sz w:val="22"/>
          <w:szCs w:val="22"/>
          <w:color w:val="auto"/>
        </w:rPr>
      </w:pPr>
    </w:p>
    <w:p>
      <w:pPr>
        <w:jc w:val="both"/>
        <w:ind w:left="660" w:hanging="652"/>
        <w:spacing w:after="0" w:line="232"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xml:space="preserve">.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reasonable best efforts to comply with the provisions of and make all requisite filings with the Commission pursuant to said Rule 430B and to notify the Agent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may delay any such amendment or supplement, if, in the reasonable judgement of the Company, it is in the best interests of the Company to do so.</w:t>
      </w:r>
    </w:p>
    <w:p>
      <w:pPr>
        <w:spacing w:after="0" w:line="185"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Prior to the date of the first Placement Notice, the Company will use its reasonable best efforts to cause the Placement Shares to be listed on the Exchange.</w:t>
      </w:r>
    </w:p>
    <w:p>
      <w:pPr>
        <w:spacing w:after="0" w:line="158"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7" w:name="page128"/>
    <w:bookmarkEnd w:id="127"/>
    <w:p>
      <w:pPr>
        <w:jc w:val="both"/>
        <w:ind w:left="652"/>
        <w:spacing w:after="0" w:line="235" w:lineRule="auto"/>
        <w:rPr>
          <w:sz w:val="20"/>
          <w:szCs w:val="20"/>
          <w:color w:val="auto"/>
        </w:rPr>
      </w:pPr>
      <w:r>
        <w:rPr>
          <w:rFonts w:ascii="Times New Roman" w:cs="Times New Roman" w:eastAsia="Times New Roman" w:hAnsi="Times New Roman"/>
          <w:sz w:val="22"/>
          <w:szCs w:val="22"/>
          <w:color w:val="auto"/>
        </w:rPr>
        <w:t xml:space="preserve">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furnish any document (other than the Prospectus)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Agent to the extent such document is available on EDGAR.</w:t>
      </w:r>
    </w:p>
    <w:p>
      <w:pPr>
        <w:spacing w:after="0" w:line="184" w:lineRule="exact"/>
        <w:rPr>
          <w:sz w:val="20"/>
          <w:szCs w:val="20"/>
          <w:color w:val="auto"/>
        </w:rPr>
      </w:pPr>
    </w:p>
    <w:p>
      <w:pPr>
        <w:jc w:val="both"/>
        <w:ind w:left="652" w:hanging="652"/>
        <w:spacing w:after="0" w:line="239" w:lineRule="auto"/>
        <w:tabs>
          <w:tab w:leader="none" w:pos="65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To the extent not otherwise available on EDGAR,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80" w:lineRule="exact"/>
        <w:rPr>
          <w:rFonts w:ascii="Times New Roman" w:cs="Times New Roman" w:eastAsia="Times New Roman" w:hAnsi="Times New Roman"/>
          <w:sz w:val="22"/>
          <w:szCs w:val="22"/>
          <w:color w:val="auto"/>
        </w:rPr>
      </w:pPr>
    </w:p>
    <w:p>
      <w:pPr>
        <w:ind w:left="652" w:hanging="652"/>
        <w:spacing w:after="0" w:line="258" w:lineRule="auto"/>
        <w:tabs>
          <w:tab w:leader="none" w:pos="65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 entitled “Use of Proceeds.”</w:t>
      </w:r>
    </w:p>
    <w:p>
      <w:pPr>
        <w:spacing w:after="0" w:line="158" w:lineRule="exact"/>
        <w:rPr>
          <w:rFonts w:ascii="Times New Roman" w:cs="Times New Roman" w:eastAsia="Times New Roman" w:hAnsi="Times New Roman"/>
          <w:sz w:val="22"/>
          <w:szCs w:val="22"/>
          <w:color w:val="auto"/>
        </w:rPr>
      </w:pPr>
    </w:p>
    <w:p>
      <w:pPr>
        <w:jc w:val="both"/>
        <w:ind w:left="652" w:hanging="652"/>
        <w:spacing w:after="0" w:line="242" w:lineRule="auto"/>
        <w:tabs>
          <w:tab w:leader="none" w:pos="65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Other Sales</w:t>
      </w:r>
      <w:r>
        <w:rPr>
          <w:rFonts w:ascii="Times New Roman" w:cs="Times New Roman" w:eastAsia="Times New Roman" w:hAnsi="Times New Roman"/>
          <w:sz w:val="21"/>
          <w:szCs w:val="21"/>
          <w:color w:val="auto"/>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Trading Day immediately prior to the date on which any Placement Notice is delivered to Agent hereunder and ending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later of the termination of this Agreement and the sixtieth (60th) day immediately following the final Settlement Date with respect to Placement Shares sold pursuant to such Placement Notice;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restrictions will not be required in connection with the Company’s issuance or sale of (i) Common Stock, options to purchase Common Stock or Common Stock issuable upon the exercise of options or any other type of stock-based</w:t>
      </w:r>
    </w:p>
    <w:p>
      <w:pPr>
        <w:spacing w:after="0" w:line="16" w:lineRule="exact"/>
        <w:rPr>
          <w:sz w:val="20"/>
          <w:szCs w:val="20"/>
          <w:color w:val="auto"/>
        </w:rPr>
      </w:pPr>
    </w:p>
    <w:p>
      <w:pPr>
        <w:jc w:val="both"/>
        <w:ind w:left="652"/>
        <w:spacing w:after="0" w:line="230" w:lineRule="auto"/>
        <w:rPr>
          <w:sz w:val="20"/>
          <w:szCs w:val="20"/>
          <w:color w:val="auto"/>
        </w:rPr>
      </w:pPr>
      <w:r>
        <w:rPr>
          <w:rFonts w:ascii="Times New Roman" w:cs="Times New Roman" w:eastAsia="Times New Roman" w:hAnsi="Times New Roman"/>
          <w:sz w:val="22"/>
          <w:szCs w:val="22"/>
          <w:color w:val="auto"/>
        </w:rPr>
        <w:t>award, pursuant to any employee or director stock option or benefits plan, stock ownership plan or dividend reinvestment plan (but not Common Stock subject to a waiver to exceed plan limits in its dividend reinvestment plan) of the Company whether now in effect or hereafter implemented,</w:t>
      </w:r>
    </w:p>
    <w:p>
      <w:pPr>
        <w:spacing w:after="0" w:line="2" w:lineRule="exact"/>
        <w:rPr>
          <w:sz w:val="20"/>
          <w:szCs w:val="20"/>
          <w:color w:val="auto"/>
        </w:rPr>
      </w:pPr>
    </w:p>
    <w:p>
      <w:pPr>
        <w:jc w:val="both"/>
        <w:ind w:left="652" w:hanging="4"/>
        <w:spacing w:after="0" w:line="232" w:lineRule="auto"/>
        <w:tabs>
          <w:tab w:leader="none" w:pos="99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Common Stock issuable upon conversion of securities or the exercise of warrants, options or other rights in effect or outstanding, and disclosed in filings by the Company available on EDGAR or otherwise in writing to the Agent, (iii) a bona fide, firm commitment underwritten public offering,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has suspended sales of Placement Shares at the time of such offering, and (iv) Common Stock or securities convertible into or exchangeable for shares of Common Stock as consideration for mergers, acquisitions, other business combinations, licensing agreements or strategic alliances occurring after the date of this Agreement which are not issued for capital raising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28" w:name="page129"/>
    <w:bookmarkEnd w:id="128"/>
    <w:p>
      <w:pPr>
        <w:jc w:val="both"/>
        <w:ind w:left="660" w:hanging="652"/>
        <w:spacing w:after="0"/>
        <w:tabs>
          <w:tab w:leader="none" w:pos="6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76"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6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During the Term of this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32" w:lineRule="auto"/>
        <w:tabs>
          <w:tab w:leader="none" w:pos="22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with respect to the Placement Shares,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22"/>
          <w:szCs w:val="22"/>
          <w:b w:val="1"/>
          <w:bCs w:val="1"/>
          <w:u w:val="single" w:color="auto"/>
          <w:color w:val="auto"/>
        </w:rPr>
        <w:t>Filing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 which prospectus supplement will set forth, within the relevant period, the amount of Placement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provided, that, unless a prospectus supplement containing such information is required to be filed under the Securities Act, the requirement of this Section 7(k)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7" w:lineRule="exact"/>
        <w:rPr>
          <w:sz w:val="20"/>
          <w:szCs w:val="20"/>
          <w:color w:val="auto"/>
        </w:rPr>
      </w:pPr>
    </w:p>
    <w:p>
      <w:pPr>
        <w:ind w:left="660" w:hanging="652"/>
        <w:spacing w:after="0" w:line="258" w:lineRule="auto"/>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Dates; Certificate</w:t>
      </w:r>
      <w:r>
        <w:rPr>
          <w:rFonts w:ascii="Times New Roman" w:cs="Times New Roman" w:eastAsia="Times New Roman" w:hAnsi="Times New Roman"/>
          <w:sz w:val="22"/>
          <w:szCs w:val="22"/>
          <w:color w:val="auto"/>
        </w:rPr>
        <w:t>. (1) Prior to the date of the first Placement Notice and (2) each time the Company:</w:t>
      </w:r>
    </w:p>
    <w:p>
      <w:pPr>
        <w:spacing w:after="0" w:line="158" w:lineRule="exact"/>
        <w:rPr>
          <w:rFonts w:ascii="Times New Roman" w:cs="Times New Roman" w:eastAsia="Times New Roman" w:hAnsi="Times New Roman"/>
          <w:sz w:val="22"/>
          <w:szCs w:val="22"/>
          <w:color w:val="auto"/>
        </w:rPr>
      </w:pPr>
    </w:p>
    <w:p>
      <w:pPr>
        <w:jc w:val="both"/>
        <w:ind w:left="1300" w:firstLine="4"/>
        <w:spacing w:after="0" w:line="251" w:lineRule="auto"/>
        <w:tabs>
          <w:tab w:leader="none" w:pos="1583"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68" w:lineRule="exact"/>
        <w:rPr>
          <w:rFonts w:ascii="Times New Roman" w:cs="Times New Roman" w:eastAsia="Times New Roman" w:hAnsi="Times New Roman"/>
          <w:sz w:val="21"/>
          <w:szCs w:val="21"/>
          <w:color w:val="auto"/>
        </w:rPr>
      </w:pPr>
    </w:p>
    <w:p>
      <w:pPr>
        <w:jc w:val="both"/>
        <w:ind w:left="1300" w:firstLine="4"/>
        <w:spacing w:after="0" w:line="244" w:lineRule="auto"/>
        <w:tabs>
          <w:tab w:leader="none" w:pos="165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 annual report on Form 10-K under the Exchange Act (including any Form 10-K/A containing amended financial information or a material amendment to the previously filed Form 10-K);</w:t>
      </w:r>
    </w:p>
    <w:p>
      <w:pPr>
        <w:spacing w:after="0" w:line="173"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its quarterly reports on Form 10-Q under the Exchange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9" w:name="page130"/>
    <w:bookmarkEnd w:id="129"/>
    <w:p>
      <w:pPr>
        <w:jc w:val="both"/>
        <w:ind w:left="1300" w:firstLine="4"/>
        <w:spacing w:after="0" w:line="246" w:lineRule="auto"/>
        <w:tabs>
          <w:tab w:leader="none" w:pos="171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w:t>
      </w:r>
    </w:p>
    <w:p>
      <w:pPr>
        <w:spacing w:after="0" w:line="1" w:lineRule="exact"/>
        <w:rPr>
          <w:rFonts w:ascii="Times New Roman" w:cs="Times New Roman" w:eastAsia="Times New Roman" w:hAnsi="Times New Roman"/>
          <w:sz w:val="21"/>
          <w:szCs w:val="21"/>
          <w:color w:val="auto"/>
        </w:rPr>
      </w:pPr>
    </w:p>
    <w:p>
      <w:pPr>
        <w:ind w:left="1560" w:hanging="256"/>
        <w:spacing w:after="0"/>
        <w:tabs>
          <w:tab w:leader="none" w:pos="15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(iv) shall be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the Company shall furnish the Agent (but in the case of clause (iv) above only if the Agent reasonably determines that the information contained in such Form 8-K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shall be waived for any Representation Date occurring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 with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then before the Company delivers the instructions for the sale of Placement Shares or the Agent sells any Placement Shares pursuant to such instructions, the Company shall provide the Agent with a certificate in conformity with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dated as of the date that the instructions for the sale of Placement Shares are issued.</w:t>
      </w:r>
    </w:p>
    <w:p>
      <w:pPr>
        <w:spacing w:after="0" w:line="177" w:lineRule="exact"/>
        <w:rPr>
          <w:sz w:val="20"/>
          <w:szCs w:val="20"/>
          <w:color w:val="auto"/>
        </w:rPr>
      </w:pPr>
    </w:p>
    <w:p>
      <w:pPr>
        <w:jc w:val="both"/>
        <w:ind w:left="660" w:hanging="652"/>
        <w:spacing w:after="0" w:line="244" w:lineRule="auto"/>
        <w:tabs>
          <w:tab w:leader="none" w:pos="6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Opinion</w:t>
      </w:r>
      <w:r>
        <w:rPr>
          <w:rFonts w:ascii="Times New Roman" w:cs="Times New Roman" w:eastAsia="Times New Roman" w:hAnsi="Times New Roman"/>
          <w:sz w:val="21"/>
          <w:szCs w:val="21"/>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 xml:space="preserve"> for which no waiver is applicable and excluding the date of this Agreement, the Company shall cause to be furnished to the Agent a written opinion and negative assurance letter of Lowenstein Sandler LLP (“</w:t>
      </w:r>
      <w:r>
        <w:rPr>
          <w:rFonts w:ascii="Times New Roman" w:cs="Times New Roman" w:eastAsia="Times New Roman" w:hAnsi="Times New Roman"/>
          <w:sz w:val="21"/>
          <w:szCs w:val="21"/>
          <w:b w:val="1"/>
          <w:bCs w:val="1"/>
          <w:u w:val="single" w:color="auto"/>
          <w:color w:val="auto"/>
        </w:rPr>
        <w:t>Company Counsel</w:t>
      </w:r>
      <w:r>
        <w:rPr>
          <w:rFonts w:ascii="Times New Roman" w:cs="Times New Roman" w:eastAsia="Times New Roman" w:hAnsi="Times New Roman"/>
          <w:sz w:val="21"/>
          <w:szCs w:val="21"/>
          <w:color w:val="auto"/>
        </w:rPr>
        <w:t>”), of the Company’s in-house counsel relating to the intellectual property of the Company and its subsidiaries (“</w:t>
      </w:r>
      <w:r>
        <w:rPr>
          <w:rFonts w:ascii="Times New Roman" w:cs="Times New Roman" w:eastAsia="Times New Roman" w:hAnsi="Times New Roman"/>
          <w:sz w:val="21"/>
          <w:szCs w:val="21"/>
          <w:b w:val="1"/>
          <w:bCs w:val="1"/>
          <w:u w:val="single" w:color="auto"/>
          <w:color w:val="auto"/>
        </w:rPr>
        <w:t>IP Counsel</w:t>
      </w:r>
      <w:r>
        <w:rPr>
          <w:rFonts w:ascii="Times New Roman" w:cs="Times New Roman" w:eastAsia="Times New Roman" w:hAnsi="Times New Roman"/>
          <w:sz w:val="21"/>
          <w:szCs w:val="21"/>
          <w:color w:val="auto"/>
        </w:rPr>
        <w:t>”), and of the Company’s in-house counsel relating to the regulatory matters of the Company and its subsidiaries (“</w:t>
      </w:r>
      <w:r>
        <w:rPr>
          <w:rFonts w:ascii="Times New Roman" w:cs="Times New Roman" w:eastAsia="Times New Roman" w:hAnsi="Times New Roman"/>
          <w:sz w:val="21"/>
          <w:szCs w:val="21"/>
          <w:b w:val="1"/>
          <w:bCs w:val="1"/>
          <w:u w:val="single" w:color="auto"/>
          <w:color w:val="auto"/>
        </w:rPr>
        <w:t>Regulatory Counsel</w:t>
      </w:r>
      <w:r>
        <w:rPr>
          <w:rFonts w:ascii="Times New Roman" w:cs="Times New Roman" w:eastAsia="Times New Roman" w:hAnsi="Times New Roman"/>
          <w:sz w:val="21"/>
          <w:szCs w:val="21"/>
          <w:color w:val="auto"/>
        </w:rPr>
        <w:t xml:space="preserve">”), or other counsel reasonably satisfactory to the Agent,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the Company shall be required to furnish to Agent no more than one opinion from each of Company Counsel, IP Counsel and Regulatory Counsel hereunder per calendar quarter;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in lieu of such opinions for subsequent periodic filings under the Exchange Act, counsel may furnish the Agent with a letter (a “</w:t>
      </w:r>
      <w:r>
        <w:rPr>
          <w:rFonts w:ascii="Times New Roman" w:cs="Times New Roman" w:eastAsia="Times New Roman" w:hAnsi="Times New Roman"/>
          <w:sz w:val="21"/>
          <w:szCs w:val="21"/>
          <w:b w:val="1"/>
          <w:bCs w:val="1"/>
          <w:u w:val="single" w:color="auto"/>
          <w:color w:val="auto"/>
        </w:rPr>
        <w:t>Reliance Letter</w:t>
      </w:r>
      <w:r>
        <w:rPr>
          <w:rFonts w:ascii="Times New Roman" w:cs="Times New Roman" w:eastAsia="Times New Roman" w:hAnsi="Times New Roman"/>
          <w:sz w:val="21"/>
          <w:szCs w:val="21"/>
          <w:color w:val="auto"/>
        </w:rPr>
        <w:t xml:space="preserve">”) to the effect that the Agent may rely on a prior opinion delivered under this </w:t>
      </w:r>
      <w:r>
        <w:rPr>
          <w:rFonts w:ascii="Times New Roman" w:cs="Times New Roman" w:eastAsia="Times New Roman" w:hAnsi="Times New Roman"/>
          <w:sz w:val="21"/>
          <w:szCs w:val="21"/>
          <w:u w:val="single" w:color="auto"/>
          <w:color w:val="auto"/>
        </w:rPr>
        <w:t>Section 7(m)</w:t>
      </w:r>
      <w:r>
        <w:rPr>
          <w:rFonts w:ascii="Times New Roman" w:cs="Times New Roman" w:eastAsia="Times New Roman" w:hAnsi="Times New Roman"/>
          <w:sz w:val="21"/>
          <w:szCs w:val="21"/>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73" w:lineRule="exact"/>
        <w:rPr>
          <w:rFonts w:ascii="Times New Roman" w:cs="Times New Roman" w:eastAsia="Times New Roman" w:hAnsi="Times New Roman"/>
          <w:sz w:val="21"/>
          <w:szCs w:val="21"/>
          <w:color w:val="auto"/>
        </w:rPr>
      </w:pPr>
    </w:p>
    <w:p>
      <w:pPr>
        <w:jc w:val="both"/>
        <w:ind w:left="660" w:hanging="652"/>
        <w:spacing w:after="0" w:line="244" w:lineRule="auto"/>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for which no waiver is applicable and excluding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30" w:name="page131"/>
    <w:bookmarkEnd w:id="130"/>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date of this Agreement, the Company shall cause its independent registered public accounting firm to furnish the Agent letters (the “</w:t>
      </w:r>
      <w:r>
        <w:rPr>
          <w:rFonts w:ascii="Times New Roman" w:cs="Times New Roman" w:eastAsia="Times New Roman" w:hAnsi="Times New Roman"/>
          <w:sz w:val="21"/>
          <w:szCs w:val="21"/>
          <w:b w:val="1"/>
          <w:bCs w:val="1"/>
          <w:u w:val="single" w:color="auto"/>
          <w:color w:val="auto"/>
        </w:rPr>
        <w:t>Comfort Letters</w:t>
      </w:r>
      <w:r>
        <w:rPr>
          <w:rFonts w:ascii="Times New Roman" w:cs="Times New Roman" w:eastAsia="Times New Roman" w:hAnsi="Times New Roman"/>
          <w:sz w:val="21"/>
          <w:szCs w:val="21"/>
          <w:color w:val="auto"/>
        </w:rPr>
        <w:t xml:space="preserve">”), dated the date the Comfort Letter is delivered, which shall meet the requirements set forth in this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requested by the Agent, the Company shall cause a Comfort Letter to be furnished to the Agent within ten (10) Trading Days of the date of occurrence of any material transaction or event requiring the filing of a Current Report on Form 8-K containing financial information (including the restatement of the Company’s financial statements). The Comfort Letter from the Company’s independent registered public accounting firm shall be in a form and substance reasonably satisfactory to the Agent, (i) confirming that they are an independent registered public accounting firm within the meaning of the Securities Act and the Public Company Accounting Oversight Board (“</w:t>
      </w:r>
      <w:r>
        <w:rPr>
          <w:rFonts w:ascii="Times New Roman" w:cs="Times New Roman" w:eastAsia="Times New Roman" w:hAnsi="Times New Roman"/>
          <w:sz w:val="21"/>
          <w:szCs w:val="21"/>
          <w:b w:val="1"/>
          <w:bCs w:val="1"/>
          <w:u w:val="single" w:color="auto"/>
          <w:color w:val="auto"/>
        </w:rPr>
        <w:t>PCAOB</w:t>
      </w:r>
      <w:r>
        <w:rPr>
          <w:rFonts w:ascii="Times New Roman" w:cs="Times New Roman" w:eastAsia="Times New Roman" w:hAnsi="Times New Roman"/>
          <w:sz w:val="21"/>
          <w:szCs w:val="21"/>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21"/>
          <w:szCs w:val="21"/>
          <w:b w:val="1"/>
          <w:bCs w:val="1"/>
          <w:u w:val="single" w:color="auto"/>
          <w:color w:val="auto"/>
        </w:rPr>
        <w:t>Initial Comfort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Letter</w:t>
      </w:r>
      <w:r>
        <w:rPr>
          <w:rFonts w:ascii="Times New Roman" w:cs="Times New Roman" w:eastAsia="Times New Roman" w:hAnsi="Times New Roman"/>
          <w:sz w:val="21"/>
          <w:szCs w:val="21"/>
          <w:color w:val="auto"/>
        </w:rPr>
        <w:t>”) and (iii) updating the Initial Comfort Letter with any information that would have been included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Initial Comfort Letter had it been given on such date and modified as necessary to relate to the Registration Statement and the Prospectus, as amended and supplemented to the date of such letter.</w:t>
      </w:r>
    </w:p>
    <w:p>
      <w:pPr>
        <w:spacing w:after="0" w:line="179" w:lineRule="exact"/>
        <w:rPr>
          <w:sz w:val="20"/>
          <w:szCs w:val="20"/>
          <w:color w:val="auto"/>
        </w:rPr>
      </w:pPr>
    </w:p>
    <w:p>
      <w:pPr>
        <w:jc w:val="both"/>
        <w:ind w:left="660" w:hanging="652"/>
        <w:spacing w:after="0" w:line="251" w:lineRule="auto"/>
        <w:tabs>
          <w:tab w:leader="none" w:pos="6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Market Activities; Compliance with Regulation M</w:t>
      </w:r>
      <w:r>
        <w:rPr>
          <w:rFonts w:ascii="Times New Roman" w:cs="Times New Roman" w:eastAsia="Times New Roman" w:hAnsi="Times New Roman"/>
          <w:sz w:val="21"/>
          <w:szCs w:val="21"/>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p>
      <w:pPr>
        <w:spacing w:after="0" w:line="168" w:lineRule="exact"/>
        <w:rPr>
          <w:rFonts w:ascii="Times New Roman" w:cs="Times New Roman" w:eastAsia="Times New Roman" w:hAnsi="Times New Roman"/>
          <w:sz w:val="21"/>
          <w:szCs w:val="21"/>
          <w:color w:val="auto"/>
        </w:rPr>
      </w:pPr>
    </w:p>
    <w:p>
      <w:pPr>
        <w:jc w:val="both"/>
        <w:ind w:left="660" w:hanging="652"/>
        <w:spacing w:after="0" w:line="239" w:lineRule="auto"/>
        <w:tabs>
          <w:tab w:leader="none" w:pos="6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6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7" w:lineRule="exact"/>
        <w:rPr>
          <w:rFonts w:ascii="Times New Roman" w:cs="Times New Roman" w:eastAsia="Times New Roman" w:hAnsi="Times New Roman"/>
          <w:sz w:val="22"/>
          <w:szCs w:val="22"/>
          <w:color w:val="auto"/>
        </w:rPr>
      </w:pPr>
    </w:p>
    <w:p>
      <w:pPr>
        <w:jc w:val="both"/>
        <w:ind w:left="660" w:hanging="652"/>
        <w:spacing w:after="0" w:line="234" w:lineRule="auto"/>
        <w:tabs>
          <w:tab w:leader="none" w:pos="6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Sky and Other Qualifications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1" w:name="page132"/>
    <w:bookmarkEnd w:id="131"/>
    <w:p>
      <w:pPr>
        <w:jc w:val="both"/>
        <w:ind w:left="652"/>
        <w:spacing w:after="0" w:line="244" w:lineRule="auto"/>
        <w:rPr>
          <w:sz w:val="20"/>
          <w:szCs w:val="20"/>
          <w:color w:val="auto"/>
        </w:rPr>
      </w:pPr>
      <w:r>
        <w:rPr>
          <w:rFonts w:ascii="Times New Roman" w:cs="Times New Roman" w:eastAsia="Times New Roman" w:hAnsi="Times New Roman"/>
          <w:sz w:val="22"/>
          <w:szCs w:val="22"/>
          <w:color w:val="auto"/>
        </w:rPr>
        <w:t>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74" w:lineRule="exact"/>
        <w:rPr>
          <w:sz w:val="20"/>
          <w:szCs w:val="20"/>
          <w:color w:val="auto"/>
        </w:rPr>
      </w:pPr>
    </w:p>
    <w:p>
      <w:pPr>
        <w:jc w:val="both"/>
        <w:ind w:left="652" w:hanging="652"/>
        <w:spacing w:after="0" w:line="232" w:lineRule="auto"/>
        <w:tabs>
          <w:tab w:leader="none" w:pos="65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4" w:lineRule="auto"/>
        <w:tabs>
          <w:tab w:leader="none" w:pos="65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 Further Documentation</w:t>
      </w:r>
      <w:r>
        <w:rPr>
          <w:rFonts w:ascii="Times New Roman" w:cs="Times New Roman" w:eastAsia="Times New Roman" w:hAnsi="Times New Roman"/>
          <w:sz w:val="22"/>
          <w:szCs w:val="22"/>
          <w:color w:val="auto"/>
        </w:rPr>
        <w:t>. On or prior to the date of the first Placement Notice, the Company shall deliver to the Agent a certificate of the Secretary of the Company and attested to by an executive officer of the Company, dated as of such date, certifying as to (i) the Third Restated Certificate of Incorporation of the Company, as amended, (ii) the Second Amended and Restated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p>
      <w:pPr>
        <w:spacing w:after="0" w:line="179"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52" w:firstLine="644"/>
        <w:spacing w:after="0" w:line="236" w:lineRule="auto"/>
        <w:tabs>
          <w:tab w:leader="none" w:pos="162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color w:val="auto"/>
        </w:rPr>
        <w:t>.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reasonably deem necessary, (ii) the printing and delivery to the Agent of this Agreement and such other documents as may be required in connection with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32" w:name="page133"/>
    <w:bookmarkEnd w:id="132"/>
    <w:p>
      <w:pPr>
        <w:jc w:val="both"/>
        <w:ind w:left="660"/>
        <w:spacing w:after="0" w:line="243" w:lineRule="auto"/>
        <w:rPr>
          <w:sz w:val="20"/>
          <w:szCs w:val="20"/>
          <w:color w:val="auto"/>
        </w:rPr>
      </w:pPr>
      <w:r>
        <w:rPr>
          <w:rFonts w:ascii="Times New Roman" w:cs="Times New Roman" w:eastAsia="Times New Roman" w:hAnsi="Times New Roman"/>
          <w:sz w:val="21"/>
          <w:szCs w:val="21"/>
          <w:color w:val="auto"/>
        </w:rPr>
        <w:t xml:space="preserve">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expenses of Agent including but not limited to the fees and expenses of the counsel to the Agent, payable upon the execution of this Agreement, (a) in an amount not to exceed $75,000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 xml:space="preserve"> for which no waiver is applicable and excluding the date of this Agreement, and (c) in an amount not to exceed $50,000 for each program “refresh” (filing of a new registration statement, prospectus or prospectus supplement relating to the Placement Shares and/or an amendment of this Agreement) executed pursuant to this Agreement,</w:t>
      </w:r>
    </w:p>
    <w:p>
      <w:pPr>
        <w:spacing w:after="0" w:line="7" w:lineRule="exact"/>
        <w:rPr>
          <w:sz w:val="20"/>
          <w:szCs w:val="20"/>
          <w:color w:val="auto"/>
        </w:rPr>
      </w:pPr>
    </w:p>
    <w:p>
      <w:pPr>
        <w:jc w:val="both"/>
        <w:ind w:left="660" w:hanging="4"/>
        <w:spacing w:after="0" w:line="241" w:lineRule="auto"/>
        <w:tabs>
          <w:tab w:leader="none" w:pos="1036"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qualification or exemption of the Placement Shares under state securities laws in accordance with the provisions of </w:t>
      </w:r>
      <w:r>
        <w:rPr>
          <w:rFonts w:ascii="Times New Roman" w:cs="Times New Roman" w:eastAsia="Times New Roman" w:hAnsi="Times New Roman"/>
          <w:sz w:val="21"/>
          <w:szCs w:val="21"/>
          <w:u w:val="single" w:color="auto"/>
          <w:color w:val="auto"/>
        </w:rPr>
        <w:t>Section 7(r)</w:t>
      </w:r>
      <w:r>
        <w:rPr>
          <w:rFonts w:ascii="Times New Roman" w:cs="Times New Roman" w:eastAsia="Times New Roman" w:hAnsi="Times New Roman"/>
          <w:sz w:val="21"/>
          <w:szCs w:val="21"/>
          <w:color w:val="auto"/>
        </w:rPr>
        <w:t xml:space="preserve"> hereof, including filing fees, but excluding fees of the Agent’s counsel,</w:t>
      </w:r>
    </w:p>
    <w:p>
      <w:pPr>
        <w:spacing w:after="0" w:line="1" w:lineRule="exact"/>
        <w:rPr>
          <w:rFonts w:ascii="Times New Roman" w:cs="Times New Roman" w:eastAsia="Times New Roman" w:hAnsi="Times New Roman"/>
          <w:sz w:val="21"/>
          <w:szCs w:val="21"/>
          <w:color w:val="auto"/>
        </w:rPr>
      </w:pPr>
    </w:p>
    <w:p>
      <w:pPr>
        <w:jc w:val="both"/>
        <w:ind w:left="660" w:hanging="4"/>
        <w:spacing w:after="0" w:line="241" w:lineRule="auto"/>
        <w:tabs>
          <w:tab w:leader="none" w:pos="109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printing and delivery to the Agent of copies of any Permitted Issuer Free Writing Prospectus and the Prospectus and any amendments or supplements thereto in such number as the Agent shall reasonably deem necessary, (viii) the preparation, printing and delivery to the Agent of copies of the blue sky survey,</w:t>
      </w:r>
    </w:p>
    <w:p>
      <w:pPr>
        <w:spacing w:after="0" w:line="1" w:lineRule="exact"/>
        <w:rPr>
          <w:rFonts w:ascii="Times New Roman" w:cs="Times New Roman" w:eastAsia="Times New Roman" w:hAnsi="Times New Roman"/>
          <w:sz w:val="21"/>
          <w:szCs w:val="21"/>
          <w:color w:val="auto"/>
        </w:rPr>
      </w:pPr>
    </w:p>
    <w:p>
      <w:pPr>
        <w:jc w:val="both"/>
        <w:ind w:left="660" w:hanging="4"/>
        <w:spacing w:after="0" w:line="232" w:lineRule="auto"/>
        <w:tabs>
          <w:tab w:leader="none" w:pos="102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The Company agrees to pay the fees and expenses of counsel to the Agent set forth in clause (v) above by check directly to such counsel within 30 days of presentation to the attention of Sam Martin, Senior Vice President and Chief Financial Officer of the Company (via email to smartin@celldex.com and </w:t>
      </w:r>
      <w:r>
        <w:rPr>
          <w:rFonts w:ascii="Times New Roman" w:cs="Times New Roman" w:eastAsia="Times New Roman" w:hAnsi="Times New Roman"/>
          <w:sz w:val="22"/>
          <w:szCs w:val="22"/>
          <w:u w:val="single" w:color="auto"/>
          <w:color w:val="auto"/>
        </w:rPr>
        <w:t>ap@celldex.com</w:t>
      </w:r>
      <w:r>
        <w:rPr>
          <w:rFonts w:ascii="Times New Roman" w:cs="Times New Roman" w:eastAsia="Times New Roman" w:hAnsi="Times New Roman"/>
          <w:sz w:val="22"/>
          <w:szCs w:val="22"/>
          <w:color w:val="auto"/>
        </w:rPr>
        <w:t>) of an invoice containing the requisite payment information prepared by such counsel.</w:t>
      </w:r>
    </w:p>
    <w:p>
      <w:pPr>
        <w:spacing w:after="0" w:line="179"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6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Agent’s Obligations</w:t>
      </w:r>
      <w:r>
        <w:rPr>
          <w:rFonts w:ascii="Times New Roman" w:cs="Times New Roman" w:eastAsia="Times New Roman" w:hAnsi="Times New Roman"/>
          <w:sz w:val="22"/>
          <w:szCs w:val="22"/>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spacing w:after="0" w:line="181" w:lineRule="exact"/>
        <w:rPr>
          <w:sz w:val="20"/>
          <w:szCs w:val="20"/>
          <w:color w:val="auto"/>
        </w:rPr>
      </w:pPr>
    </w:p>
    <w:p>
      <w:pPr>
        <w:jc w:val="both"/>
        <w:ind w:left="660" w:hanging="652"/>
        <w:spacing w:after="0" w:line="244" w:lineRule="auto"/>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have become effective and shall be available for the (i) resale of all Placement Shares issued to the Agent and not yet sold by the Agent and (ii) sale of all Placement Shares contemplated to be issued by any Placement Notice.</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5" w:lineRule="auto"/>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3" w:name="page134"/>
    <w:bookmarkEnd w:id="133"/>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78" w:lineRule="exact"/>
        <w:rPr>
          <w:sz w:val="20"/>
          <w:szCs w:val="20"/>
          <w:color w:val="auto"/>
        </w:rPr>
      </w:pPr>
    </w:p>
    <w:p>
      <w:pPr>
        <w:jc w:val="both"/>
        <w:ind w:left="660" w:hanging="652"/>
        <w:spacing w:after="0" w:line="238" w:lineRule="auto"/>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could be reasonably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7" w:lineRule="exact"/>
        <w:rPr>
          <w:rFonts w:ascii="Times New Roman" w:cs="Times New Roman" w:eastAsia="Times New Roman" w:hAnsi="Times New Roman"/>
          <w:sz w:val="22"/>
          <w:szCs w:val="22"/>
          <w:color w:val="auto"/>
        </w:rPr>
      </w:pPr>
    </w:p>
    <w:p>
      <w:pPr>
        <w:jc w:val="both"/>
        <w:ind w:left="660" w:right="20" w:hanging="652"/>
        <w:spacing w:after="0" w:line="244" w:lineRule="auto"/>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xml:space="preserve">. The Agent shall have received the opinions and negative assurance letter of Company Counsel, IP Counsel and Regulatory Counsel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such delivery of such opinions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The Agent shall have received the Comfort Letter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Certificate</w:t>
      </w:r>
      <w:r>
        <w:rPr>
          <w:rFonts w:ascii="Times New Roman" w:cs="Times New Roman" w:eastAsia="Times New Roman" w:hAnsi="Times New Roman"/>
          <w:sz w:val="22"/>
          <w:szCs w:val="22"/>
          <w:color w:val="auto"/>
        </w:rPr>
        <w:t xml:space="preserve">. The Agent shall have received the certificate required to be delivered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7(l)</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the Exchange and the Common Stock shall not have been delisted from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4" w:name="page135"/>
    <w:bookmarkEnd w:id="134"/>
    <w:p>
      <w:pPr>
        <w:jc w:val="both"/>
        <w:ind w:left="660" w:hanging="652"/>
        <w:spacing w:after="0" w:line="238" w:lineRule="auto"/>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the Company shall have furnished to the Agent such appropriate further information, opinions, certificates, letters and other documents as the Agent may reasonably request and which are customarily furnished by an issuer of securities in connection with a securities offering. All such opinions, certificates, letters and other documents will be in compliance with the provisions hereof.</w:t>
      </w:r>
    </w:p>
    <w:p>
      <w:pPr>
        <w:spacing w:after="0" w:line="177"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w:t>
      </w:r>
      <w:r>
        <w:rPr>
          <w:rFonts w:ascii="Times New Roman" w:cs="Times New Roman" w:eastAsia="Times New Roman" w:hAnsi="Times New Roman"/>
          <w:sz w:val="22"/>
          <w:szCs w:val="22"/>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80"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If applicable, FINRA shall have raised no objection to the terms of this offering and the amount of compensation allowable or payable to the Agent as described in the Prospectus.</w:t>
      </w:r>
    </w:p>
    <w:p>
      <w:pPr>
        <w:spacing w:after="0" w:line="158"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the Agent to terminate this Agreement pursuant to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2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Indemnification</w:t>
      </w:r>
      <w:r>
        <w:rPr>
          <w:rFonts w:ascii="Times New Roman" w:cs="Times New Roman" w:eastAsia="Times New Roman" w:hAnsi="Times New Roman"/>
          <w:sz w:val="22"/>
          <w:szCs w:val="22"/>
          <w:color w:val="auto"/>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spacing w:after="0" w:line="180" w:lineRule="exact"/>
        <w:rPr>
          <w:rFonts w:ascii="Times New Roman" w:cs="Times New Roman" w:eastAsia="Times New Roman" w:hAnsi="Times New Roman"/>
          <w:sz w:val="22"/>
          <w:szCs w:val="22"/>
          <w:color w:val="auto"/>
        </w:rPr>
      </w:pPr>
    </w:p>
    <w:p>
      <w:pPr>
        <w:jc w:val="both"/>
        <w:ind w:left="660" w:firstLine="1616"/>
        <w:spacing w:after="0" w:line="234" w:lineRule="auto"/>
        <w:tabs>
          <w:tab w:leader="none" w:pos="2604"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22"/>
          <w:szCs w:val="22"/>
          <w:color w:val="auto"/>
        </w:rPr>
      </w:pPr>
    </w:p>
    <w:p>
      <w:pPr>
        <w:jc w:val="both"/>
        <w:ind w:left="660" w:firstLine="1616"/>
        <w:spacing w:after="0" w:line="249" w:lineRule="auto"/>
        <w:tabs>
          <w:tab w:leader="none" w:pos="2604" w:val="left"/>
        </w:tabs>
        <w:numPr>
          <w:ilvl w:val="2"/>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(subject to </w:t>
      </w:r>
      <w:r>
        <w:rPr>
          <w:rFonts w:ascii="Times New Roman" w:cs="Times New Roman" w:eastAsia="Times New Roman" w:hAnsi="Times New Roman"/>
          <w:sz w:val="21"/>
          <w:szCs w:val="21"/>
          <w:u w:val="single" w:color="auto"/>
          <w:color w:val="auto"/>
        </w:rPr>
        <w:t>Section 10(d)</w:t>
      </w:r>
      <w:r>
        <w:rPr>
          <w:rFonts w:ascii="Times New Roman" w:cs="Times New Roman" w:eastAsia="Times New Roman" w:hAnsi="Times New Roman"/>
          <w:sz w:val="21"/>
          <w:szCs w:val="21"/>
          <w:color w:val="auto"/>
        </w:rPr>
        <w:t xml:space="preserve"> below) any such settlement is effected with the written consent of the Company, which consent shall not unreasonably be delayed or withheld;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5" w:name="page136"/>
    <w:bookmarkEnd w:id="135"/>
    <w:p>
      <w:pPr>
        <w:jc w:val="both"/>
        <w:ind w:left="200" w:firstLine="1616"/>
        <w:spacing w:after="0" w:line="236" w:lineRule="auto"/>
        <w:tabs>
          <w:tab w:leader="none" w:pos="246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8" w:lineRule="exact"/>
        <w:rPr>
          <w:sz w:val="20"/>
          <w:szCs w:val="20"/>
          <w:color w:val="auto"/>
        </w:rPr>
      </w:pPr>
    </w:p>
    <w:p>
      <w:pPr>
        <w:jc w:val="both"/>
        <w:ind w:left="200"/>
        <w:spacing w:after="0" w:line="24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this indemnity agreement shall not apply to any loss, liability, claim, damage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 to the extent arising out of any untrue statement or omission or alleged untrue statement or omission made solely in reliance upon and in conformity with the Agent Information (as defined below).</w:t>
      </w:r>
    </w:p>
    <w:p>
      <w:pPr>
        <w:spacing w:after="0" w:line="171" w:lineRule="exact"/>
        <w:rPr>
          <w:sz w:val="20"/>
          <w:szCs w:val="20"/>
          <w:color w:val="auto"/>
        </w:rPr>
      </w:pPr>
    </w:p>
    <w:p>
      <w:pPr>
        <w:jc w:val="both"/>
        <w:ind w:left="200" w:firstLine="1292"/>
        <w:spacing w:after="0" w:line="233" w:lineRule="auto"/>
        <w:tabs>
          <w:tab w:leader="none" w:pos="182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Indemnification</w:t>
      </w:r>
      <w:r>
        <w:rPr>
          <w:rFonts w:ascii="Times New Roman" w:cs="Times New Roman" w:eastAsia="Times New Roman" w:hAnsi="Times New Roman"/>
          <w:sz w:val="22"/>
          <w:szCs w:val="22"/>
          <w:color w:val="auto"/>
        </w:rPr>
        <w:t xml:space="preserv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amendment or supplement thereto)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Information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200" w:firstLine="1292"/>
        <w:spacing w:after="0" w:line="246" w:lineRule="auto"/>
        <w:tabs>
          <w:tab w:leader="none" w:pos="182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 xml:space="preserve">. Any party that proposes to assert the right to be indemnified under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notify each such indemnifying party of the commencement of such action, enclosing a copy of all papers served, but the omission so to notify such indemnifying party will not relieve the indemnifying party from</w:t>
      </w:r>
    </w:p>
    <w:p>
      <w:pPr>
        <w:spacing w:after="0" w:line="1" w:lineRule="exact"/>
        <w:rPr>
          <w:rFonts w:ascii="Times New Roman" w:cs="Times New Roman" w:eastAsia="Times New Roman" w:hAnsi="Times New Roman"/>
          <w:sz w:val="21"/>
          <w:szCs w:val="21"/>
          <w:color w:val="auto"/>
        </w:rPr>
      </w:pPr>
    </w:p>
    <w:p>
      <w:pPr>
        <w:ind w:left="500" w:hanging="304"/>
        <w:spacing w:after="0" w:line="230" w:lineRule="auto"/>
        <w:tabs>
          <w:tab w:leader="none" w:pos="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liability that it might have to any indemnified party otherwise than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and</w:t>
      </w:r>
    </w:p>
    <w:p>
      <w:pPr>
        <w:jc w:val="both"/>
        <w:ind w:left="200" w:hanging="4"/>
        <w:spacing w:after="0" w:line="243" w:lineRule="auto"/>
        <w:tabs>
          <w:tab w:leader="none" w:pos="52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liability that it may have to any indemnified party under the foregoing provision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36" w:name="page137"/>
    <w:bookmarkEnd w:id="136"/>
    <w:p>
      <w:pPr>
        <w:jc w:val="both"/>
        <w:ind w:left="200"/>
        <w:spacing w:after="0" w:line="242" w:lineRule="auto"/>
        <w:rPr>
          <w:sz w:val="20"/>
          <w:szCs w:val="20"/>
          <w:color w:val="auto"/>
        </w:rPr>
      </w:pPr>
      <w:r>
        <w:rPr>
          <w:rFonts w:ascii="Times New Roman" w:cs="Times New Roman" w:eastAsia="Times New Roman" w:hAnsi="Times New Roman"/>
          <w:sz w:val="21"/>
          <w:szCs w:val="21"/>
          <w:color w:val="auto"/>
        </w:rPr>
        <w:t xml:space="preserve">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(whether or not any indemnified party is a party thereto), unless such settlement, compromise or consent</w:t>
      </w:r>
    </w:p>
    <w:p>
      <w:pPr>
        <w:spacing w:after="0" w:line="14" w:lineRule="exact"/>
        <w:rPr>
          <w:sz w:val="20"/>
          <w:szCs w:val="20"/>
          <w:color w:val="auto"/>
        </w:rPr>
      </w:pPr>
    </w:p>
    <w:p>
      <w:pPr>
        <w:jc w:val="both"/>
        <w:ind w:left="200" w:hanging="4"/>
        <w:spacing w:after="0" w:line="234" w:lineRule="auto"/>
        <w:tabs>
          <w:tab w:leader="none" w:pos="55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73" w:lineRule="exact"/>
        <w:rPr>
          <w:rFonts w:ascii="Times New Roman" w:cs="Times New Roman" w:eastAsia="Times New Roman" w:hAnsi="Times New Roman"/>
          <w:sz w:val="22"/>
          <w:szCs w:val="22"/>
          <w:color w:val="auto"/>
        </w:rPr>
      </w:pPr>
    </w:p>
    <w:p>
      <w:pPr>
        <w:jc w:val="both"/>
        <w:ind w:left="200" w:firstLine="1292"/>
        <w:spacing w:after="0" w:line="235" w:lineRule="auto"/>
        <w:tabs>
          <w:tab w:leader="none" w:pos="182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Without Consent if Failure to Reimburse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22"/>
          <w:szCs w:val="22"/>
          <w:u w:val="single" w:color="auto"/>
          <w:color w:val="auto"/>
        </w:rPr>
        <w:t>Section 10(a)(ii)</w:t>
      </w:r>
      <w:r>
        <w:rPr>
          <w:rFonts w:ascii="Times New Roman" w:cs="Times New Roman" w:eastAsia="Times New Roman" w:hAnsi="Times New Roman"/>
          <w:sz w:val="22"/>
          <w:szCs w:val="22"/>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2" w:lineRule="exact"/>
        <w:rPr>
          <w:rFonts w:ascii="Times New Roman" w:cs="Times New Roman" w:eastAsia="Times New Roman" w:hAnsi="Times New Roman"/>
          <w:sz w:val="22"/>
          <w:szCs w:val="22"/>
          <w:color w:val="auto"/>
        </w:rPr>
      </w:pPr>
    </w:p>
    <w:p>
      <w:pPr>
        <w:jc w:val="both"/>
        <w:ind w:left="200" w:firstLine="1292"/>
        <w:spacing w:after="0" w:line="235" w:lineRule="auto"/>
        <w:tabs>
          <w:tab w:leader="none" w:pos="182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37" w:name="page138"/>
    <w:bookmarkEnd w:id="137"/>
    <w:p>
      <w:pPr>
        <w:jc w:val="both"/>
        <w:ind w:left="200"/>
        <w:spacing w:after="0" w:line="231" w:lineRule="auto"/>
        <w:rPr>
          <w:sz w:val="20"/>
          <w:szCs w:val="20"/>
          <w:color w:val="auto"/>
        </w:rPr>
      </w:pPr>
      <w:r>
        <w:rPr>
          <w:rFonts w:ascii="Times New Roman" w:cs="Times New Roman" w:eastAsia="Times New Roman" w:hAnsi="Times New Roman"/>
          <w:sz w:val="22"/>
          <w:szCs w:val="22"/>
          <w:color w:val="auto"/>
        </w:rPr>
        <w:t xml:space="preserve">meaning of the Securities Act, officers of the Company who signed the Registration Statement and directors of the Company, who may also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shall be deemed to include, for the purpose of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hereof. Notwithstanding the foregoing provisions of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the Agent shall not be required to contribute any amount in excess of the commissions actually received by it under this Agreement and no person found guilty of fraudulent misrepresentation (within the meaning of </w:t>
      </w:r>
      <w:r>
        <w:rPr>
          <w:rFonts w:ascii="Times New Roman" w:cs="Times New Roman" w:eastAsia="Times New Roman" w:hAnsi="Times New Roman"/>
          <w:sz w:val="22"/>
          <w:szCs w:val="22"/>
          <w:u w:val="single" w:color="auto"/>
          <w:color w:val="auto"/>
        </w:rPr>
        <w:t>Section 11(f)</w:t>
      </w:r>
      <w:r>
        <w:rPr>
          <w:rFonts w:ascii="Times New Roman" w:cs="Times New Roman" w:eastAsia="Times New Roman" w:hAnsi="Times New Roman"/>
          <w:sz w:val="22"/>
          <w:szCs w:val="22"/>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38" w:name="page139"/>
    <w:bookmarkEnd w:id="138"/>
    <w:p>
      <w:pPr>
        <w:jc w:val="both"/>
        <w:ind w:left="652" w:hanging="652"/>
        <w:spacing w:after="0" w:line="236" w:lineRule="auto"/>
        <w:tabs>
          <w:tab w:leader="none" w:pos="6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8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52" w:hanging="652"/>
        <w:spacing w:after="0"/>
        <w:tabs>
          <w:tab w:leader="none" w:pos="6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may terminate this Agreement, by notice to the Company, as hereinafter specified at any time</w:t>
      </w:r>
    </w:p>
    <w:p>
      <w:pPr>
        <w:spacing w:after="0" w:line="14" w:lineRule="exact"/>
        <w:rPr>
          <w:rFonts w:ascii="Times New Roman" w:cs="Times New Roman" w:eastAsia="Times New Roman" w:hAnsi="Times New Roman"/>
          <w:sz w:val="22"/>
          <w:szCs w:val="22"/>
          <w:color w:val="auto"/>
        </w:rPr>
      </w:pPr>
    </w:p>
    <w:p>
      <w:pPr>
        <w:jc w:val="both"/>
        <w:ind w:left="652" w:hanging="4"/>
        <w:spacing w:after="0" w:line="231" w:lineRule="auto"/>
        <w:tabs>
          <w:tab w:leader="none" w:pos="1009"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(Consent to Jurisdiction) hereof shall remain in full force and effect notwithstanding such termination. If the Agent elects to terminate this Agreement as provided in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the Agent shall provide the required notice as specified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(Notices).</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44" w:lineRule="auto"/>
        <w:tabs>
          <w:tab w:leader="none" w:pos="6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39" w:name="page140"/>
    <w:bookmarkEnd w:id="139"/>
    <w:p>
      <w:pPr>
        <w:ind w:left="652"/>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59" w:lineRule="exact"/>
        <w:rPr>
          <w:sz w:val="20"/>
          <w:szCs w:val="20"/>
          <w:color w:val="auto"/>
        </w:rPr>
      </w:pPr>
    </w:p>
    <w:p>
      <w:pPr>
        <w:ind w:left="652" w:hanging="652"/>
        <w:spacing w:after="0"/>
        <w:tabs>
          <w:tab w:leader="none" w:pos="6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or</w:t>
      </w:r>
    </w:p>
    <w:p>
      <w:pPr>
        <w:spacing w:after="0" w:line="14" w:lineRule="exact"/>
        <w:rPr>
          <w:rFonts w:ascii="Times New Roman" w:cs="Times New Roman" w:eastAsia="Times New Roman" w:hAnsi="Times New Roman"/>
          <w:sz w:val="22"/>
          <w:szCs w:val="22"/>
          <w:color w:val="auto"/>
        </w:rPr>
      </w:pPr>
    </w:p>
    <w:p>
      <w:pPr>
        <w:jc w:val="both"/>
        <w:ind w:left="652"/>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above or otherwise by mutual agreement of the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any such termination by mutual agreement shall in all cases be deemed to provide that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xml:space="preserve"> shall remain in full force and effect. Upon termination of this Agreement, the Company shall not have any liability to the Agent for any discount, commission, or other compensation with respect to any Placement Shares not previously or otherwise sold by the Agent under this Agreement.</w:t>
      </w:r>
    </w:p>
    <w:p>
      <w:pPr>
        <w:spacing w:after="0" w:line="174"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termination shall not be effective until the close of business on the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77" w:lineRule="exact"/>
        <w:rPr>
          <w:sz w:val="20"/>
          <w:szCs w:val="20"/>
          <w:color w:val="auto"/>
        </w:rPr>
      </w:pPr>
    </w:p>
    <w:p>
      <w:pPr>
        <w:jc w:val="both"/>
        <w:ind w:left="652" w:right="20" w:hanging="652"/>
        <w:spacing w:after="0" w:line="244" w:lineRule="auto"/>
        <w:tabs>
          <w:tab w:leader="none" w:pos="65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73"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110 East 59</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Street</w:t>
      </w:r>
    </w:p>
    <w:p>
      <w:pPr>
        <w:ind w:left="2652"/>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2652"/>
        <w:spacing w:after="0" w:line="231" w:lineRule="auto"/>
        <w:tabs>
          <w:tab w:leader="none" w:pos="4011"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Capital Markets</w:t>
      </w:r>
    </w:p>
    <w:p>
      <w:pPr>
        <w:ind w:left="2652"/>
        <w:spacing w:after="0"/>
        <w:tabs>
          <w:tab w:leader="none" w:pos="4011"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CFCEO@cantor.com</w:t>
      </w:r>
    </w:p>
    <w:p>
      <w:pPr>
        <w:spacing w:after="0" w:line="20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110 East 59</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Street</w:t>
      </w:r>
    </w:p>
    <w:p>
      <w:pPr>
        <w:ind w:left="2652"/>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2652"/>
        <w:spacing w:after="0" w:line="231" w:lineRule="auto"/>
        <w:tabs>
          <w:tab w:leader="none" w:pos="4011"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General Counsel</w:t>
      </w:r>
    </w:p>
    <w:p>
      <w:pPr>
        <w:ind w:left="2652"/>
        <w:spacing w:after="0"/>
        <w:tabs>
          <w:tab w:leader="none" w:pos="4011"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legal-IBD@cantor.com</w:t>
      </w:r>
    </w:p>
    <w:p>
      <w:pPr>
        <w:spacing w:after="0" w:line="18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4"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250 Greenwich Street</w:t>
      </w:r>
    </w:p>
    <w:p>
      <w:pPr>
        <w:ind w:left="2652"/>
        <w:spacing w:after="0" w:line="230" w:lineRule="auto"/>
        <w:rPr>
          <w:sz w:val="20"/>
          <w:szCs w:val="20"/>
          <w:color w:val="auto"/>
        </w:rPr>
      </w:pPr>
      <w:r>
        <w:rPr>
          <w:rFonts w:ascii="Times New Roman" w:cs="Times New Roman" w:eastAsia="Times New Roman" w:hAnsi="Times New Roman"/>
          <w:sz w:val="22"/>
          <w:szCs w:val="22"/>
          <w:color w:val="auto"/>
        </w:rPr>
        <w:t>New York, NY 10007</w:t>
      </w:r>
    </w:p>
    <w:p>
      <w:pPr>
        <w:ind w:left="2652"/>
        <w:spacing w:after="0" w:line="231" w:lineRule="auto"/>
        <w:tabs>
          <w:tab w:leader="none" w:pos="4011"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Lisa Firenze</w:t>
      </w:r>
    </w:p>
    <w:p>
      <w:pPr>
        <w:ind w:left="2652"/>
        <w:spacing w:after="0"/>
        <w:tabs>
          <w:tab w:leader="none" w:pos="4011"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Lisa.Firenze@wilmerhale.com</w:t>
      </w:r>
    </w:p>
    <w:p>
      <w:pPr>
        <w:spacing w:after="0" w:line="18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and if to the Company, shall be delivered to:</w:t>
      </w:r>
    </w:p>
    <w:p>
      <w:pPr>
        <w:spacing w:after="0" w:line="220"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Celldex Therapeutics, Inc.</w:t>
      </w:r>
    </w:p>
    <w:p>
      <w:pPr>
        <w:spacing w:after="0" w:line="4"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Perryville III Building</w:t>
      </w:r>
    </w:p>
    <w:p>
      <w:pPr>
        <w:ind w:left="2652"/>
        <w:spacing w:after="0"/>
        <w:rPr>
          <w:sz w:val="20"/>
          <w:szCs w:val="20"/>
          <w:color w:val="auto"/>
        </w:rPr>
      </w:pPr>
      <w:r>
        <w:rPr>
          <w:rFonts w:ascii="Times New Roman" w:cs="Times New Roman" w:eastAsia="Times New Roman" w:hAnsi="Times New Roman"/>
          <w:sz w:val="22"/>
          <w:szCs w:val="22"/>
          <w:color w:val="auto"/>
        </w:rPr>
        <w:t>53 Frontage Road, Suite 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40" w:name="page141"/>
    <w:bookmarkEnd w:id="140"/>
    <w:p>
      <w:pPr>
        <w:ind w:left="2740"/>
        <w:spacing w:after="0"/>
        <w:rPr>
          <w:sz w:val="20"/>
          <w:szCs w:val="20"/>
          <w:color w:val="auto"/>
        </w:rPr>
      </w:pPr>
      <w:r>
        <w:rPr>
          <w:rFonts w:ascii="Times New Roman" w:cs="Times New Roman" w:eastAsia="Times New Roman" w:hAnsi="Times New Roman"/>
          <w:sz w:val="22"/>
          <w:szCs w:val="22"/>
          <w:color w:val="auto"/>
        </w:rPr>
        <w:t>Hampton, NJ 08827</w:t>
      </w:r>
    </w:p>
    <w:p>
      <w:pPr>
        <w:spacing w:after="0" w:line="5" w:lineRule="exact"/>
        <w:rPr>
          <w:sz w:val="20"/>
          <w:szCs w:val="20"/>
          <w:color w:val="auto"/>
        </w:rPr>
      </w:pPr>
    </w:p>
    <w:p>
      <w:pPr>
        <w:ind w:left="2740"/>
        <w:spacing w:after="0"/>
        <w:tabs>
          <w:tab w:leader="none" w:pos="41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Anthony Marucci, President and Chief Executive Officer, and</w:t>
      </w:r>
    </w:p>
    <w:p>
      <w:pPr>
        <w:ind w:left="4120"/>
        <w:spacing w:after="0" w:line="230" w:lineRule="auto"/>
        <w:rPr>
          <w:sz w:val="20"/>
          <w:szCs w:val="20"/>
          <w:color w:val="auto"/>
        </w:rPr>
      </w:pPr>
      <w:r>
        <w:rPr>
          <w:rFonts w:ascii="Times New Roman" w:cs="Times New Roman" w:eastAsia="Times New Roman" w:hAnsi="Times New Roman"/>
          <w:sz w:val="22"/>
          <w:szCs w:val="22"/>
          <w:color w:val="auto"/>
        </w:rPr>
        <w:t>Freddy A. Jimenez, Esq., Senior Vice President and General</w:t>
      </w:r>
    </w:p>
    <w:p>
      <w:pPr>
        <w:ind w:left="4120"/>
        <w:spacing w:after="0" w:line="231" w:lineRule="auto"/>
        <w:rPr>
          <w:sz w:val="20"/>
          <w:szCs w:val="20"/>
          <w:color w:val="auto"/>
        </w:rPr>
      </w:pPr>
      <w:r>
        <w:rPr>
          <w:rFonts w:ascii="Times New Roman" w:cs="Times New Roman" w:eastAsia="Times New Roman" w:hAnsi="Times New Roman"/>
          <w:sz w:val="22"/>
          <w:szCs w:val="22"/>
          <w:color w:val="auto"/>
        </w:rPr>
        <w:t>Counsel</w:t>
      </w:r>
    </w:p>
    <w:p>
      <w:pPr>
        <w:ind w:left="2740"/>
        <w:spacing w:after="0"/>
        <w:tabs>
          <w:tab w:leader="none" w:pos="41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AMarucci@celldex.com</w:t>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fjimenez@celldex.com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2660"/>
        <w:spacing w:after="0"/>
        <w:tabs>
          <w:tab w:leader="none" w:pos="3820" w:val="left"/>
          <w:tab w:leader="none" w:pos="4680" w:val="left"/>
          <w:tab w:leader="none" w:pos="5240" w:val="left"/>
          <w:tab w:leader="none" w:pos="5860" w:val="left"/>
          <w:tab w:leader="none" w:pos="6700" w:val="left"/>
          <w:tab w:leader="none" w:pos="7060" w:val="left"/>
        </w:tabs>
        <w:rPr>
          <w:sz w:val="20"/>
          <w:szCs w:val="20"/>
          <w:color w:val="auto"/>
        </w:rPr>
      </w:pPr>
      <w:r>
        <w:rPr>
          <w:rFonts w:ascii="Times New Roman" w:cs="Times New Roman" w:eastAsia="Times New Roman" w:hAnsi="Times New Roman"/>
          <w:sz w:val="22"/>
          <w:szCs w:val="22"/>
          <w:color w:val="auto"/>
        </w:rPr>
        <w:t>Lowenstein</w:t>
        <w:tab/>
        <w:t>Sandler</w:t>
        <w:tab/>
        <w:t>LLP</w:t>
        <w:tab/>
        <w:t>1251</w:t>
        <w:tab/>
        <w:t>Avenue</w:t>
        <w:tab/>
        <w:t>of</w:t>
      </w:r>
      <w:r>
        <w:rPr>
          <w:sz w:val="20"/>
          <w:szCs w:val="20"/>
          <w:color w:val="auto"/>
        </w:rPr>
        <w:tab/>
      </w:r>
      <w:r>
        <w:rPr>
          <w:rFonts w:ascii="Times New Roman" w:cs="Times New Roman" w:eastAsia="Times New Roman" w:hAnsi="Times New Roman"/>
          <w:sz w:val="21"/>
          <w:szCs w:val="21"/>
          <w:color w:val="auto"/>
        </w:rPr>
        <w:t>the</w:t>
      </w:r>
    </w:p>
    <w:p>
      <w:pPr>
        <w:spacing w:after="0" w:line="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Americas</w:t>
      </w:r>
    </w:p>
    <w:p>
      <w:pPr>
        <w:ind w:left="2660"/>
        <w:spacing w:after="0" w:line="230" w:lineRule="auto"/>
        <w:rPr>
          <w:sz w:val="20"/>
          <w:szCs w:val="20"/>
          <w:color w:val="auto"/>
        </w:rPr>
      </w:pPr>
      <w:r>
        <w:rPr>
          <w:rFonts w:ascii="Times New Roman" w:cs="Times New Roman" w:eastAsia="Times New Roman" w:hAnsi="Times New Roman"/>
          <w:sz w:val="22"/>
          <w:szCs w:val="22"/>
          <w:color w:val="auto"/>
        </w:rPr>
        <w:t>New York, NY 10020</w:t>
      </w:r>
    </w:p>
    <w:p>
      <w:pPr>
        <w:ind w:left="2660"/>
        <w:spacing w:after="0" w:line="231" w:lineRule="auto"/>
        <w:tabs>
          <w:tab w:leader="none" w:pos="4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Anthony O. Pergola, Esq.</w:t>
      </w:r>
    </w:p>
    <w:p>
      <w:pPr>
        <w:ind w:left="2660"/>
        <w:spacing w:after="0"/>
        <w:tabs>
          <w:tab w:leader="none" w:pos="40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APergola@lowenstein.com</w:t>
      </w:r>
    </w:p>
    <w:p>
      <w:pPr>
        <w:spacing w:after="0" w:line="182"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1"/>
          <w:szCs w:val="21"/>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shall mean any day on which the Exchange and commercial banks in the City of New York are open for business.</w:t>
      </w:r>
    </w:p>
    <w:p>
      <w:pPr>
        <w:spacing w:after="0" w:line="171"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1"/>
          <w:szCs w:val="21"/>
          <w:color w:val="auto"/>
        </w:rPr>
        <w:t>An electronic communication (“</w:t>
      </w:r>
      <w:r>
        <w:rPr>
          <w:rFonts w:ascii="Times New Roman" w:cs="Times New Roman" w:eastAsia="Times New Roman" w:hAnsi="Times New Roman"/>
          <w:sz w:val="21"/>
          <w:szCs w:val="21"/>
          <w:b w:val="1"/>
          <w:bCs w:val="1"/>
          <w:u w:val="single" w:color="auto"/>
          <w:color w:val="auto"/>
        </w:rPr>
        <w:t>Electronic Notice</w:t>
      </w:r>
      <w:r>
        <w:rPr>
          <w:rFonts w:ascii="Times New Roman" w:cs="Times New Roman" w:eastAsia="Times New Roman" w:hAnsi="Times New Roman"/>
          <w:sz w:val="21"/>
          <w:szCs w:val="21"/>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21"/>
          <w:szCs w:val="21"/>
          <w:b w:val="1"/>
          <w:bCs w:val="1"/>
          <w:u w:val="single" w:color="auto"/>
          <w:color w:val="auto"/>
        </w:rPr>
        <w:t>Nonelectronic Notic</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which shall be sent to the requesting party within ten (10) days of receipt of the written request for Nonelectronic Notice.</w:t>
      </w:r>
    </w:p>
    <w:p>
      <w:pPr>
        <w:spacing w:after="0" w:line="169" w:lineRule="exact"/>
        <w:rPr>
          <w:sz w:val="20"/>
          <w:szCs w:val="20"/>
          <w:color w:val="auto"/>
        </w:rPr>
      </w:pPr>
    </w:p>
    <w:p>
      <w:pPr>
        <w:jc w:val="both"/>
        <w:ind w:left="660" w:hanging="652"/>
        <w:spacing w:after="0" w:line="234" w:lineRule="auto"/>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the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Agent may assign its rights and obligations hereunder to an affiliate thereof without obtaining the Company’s consent.</w:t>
      </w:r>
    </w:p>
    <w:p>
      <w:pPr>
        <w:spacing w:after="0" w:line="18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Stock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1" w:name="page142"/>
    <w:bookmarkEnd w:id="141"/>
    <w:p>
      <w:pPr>
        <w:jc w:val="both"/>
        <w:ind w:left="652" w:hanging="652"/>
        <w:spacing w:after="0" w:line="244" w:lineRule="auto"/>
        <w:tabs>
          <w:tab w:leader="none" w:pos="652"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 Severability; Waiver</w:t>
      </w:r>
      <w:r>
        <w:rPr>
          <w:rFonts w:ascii="Times New Roman" w:cs="Times New Roman" w:eastAsia="Times New Roman" w:hAnsi="Times New Roman"/>
          <w:sz w:val="21"/>
          <w:szCs w:val="21"/>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4" w:lineRule="exact"/>
        <w:rPr>
          <w:rFonts w:ascii="Times New Roman" w:cs="Times New Roman" w:eastAsia="Times New Roman" w:hAnsi="Times New Roman"/>
          <w:sz w:val="21"/>
          <w:szCs w:val="21"/>
          <w:color w:val="auto"/>
        </w:rPr>
      </w:pPr>
    </w:p>
    <w:p>
      <w:pPr>
        <w:jc w:val="both"/>
        <w:ind w:left="652" w:hanging="652"/>
        <w:spacing w:after="0" w:line="235" w:lineRule="auto"/>
        <w:tabs>
          <w:tab w:leader="none" w:pos="65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TIME; WAIVER OF JURY TRIAL</w:t>
      </w:r>
      <w:r>
        <w:rPr>
          <w:rFonts w:ascii="Times New Roman" w:cs="Times New Roman" w:eastAsia="Times New Roman" w:hAnsi="Times New Roman"/>
          <w:sz w:val="22"/>
          <w:szCs w:val="22"/>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8" w:lineRule="exact"/>
        <w:rPr>
          <w:rFonts w:ascii="Times New Roman" w:cs="Times New Roman" w:eastAsia="Times New Roman" w:hAnsi="Times New Roman"/>
          <w:sz w:val="22"/>
          <w:szCs w:val="22"/>
          <w:color w:val="auto"/>
        </w:rPr>
      </w:pPr>
    </w:p>
    <w:p>
      <w:pPr>
        <w:jc w:val="both"/>
        <w:ind w:left="652" w:hanging="652"/>
        <w:spacing w:after="0" w:line="232" w:lineRule="auto"/>
        <w:tabs>
          <w:tab w:leader="none" w:pos="65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CONSENT TO JURISDICTION</w:t>
      </w:r>
      <w:r>
        <w:rPr>
          <w:rFonts w:ascii="Times New Roman" w:cs="Times New Roman" w:eastAsia="Times New Roman" w:hAnsi="Times New Roman"/>
          <w:sz w:val="22"/>
          <w:szCs w:val="22"/>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42" w:name="page143"/>
    <w:bookmarkEnd w:id="142"/>
    <w:p>
      <w:pPr>
        <w:jc w:val="both"/>
        <w:ind w:left="652" w:hanging="652"/>
        <w:spacing w:after="0" w:line="235" w:lineRule="auto"/>
        <w:tabs>
          <w:tab w:leader="none" w:pos="65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22"/>
          <w:szCs w:val="22"/>
          <w:color w:val="auto"/>
        </w:rPr>
      </w:pPr>
    </w:p>
    <w:p>
      <w:pPr>
        <w:jc w:val="both"/>
        <w:ind w:left="652" w:hanging="652"/>
        <w:spacing w:after="0" w:line="236" w:lineRule="auto"/>
        <w:tabs>
          <w:tab w:leader="none" w:pos="65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81" w:lineRule="exact"/>
        <w:rPr>
          <w:rFonts w:ascii="Times New Roman" w:cs="Times New Roman" w:eastAsia="Times New Roman" w:hAnsi="Times New Roman"/>
          <w:sz w:val="22"/>
          <w:szCs w:val="22"/>
          <w:color w:val="auto"/>
        </w:rPr>
      </w:pPr>
    </w:p>
    <w:p>
      <w:pPr>
        <w:jc w:val="both"/>
        <w:ind w:left="652" w:hanging="652"/>
        <w:spacing w:after="0" w:line="233" w:lineRule="auto"/>
        <w:tabs>
          <w:tab w:leader="none" w:pos="65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Free Writing Prospectuses</w:t>
      </w:r>
      <w:r>
        <w:rPr>
          <w:rFonts w:ascii="Times New Roman" w:cs="Times New Roman" w:eastAsia="Times New Roman" w:hAnsi="Times New Roman"/>
          <w:sz w:val="22"/>
          <w:szCs w:val="22"/>
          <w:color w:val="auto"/>
        </w:rPr>
        <w:t xml:space="preserve">. The Company represents, warrants and agrees that, unless it obtains the prior written consent of the Agent, which shall not be unreasonably withheld, conditioned or delayed, and the Agent represents, warrants and agrees that, unless it obtains the prior written consent of the Company, which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22"/>
          <w:szCs w:val="22"/>
          <w:u w:val="single" w:color="auto"/>
          <w:color w:val="auto"/>
        </w:rPr>
        <w:t>Exhibit 21</w:t>
      </w:r>
      <w:r>
        <w:rPr>
          <w:rFonts w:ascii="Times New Roman" w:cs="Times New Roman" w:eastAsia="Times New Roman" w:hAnsi="Times New Roman"/>
          <w:sz w:val="22"/>
          <w:szCs w:val="22"/>
          <w:color w:val="auto"/>
        </w:rPr>
        <w:t xml:space="preserve"> hereto are Permitted Free Writing Prospectuses.</w:t>
      </w:r>
    </w:p>
    <w:p>
      <w:pPr>
        <w:spacing w:after="0" w:line="179"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color w:val="auto"/>
        </w:rPr>
        <w:t>. The Company acknowledges and agrees that:</w:t>
      </w:r>
    </w:p>
    <w:p>
      <w:pPr>
        <w:spacing w:after="0" w:line="206" w:lineRule="exact"/>
        <w:rPr>
          <w:sz w:val="20"/>
          <w:szCs w:val="20"/>
          <w:color w:val="auto"/>
        </w:rPr>
      </w:pPr>
    </w:p>
    <w:p>
      <w:pPr>
        <w:jc w:val="both"/>
        <w:ind w:left="652" w:hanging="652"/>
        <w:spacing w:after="0" w:line="247" w:lineRule="auto"/>
        <w:tabs>
          <w:tab w:leader="none" w:pos="65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71" w:lineRule="exact"/>
        <w:rPr>
          <w:rFonts w:ascii="Times New Roman" w:cs="Times New Roman" w:eastAsia="Times New Roman" w:hAnsi="Times New Roman"/>
          <w:sz w:val="21"/>
          <w:szCs w:val="21"/>
          <w:color w:val="auto"/>
        </w:rPr>
      </w:pPr>
    </w:p>
    <w:p>
      <w:pPr>
        <w:ind w:left="652" w:hanging="652"/>
        <w:spacing w:after="0" w:line="258" w:lineRule="auto"/>
        <w:tabs>
          <w:tab w:leader="none" w:pos="65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capable of evaluating and understanding, and understands and accepts, the terms, risks and conditions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43" w:name="page144"/>
    <w:bookmarkEnd w:id="143"/>
    <w:p>
      <w:pPr>
        <w:jc w:val="both"/>
        <w:ind w:left="660" w:hanging="652"/>
        <w:spacing w:after="0" w:line="244" w:lineRule="auto"/>
        <w:tabs>
          <w:tab w:leader="none" w:pos="6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6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81"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 the following terms have the respective meanings set forth below:</w:t>
      </w:r>
    </w:p>
    <w:p>
      <w:pPr>
        <w:spacing w:after="0" w:line="214"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Time</w:t>
      </w:r>
      <w:r>
        <w:rPr>
          <w:rFonts w:ascii="Times New Roman" w:cs="Times New Roman" w:eastAsia="Times New Roman" w:hAnsi="Times New Roman"/>
          <w:sz w:val="22"/>
          <w:szCs w:val="22"/>
          <w:color w:val="auto"/>
        </w:rPr>
        <w:t>” means (i) each Representation Date, (ii) the time of each sale of any Placement Shares pursuant to this Agreement and (iii) each Settlement Date.</w:t>
      </w:r>
    </w:p>
    <w:p>
      <w:pPr>
        <w:spacing w:after="0" w:line="150"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Issuer Free Writing Prospectus</w:t>
      </w:r>
      <w:r>
        <w:rPr>
          <w:rFonts w:ascii="Times New Roman" w:cs="Times New Roman" w:eastAsia="Times New Roman" w:hAnsi="Times New Roman"/>
          <w:sz w:val="22"/>
          <w:szCs w:val="22"/>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78" w:lineRule="exact"/>
        <w:rPr>
          <w:sz w:val="20"/>
          <w:szCs w:val="20"/>
          <w:color w:val="auto"/>
        </w:rPr>
      </w:pPr>
    </w:p>
    <w:p>
      <w:pPr>
        <w:ind w:left="660" w:right="80" w:firstLine="702"/>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Rule 172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401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405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415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430B</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Rule 433</w:t>
      </w:r>
      <w:r>
        <w:rPr>
          <w:rFonts w:ascii="Times New Roman" w:cs="Times New Roman" w:eastAsia="Times New Roman" w:hAnsi="Times New Roman"/>
          <w:sz w:val="22"/>
          <w:szCs w:val="22"/>
          <w:color w:val="auto"/>
        </w:rPr>
        <w:t>” refer to such rules under the Securities Act Regulations.</w:t>
      </w:r>
    </w:p>
    <w:p>
      <w:pPr>
        <w:spacing w:after="0" w:line="154"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2"/>
          <w:szCs w:val="22"/>
          <w:color w:val="auto"/>
        </w:rPr>
        <w:t>All references in this Agreement to the Registration Statement, the Prospectus or any amendment or supplement to any of the foregoing shall be deemed to include the copy filed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4" w:name="page145"/>
    <w:bookmarkEnd w:id="144"/>
    <w:p>
      <w:pPr>
        <w:jc w:val="both"/>
        <w:ind w:left="200"/>
        <w:spacing w:after="0" w:line="249" w:lineRule="auto"/>
        <w:rPr>
          <w:sz w:val="20"/>
          <w:szCs w:val="20"/>
          <w:color w:val="auto"/>
        </w:rPr>
      </w:pPr>
      <w:r>
        <w:rPr>
          <w:rFonts w:ascii="Times New Roman" w:cs="Times New Roman" w:eastAsia="Times New Roman" w:hAnsi="Times New Roman"/>
          <w:sz w:val="21"/>
          <w:szCs w:val="21"/>
          <w:color w:val="auto"/>
        </w:rPr>
        <w:t>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6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45" w:name="page146"/>
    <w:bookmarkEnd w:id="145"/>
    <w:p>
      <w:pPr>
        <w:jc w:val="both"/>
        <w:ind w:left="200" w:firstLine="648"/>
        <w:spacing w:after="0" w:line="244"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9229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Name:Anthony S. Marucci</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ACCEPTED as of the date first-above written:</w:t>
      </w:r>
    </w:p>
    <w:p>
      <w:pPr>
        <w:spacing w:after="0" w:line="200" w:lineRule="exact"/>
        <w:rPr>
          <w:sz w:val="20"/>
          <w:szCs w:val="20"/>
          <w:color w:val="auto"/>
        </w:rPr>
      </w:pPr>
    </w:p>
    <w:p>
      <w:pPr>
        <w:spacing w:after="0" w:line="2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9229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Name:Sage Kelly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Global Head of 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i w:val="1"/>
          <w:iCs w:val="1"/>
          <w:color w:val="auto"/>
        </w:rPr>
        <w:t>[Signature Page to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356235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6" w:name="page147"/>
    <w:bookmarkEnd w:id="146"/>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Form of Placement Notice</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__________________________</w:t>
      </w:r>
    </w:p>
    <w:p>
      <w:pPr>
        <w:sectPr>
          <w:pgSz w:w="11900" w:h="16838" w:orient="portrait"/>
          <w:cols w:equalWidth="0" w:num="1">
            <w:col w:w="9460"/>
          </w:cols>
          <w:pgMar w:left="1440" w:top="864" w:right="999" w:bottom="1440" w:gutter="0" w:footer="0" w:header="0"/>
        </w:sectPr>
      </w:pPr>
    </w:p>
    <w:p>
      <w:pPr>
        <w:spacing w:after="0" w:line="2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From:</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Celldex Therapeutics, Inc.</w:t>
      </w:r>
    </w:p>
    <w:p>
      <w:pPr>
        <w:spacing w:after="0" w:line="211" w:lineRule="exact"/>
        <w:rPr>
          <w:sz w:val="20"/>
          <w:szCs w:val="20"/>
          <w:color w:val="auto"/>
        </w:rPr>
      </w:pPr>
    </w:p>
    <w:p>
      <w:pPr>
        <w:sectPr>
          <w:pgSz w:w="11900" w:h="16838" w:orient="portrait"/>
          <w:cols w:equalWidth="0" w:num="2">
            <w:col w:w="1380" w:space="680"/>
            <w:col w:w="7400"/>
          </w:cols>
          <w:pgMar w:left="1440" w:top="864" w:right="999" w:bottom="1440" w:gutter="0" w:footer="0" w:header="0"/>
          <w:type w:val="continuous"/>
        </w:sectPr>
      </w:pP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9"/>
          <w:szCs w:val="19"/>
          <w:color w:val="auto"/>
        </w:rPr>
        <w:t>To: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Cantor Fitzgerald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1340" w:space="720"/>
            <w:col w:w="7400"/>
          </w:cols>
          <w:pgMar w:left="1440" w:top="864" w:right="999" w:bottom="1440" w:gutter="0" w:footer="0" w:header="0"/>
          <w:type w:val="continuous"/>
        </w:sectPr>
      </w:pP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Placement Notice</w:t>
      </w:r>
    </w:p>
    <w:p>
      <w:pPr>
        <w:spacing w:after="0" w:line="200" w:lineRule="exact"/>
        <w:rPr>
          <w:sz w:val="20"/>
          <w:szCs w:val="20"/>
          <w:color w:val="auto"/>
        </w:rPr>
      </w:pPr>
    </w:p>
    <w:p>
      <w:pPr>
        <w:sectPr>
          <w:pgSz w:w="11900" w:h="16838" w:orient="portrait"/>
          <w:cols w:equalWidth="0" w:num="2">
            <w:col w:w="1560" w:space="500"/>
            <w:col w:w="7400"/>
          </w:cols>
          <w:pgMar w:left="1440" w:top="864" w:right="999" w:bottom="1440" w:gutter="0" w:footer="0" w:header="0"/>
          <w:type w:val="continuous"/>
        </w:sectPr>
      </w:pPr>
    </w:p>
    <w:p>
      <w:pPr>
        <w:spacing w:after="0" w:line="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202[4]</w:t>
      </w:r>
    </w:p>
    <w:p>
      <w:pPr>
        <w:spacing w:after="0" w:line="211" w:lineRule="exact"/>
        <w:rPr>
          <w:sz w:val="20"/>
          <w:szCs w:val="20"/>
          <w:color w:val="auto"/>
        </w:rPr>
      </w:pPr>
    </w:p>
    <w:p>
      <w:pPr>
        <w:sectPr>
          <w:pgSz w:w="11900" w:h="16838" w:orient="portrait"/>
          <w:cols w:equalWidth="0" w:num="2">
            <w:col w:w="1340" w:space="720"/>
            <w:col w:w="7400"/>
          </w:cols>
          <w:pgMar w:left="1440" w:top="864" w:right="999" w:bottom="1440" w:gutter="0" w:footer="0" w:header="0"/>
          <w:type w:val="continuous"/>
        </w:sectPr>
      </w:pP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left="200" w:firstLine="648"/>
        <w:spacing w:after="0" w:line="238"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between Celldex Therapeutics,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Cantor Fitzgerald &amp; Co.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dated February 26, 2024, the Company hereby requests that the Agent sell up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of the Company’s common stock, par value $0.001 per share, at a minimum market price of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1329690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type w:val="continuous"/>
        </w:sectPr>
      </w:pPr>
    </w:p>
    <w:bookmarkStart w:id="147" w:name="page148"/>
    <w:bookmarkEnd w:id="147"/>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6" w:lineRule="exact"/>
        <w:rPr>
          <w:sz w:val="20"/>
          <w:szCs w:val="20"/>
          <w:color w:val="auto"/>
        </w:rPr>
      </w:pPr>
    </w:p>
    <w:p>
      <w:pPr>
        <w:ind w:left="200" w:firstLine="648"/>
        <w:spacing w:after="0" w:line="258" w:lineRule="auto"/>
        <w:rPr>
          <w:sz w:val="20"/>
          <w:szCs w:val="20"/>
          <w:color w:val="auto"/>
        </w:rPr>
      </w:pPr>
      <w:r>
        <w:rPr>
          <w:rFonts w:ascii="Times New Roman" w:cs="Times New Roman" w:eastAsia="Times New Roman" w:hAnsi="Times New Roman"/>
          <w:sz w:val="22"/>
          <w:szCs w:val="22"/>
          <w:color w:val="auto"/>
        </w:rPr>
        <w:t>The Company shall pay to the Agent in cash, upon each sale of Placement Shares pursuant to this Agreement, an amount up to 3.0%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1026795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Parties</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The Company</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Anthony Marucci (AMarucci@celldex.com)</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Sam Martin (smartin@celldex.com)</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Jennifer DeFerrari (jdeferrari@celldex.com)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The Agent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Sameer Vasudev (svasudev@cantor.com)</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With copies to:</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CFCEO@cantor.com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1348105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49" w:name="page150"/>
    <w:bookmarkEnd w:id="149"/>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Subsidiaries</w:t>
      </w:r>
    </w:p>
    <w:p>
      <w:pPr>
        <w:spacing w:after="0" w:line="2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Incorporated by reference to Exhibit 21.1 of the Company’s most recently filed Form 10-K,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1355725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40"/>
          </w:cols>
          <w:pgMar w:left="1440" w:top="864" w:right="111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21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Permitted Free Writing Prospectus</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765175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Perryville III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Frontage Road,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Hampton, NJ 08827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Sale of Common Stock registered pursuant to Shelf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acted as counsel to Celldex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 and sale by the Company of up to an aggregate of $300,000,000 of shares of its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pursuant 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dated February 26, 2024, by and between the Company and Cantor Fitzgerald &amp; Co., as sales agent. The Shares are being offered for sale pursuant to the Company’s registration statement on Form S-3 (File No. 333-275300)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promulgated thereunder, the base prospectus dated November 3, 2023 included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that will be filed pursuant to Rule 424(b) under the Securities Act, dated February 26, 2024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collectively,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understand that the Shares are to be issued by the Company and sold by Cantor Fitzgerald &amp; Co. pursuant to the Sales Agreement, as described in the Registration Statement and the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opinion, we have examined the Sales Agreement, the Registration Statement, and the Prospectus. In addition, we have (i) investigated such questions of law, (ii) examined originals or certified, conformed or reproduction copies of such agreements, instruments, documents and records of the Company, such certificates of public officials and such other documents and (iii) received such information from officers and representatives of the Company as we have deemed necessary or appropriate for the purposes of this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or reproduction copies. As to various questions of fact relevant to the opinion expressed herein, we have relied upon, and assume the accuracy of, the representations and warranties set forth in the Sales Agreement, and certificates and oral or written statements and other information of or from public officials and officers and representatives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limitations, qualifications and assumptions set forth herein, we are of the opinion that the Shares have been duly authorized for issuance, and when issued and paid for in accordance with the terms and conditions of the Sales Agreement, the Shares will be validly issued, fully paid and non-assessable.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 expressed herein is limited to the applicable provisions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as currently in effect, and reported judicial decisions interpreting such provisions of the DGCL.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stated herein and no opinion is implied or may be inferred beyond the matters expressly stated herein. We undertake no obligation to supplement this letter if any applicable laws change after the date hereof or if we become aware of any facts that might change the opinion expressed herein after that date or for any other reason.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Annual Report on Form 10-K filed by the Company on the date hereof and which is incorporated by reference into the Prospectus and to the references to this firm under the caption “Legal Matters” in the Prospectus Supplement. In giving these consents, we do not admit that we are “experts” within the meaning of Section 11 of the Securities Act or within the category of persons whose consent is required by Section 7 of the Securities Act.</w:t>
      </w:r>
    </w:p>
    <w:p>
      <w:pPr>
        <w:spacing w:after="0" w:line="18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/s/ Lowenstein Sandler</w:t>
      </w:r>
    </w:p>
    <w:p>
      <w:pPr>
        <w:spacing w:after="0" w:line="2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Exhibit 21.1</w:t>
            </w:r>
          </w:p>
        </w:tc>
      </w:tr>
      <w:tr>
        <w:trPr>
          <w:trHeight w:val="432"/>
        </w:trPr>
        <w:tc>
          <w:tcPr>
            <w:tcW w:w="7740" w:type="dxa"/>
            <w:vAlign w:val="bottom"/>
            <w:gridSpan w:val="4"/>
          </w:tcPr>
          <w:p>
            <w:pPr>
              <w:ind w:left="2760"/>
              <w:spacing w:after="0"/>
              <w:rPr>
                <w:sz w:val="20"/>
                <w:szCs w:val="20"/>
                <w:color w:val="auto"/>
              </w:rPr>
            </w:pPr>
            <w:r>
              <w:rPr>
                <w:rFonts w:ascii="Times New Roman" w:cs="Times New Roman" w:eastAsia="Times New Roman" w:hAnsi="Times New Roman"/>
                <w:sz w:val="18"/>
                <w:szCs w:val="18"/>
                <w:b w:val="1"/>
                <w:bCs w:val="1"/>
                <w:color w:val="231F20"/>
              </w:rPr>
              <w:t>SUBSIDIARIES OF CELLDEX THERAPEUTICS, INC.</w:t>
            </w:r>
          </w:p>
        </w:tc>
        <w:tc>
          <w:tcPr>
            <w:tcW w:w="2180" w:type="dxa"/>
            <w:vAlign w:val="bottom"/>
          </w:tcPr>
          <w:p>
            <w:pPr>
              <w:spacing w:after="0"/>
              <w:rPr>
                <w:sz w:val="24"/>
                <w:szCs w:val="24"/>
                <w:color w:val="auto"/>
              </w:rPr>
            </w:pPr>
          </w:p>
        </w:tc>
      </w:tr>
      <w:tr>
        <w:trPr>
          <w:trHeight w:val="423"/>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2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21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Celldex Therapeutics Switzerland GmbH</w:t>
            </w:r>
          </w:p>
        </w:tc>
        <w:tc>
          <w:tcPr>
            <w:tcW w:w="2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3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776"/>
        </w:trPr>
        <w:tc>
          <w:tcPr>
            <w:tcW w:w="4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231F20"/>
        </w:rPr>
        <w:t>Exhibit 23.1</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231F20"/>
        </w:rPr>
        <w:t>CONSENT OF INDEPENDENT REGISTERED PUBLIC ACCOUNTING FIRM</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We hereby consent to the incorporation by reference in the Registration Statements on Form S-8 (Nos. 333-272804, 333-257137, 333-239463, 333-232253, 333-232255, 333-219867, 333-219869, 333-205694, 333-189336, 333-182142, 333-151728 and 333-117602) and on Form S-3 (Nos. 333-275300, and 333-215747) of Celldex Therapeutics, Inc. of our report dated February 26, 2024 relating to the financial statements and the effectiveness of internal control over financial reporting, which appears in this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231F20"/>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Anthony S. Marucci, certify that:</w:t>
      </w:r>
    </w:p>
    <w:p>
      <w:pPr>
        <w:spacing w:after="0" w:line="207"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Celldex Therapeutics, Inc.;</w:t>
      </w:r>
    </w:p>
    <w:p>
      <w:pPr>
        <w:spacing w:after="0" w:line="225" w:lineRule="exact"/>
        <w:rPr>
          <w:rFonts w:ascii="Times New Roman" w:cs="Times New Roman" w:eastAsia="Times New Roman" w:hAnsi="Times New Roman"/>
          <w:sz w:val="18"/>
          <w:szCs w:val="18"/>
          <w:color w:val="231F20"/>
        </w:rPr>
      </w:pPr>
    </w:p>
    <w:p>
      <w:pPr>
        <w:ind w:right="420" w:firstLine="332"/>
        <w:spacing w:after="0" w:line="266" w:lineRule="auto"/>
        <w:tabs>
          <w:tab w:leader="none" w:pos="648" w:val="left"/>
        </w:tabs>
        <w:numPr>
          <w:ilvl w:val="0"/>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5" w:lineRule="exact"/>
        <w:rPr>
          <w:rFonts w:ascii="Times New Roman" w:cs="Times New Roman" w:eastAsia="Times New Roman" w:hAnsi="Times New Roman"/>
          <w:sz w:val="18"/>
          <w:szCs w:val="18"/>
          <w:color w:val="231F20"/>
        </w:rPr>
      </w:pPr>
    </w:p>
    <w:p>
      <w:pPr>
        <w:jc w:val="both"/>
        <w:ind w:left="340" w:right="100" w:firstLine="316"/>
        <w:spacing w:after="0" w:line="266" w:lineRule="auto"/>
        <w:tabs>
          <w:tab w:leader="none" w:pos="988" w:val="left"/>
        </w:tabs>
        <w:numPr>
          <w:ilvl w:val="1"/>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231F20"/>
        </w:rPr>
      </w:pPr>
    </w:p>
    <w:p>
      <w:pPr>
        <w:ind w:left="340" w:right="460" w:firstLine="316"/>
        <w:spacing w:after="0" w:line="266" w:lineRule="auto"/>
        <w:tabs>
          <w:tab w:leader="none" w:pos="988" w:val="left"/>
        </w:tabs>
        <w:numPr>
          <w:ilvl w:val="1"/>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231F20"/>
        </w:rPr>
      </w:pPr>
    </w:p>
    <w:p>
      <w:pPr>
        <w:ind w:right="160" w:firstLine="332"/>
        <w:spacing w:after="0" w:line="266" w:lineRule="auto"/>
        <w:tabs>
          <w:tab w:leader="none" w:pos="648" w:val="left"/>
        </w:tabs>
        <w:numPr>
          <w:ilvl w:val="0"/>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231F20"/>
        </w:rPr>
      </w:pPr>
    </w:p>
    <w:p>
      <w:pPr>
        <w:ind w:left="340" w:right="20" w:firstLine="316"/>
        <w:spacing w:after="0" w:line="266" w:lineRule="auto"/>
        <w:tabs>
          <w:tab w:leader="none" w:pos="988" w:val="left"/>
        </w:tabs>
        <w:numPr>
          <w:ilvl w:val="1"/>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231F20"/>
        </w:rPr>
      </w:pPr>
    </w:p>
    <w:p>
      <w:pPr>
        <w:ind w:left="340" w:right="580" w:firstLine="316"/>
        <w:spacing w:after="0" w:line="282" w:lineRule="auto"/>
        <w:tabs>
          <w:tab w:leader="none" w:pos="988" w:val="left"/>
        </w:tabs>
        <w:numPr>
          <w:ilvl w:val="1"/>
          <w:numId w:val="1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2024</w:t>
            </w:r>
          </w:p>
        </w:tc>
        <w:tc>
          <w:tcPr>
            <w:tcW w:w="65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ANTHONY S. MARUCCI</w:t>
            </w:r>
          </w:p>
        </w:tc>
      </w:tr>
      <w:tr>
        <w:trPr>
          <w:trHeight w:val="189"/>
        </w:trPr>
        <w:tc>
          <w:tcPr>
            <w:tcW w:w="3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Anthony S. Marucci</w:t>
            </w:r>
          </w:p>
        </w:tc>
      </w:tr>
      <w:tr>
        <w:trPr>
          <w:trHeight w:val="236"/>
        </w:trPr>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r>
        <w:trPr>
          <w:trHeight w:val="776"/>
        </w:trPr>
        <w:tc>
          <w:tcPr>
            <w:tcW w:w="3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231F20"/>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Sam Martin, certify that:</w:t>
      </w:r>
    </w:p>
    <w:p>
      <w:pPr>
        <w:spacing w:after="0" w:line="225"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Celldex Therapeutics, Inc.;</w:t>
      </w:r>
    </w:p>
    <w:p>
      <w:pPr>
        <w:spacing w:after="0" w:line="225" w:lineRule="exact"/>
        <w:rPr>
          <w:rFonts w:ascii="Times New Roman" w:cs="Times New Roman" w:eastAsia="Times New Roman" w:hAnsi="Times New Roman"/>
          <w:sz w:val="18"/>
          <w:szCs w:val="18"/>
          <w:color w:val="231F20"/>
        </w:rPr>
      </w:pPr>
    </w:p>
    <w:p>
      <w:pPr>
        <w:ind w:right="420" w:firstLine="332"/>
        <w:spacing w:after="0" w:line="266" w:lineRule="auto"/>
        <w:tabs>
          <w:tab w:leader="none" w:pos="648" w:val="left"/>
        </w:tabs>
        <w:numPr>
          <w:ilvl w:val="0"/>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5" w:lineRule="exact"/>
        <w:rPr>
          <w:rFonts w:ascii="Times New Roman" w:cs="Times New Roman" w:eastAsia="Times New Roman" w:hAnsi="Times New Roman"/>
          <w:sz w:val="18"/>
          <w:szCs w:val="18"/>
          <w:color w:val="231F20"/>
        </w:rPr>
      </w:pPr>
    </w:p>
    <w:p>
      <w:pPr>
        <w:jc w:val="both"/>
        <w:ind w:left="340" w:right="100" w:firstLine="316"/>
        <w:spacing w:after="0" w:line="266" w:lineRule="auto"/>
        <w:tabs>
          <w:tab w:leader="none" w:pos="988" w:val="left"/>
        </w:tabs>
        <w:numPr>
          <w:ilvl w:val="1"/>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231F20"/>
        </w:rPr>
      </w:pPr>
    </w:p>
    <w:p>
      <w:pPr>
        <w:ind w:left="340" w:right="460" w:firstLine="316"/>
        <w:spacing w:after="0" w:line="266" w:lineRule="auto"/>
        <w:tabs>
          <w:tab w:leader="none" w:pos="988" w:val="left"/>
        </w:tabs>
        <w:numPr>
          <w:ilvl w:val="1"/>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231F20"/>
        </w:rPr>
      </w:pPr>
    </w:p>
    <w:p>
      <w:pPr>
        <w:ind w:right="160" w:firstLine="332"/>
        <w:spacing w:after="0" w:line="266" w:lineRule="auto"/>
        <w:tabs>
          <w:tab w:leader="none" w:pos="648" w:val="left"/>
        </w:tabs>
        <w:numPr>
          <w:ilvl w:val="0"/>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231F20"/>
        </w:rPr>
      </w:pPr>
    </w:p>
    <w:p>
      <w:pPr>
        <w:ind w:left="340" w:right="20" w:firstLine="316"/>
        <w:spacing w:after="0" w:line="266" w:lineRule="auto"/>
        <w:tabs>
          <w:tab w:leader="none" w:pos="988" w:val="left"/>
        </w:tabs>
        <w:numPr>
          <w:ilvl w:val="1"/>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231F20"/>
        </w:rPr>
      </w:pPr>
    </w:p>
    <w:p>
      <w:pPr>
        <w:ind w:left="340" w:right="580" w:firstLine="316"/>
        <w:spacing w:after="0" w:line="282" w:lineRule="auto"/>
        <w:tabs>
          <w:tab w:leader="none" w:pos="988" w:val="left"/>
        </w:tabs>
        <w:numPr>
          <w:ilvl w:val="1"/>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2024</w:t>
            </w:r>
          </w:p>
        </w:tc>
        <w:tc>
          <w:tcPr>
            <w:tcW w:w="65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SAM MARTIN</w:t>
            </w:r>
          </w:p>
        </w:tc>
      </w:tr>
      <w:tr>
        <w:trPr>
          <w:trHeight w:val="189"/>
        </w:trPr>
        <w:tc>
          <w:tcPr>
            <w:tcW w:w="3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Sam Martin</w:t>
            </w:r>
          </w:p>
        </w:tc>
      </w:tr>
      <w:tr>
        <w:trPr>
          <w:trHeight w:val="236"/>
        </w:trPr>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Senior Vice President and Chief Financial Officer</w:t>
            </w:r>
          </w:p>
        </w:tc>
      </w:tr>
      <w:tr>
        <w:trPr>
          <w:trHeight w:val="776"/>
        </w:trPr>
        <w:tc>
          <w:tcPr>
            <w:tcW w:w="3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231F20"/>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AND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SECTION 906 OF THE SARBANES-OXLEY ACT OF 2002</w:t>
      </w:r>
    </w:p>
    <w:p>
      <w:pPr>
        <w:spacing w:after="0" w:line="2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2023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2024</w:t>
            </w:r>
          </w:p>
        </w:tc>
        <w:tc>
          <w:tcPr>
            <w:tcW w:w="65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By:/s/ ANTHONY S. MARUCCI</w:t>
            </w:r>
          </w:p>
        </w:tc>
      </w:tr>
      <w:tr>
        <w:trPr>
          <w:trHeight w:val="189"/>
        </w:trPr>
        <w:tc>
          <w:tcPr>
            <w:tcW w:w="3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Anthony S. Marucci</w:t>
            </w:r>
          </w:p>
        </w:tc>
      </w:tr>
      <w:tr>
        <w:trPr>
          <w:trHeight w:val="236"/>
        </w:trPr>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2024</w:t>
            </w:r>
          </w:p>
        </w:tc>
        <w:tc>
          <w:tcPr>
            <w:tcW w:w="65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By:/s/ SAM MARTIN</w:t>
            </w:r>
          </w:p>
        </w:tc>
      </w:tr>
      <w:tr>
        <w:trPr>
          <w:trHeight w:val="189"/>
        </w:trPr>
        <w:tc>
          <w:tcPr>
            <w:tcW w:w="3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Sam Martin</w:t>
            </w:r>
          </w:p>
        </w:tc>
      </w:tr>
      <w:tr>
        <w:trPr>
          <w:trHeight w:val="236"/>
        </w:trPr>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Senior Vice President and Chief Financial Officer</w:t>
            </w: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and approved on September 14, 2023, and effective as of December 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Celldex Therapeutics, Inc. (collectively with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committed to promoting high standards of honest and ethical business conduct and compliance with applicable laws, rules and regulations. As part of this commitment, the Company has adopted this Compensation Recovery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the requirements of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thereunder and the rules of the national securities exchange on which the Company’s securities are traded and explains when the Company will pursue recovery of Incentive Compensation awarded or paid to a Covered Person. Please refer to Exhibit A attached hereto (the “</w:t>
      </w:r>
      <w:r>
        <w:rPr>
          <w:rFonts w:ascii="Times New Roman" w:cs="Times New Roman" w:eastAsia="Times New Roman" w:hAnsi="Times New Roman"/>
          <w:sz w:val="18"/>
          <w:szCs w:val="18"/>
          <w:b w:val="1"/>
          <w:bCs w:val="1"/>
          <w:color w:val="auto"/>
        </w:rPr>
        <w:t>Definitions Exhibit</w:t>
      </w:r>
      <w:r>
        <w:rPr>
          <w:rFonts w:ascii="Times New Roman" w:cs="Times New Roman" w:eastAsia="Times New Roman" w:hAnsi="Times New Roman"/>
          <w:sz w:val="18"/>
          <w:szCs w:val="18"/>
          <w:color w:val="auto"/>
        </w:rPr>
        <w:t>”) for the definitions of capitalized terms used throughout this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Recovery of Recoverable Incentive Compensation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of a Restatement, the Company will pursue, reasonably promptly, recovery of all Recoverable Incentive Compensation from a Covered Person without regard to such Covered Person’s individual knowledge or responsibility related to the Restatement. Notwithstanding the foregoing, if the Company is otherwise required by this Policy to undertake a Restatement, the Company will not be required to recover the Recoverable Incentive Compensation if the Compensation Committee determines, after exercising a normal due process review of all the relevant facts and circumstances, that (a) a Recovery Exception exists and (b) it would be impracticable to seek such recovery under such facts and circumstances.</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such Recoverable Incentive Compensation was not awarded or paid on a formulaic basis, the Company will pursue recovery of the amount that the Compensation Committee determines in good faith should be recovered.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Actions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Compensation Committee may, subject to applicable law, pursue recovery of Recoverable Incentive Compensation in the manner it chooses, including by pursuing reimbursement from the Covered Person of all or part of the compensation awarded or paid, by electing to withhold unpaid compensation, by set-off, or by rescinding or canceling unvested stock or option awards.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reasonable exercise of its business judgment under this Policy, the Compensation Committee may in its sole discretion determine whether and to what extent additional action is appropriate to address the circumstances surrounding a Restatement to minimize the likelihood of any recurrence and to impose such other discipline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877570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4. No Indemnification or Reimbursement</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As required by applicable law, notwithstanding the terms of any other policy, program, agreement or arrangement, in no event will the Company or any of its affiliates indemnify or reimburse a Covered Person for any loss of Recoverable Incentive Compensation under this Policy and, to the extent prohibited by law, neither the Company nor any of its affiliates will pay premiums on any insurance policy that would cover a Covered Person’s potential obligations with respect to Recoverable Incentive Compensation under this Policy.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Administration of Policy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Compensation Committee will have full authority to administer this Policy. The Compensation Committee will, subject to the provisions of this Policy and Rule 10D-1 of the Exchange Act, and the Company’s applicable exchange listing standards, make such determinations and interpretations and take such actions in connection with this Policy as it deems necessary, appropriate or advisable. It is intended that this Policy be interpreted in a manner that is consistent with the requirements of Section 10D of the Exchange Act, Rule 10D-1 thereunder and any applicable rules or standards adopted by the Securities and Exchange Commission or any national securities exchange on which the Company’s securities are listed. All determinations and interpretations made by the Compensation Committee will be final, binding and conclusive.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Claims and Rights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requirements of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Acknowledgement by Covered Persons; Condition to Eligibility for Incentive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will provide notice and seek acknowledgement of this Policy from each Covered Person, provided that the failure to provide such notice or obtain such acknowledgement will have no impact on the applicability or enforceability of this Policy. After the Effective Date (and also with respect to any Incentive Compensation Received on or after October 2, 2023 pursuant to a preexisting contract or arrangement), any grant of Incentive Compensation to a Covered Person will be deemed to have been made subject to the terms of this Policy, whether or not such Policy is specifically referenced in the documentation relating to such grant and this Policy shall be deemed to constitute an integral part of the terms of any such grant. All Incentive Compensation subject to this Policy will remain subject to this policy, even if already paid, until the Policy ceases to apply to such Incentive Compensation and any other vesting conditions applicable to such Incentive Compensation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8. Amendment; Termination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or the Compensation Committee may amend or terminate this Policy at any time. In the event that Section 10D of the Exchange Act, Rule 10D-1 thereunder or the rules of the national securities exchange on which the Company’s securities are traded are modified or supplemented, whether by law, regulation or legal interpretation, such modification or supplement shall be deemed to modify or supplement this Policy to the maximum extent permitted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Effectiveness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Except as otherwise determined in writing by the Compensation Committee, this Policy will apply to any Incentive Compensation that is Received by a Covered Person on or after the Effective Date. This Policy will survive and continue notwithstanding any termination of a Covered Person’s employment with the Company and its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Successors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 successors,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EXHIBIT</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court, regulator, or other legally authorized body directs the Company to prepare a Restatement. The “Applicable Period” also includes any transition period (that results from a change in the Company’s fiscal year) within or immediately following the three completed fiscal years identified in the preceding sentence.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means the Company’s committee of independent directors responsible for executive compensation decisions, or in the absence of such a committee, a majority of the independent directors serving on the Board.</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any person who is, or was at any time, during the Applicable Period, an Executive Officer of the Company. For the avoidance of doubt, a Covered Person may include a former Executive Officer that left the Company, retired, or transitioned to an employee role (including after serving as an Executive Officer in an interim capacity) during the Applicable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December 1, 2023.</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the Company’s president, principal executive officer,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 measure that is determined and presented in accordance with the accounting principles used in preparing the Company’s financial statements, and any measure that is derived wholly or in part from such measure (including but not limited to, “non-GAAP” financial measures, such as those appearing in the Company’s earnings releases or Management Discussion and Analysis). Stock price and total shareholder return (and any measures derived wholly or in part therefrom) shall be considered Financial Reporting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1" w:name="page162"/>
    <w:bookmarkEnd w:id="161"/>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 Exception:</w:t>
      </w:r>
      <w:r>
        <w:rPr>
          <w:rFonts w:ascii="Times New Roman" w:cs="Times New Roman" w:eastAsia="Times New Roman" w:hAnsi="Times New Roman"/>
          <w:sz w:val="18"/>
          <w:szCs w:val="18"/>
          <w:color w:val="auto"/>
        </w:rPr>
        <w:t>” A recovery of Recoverable Incentive Compensation shall be subject to a “Recovery Exception” if the Compensation Committee determines in good faith that: (i) pursuing such recovery would violate home country law of the jurisdiction of incorporation of the Company where that law was adopted prior to November 28, 2022 and the Company provides an opinion of home country counsel to that effect acceptable to the Company’s applicable listing exchange; (ii) the direct expense paid to a third party to assist in enforcing this Policy would exceed the Recoverable Incentive Compensation and the Company has (A) made a reasonable attempt to recover such amounts and (B) provided documentation of such attempts to recover to the Company’s applicable listing exchange; or (iii) 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 Compensation does not include any base salaries (except with respect to any salary increases earned wholly or in part based on the attainment of a Financial Reporting Measure performance goal); bonuses paid solely at the discretion of the Compensation Committee or Board that are not paid from a “bonus pool” that is determined by satisfying a Financial Reporting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Reporting Measures. Incentive Compensation includes any Incentive Compensation Received on or after October 2, 2023 pursuant to a preexisting contract or arrangement.</w:t>
      </w:r>
    </w:p>
    <w:p>
      <w:pPr>
        <w:spacing w:after="0" w:line="18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Recoverable Incentive Compensation</w:t>
      </w:r>
      <w:r>
        <w:rPr>
          <w:rFonts w:ascii="Times New Roman" w:cs="Times New Roman" w:eastAsia="Times New Roman" w:hAnsi="Times New Roman"/>
          <w:sz w:val="18"/>
          <w:szCs w:val="18"/>
          <w:color w:val="auto"/>
        </w:rPr>
        <w:t>” means the amount of any Incentive Compensation (calculated on a pre-tax basis) Received by a Covered Person during the Applicable Period that is in excess of the amount that otherwise would have been Received if the calculation were based on the Restatement.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Covered Person misconduct was the cause for such restatement. “Restatement” includes any required accounting restatement to correct 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62" w:name="page163"/>
    <w:bookmarkEnd w:id="162"/>
    <w:p>
      <w:pPr>
        <w:jc w:val="both"/>
        <w:spacing w:after="0" w:line="266" w:lineRule="auto"/>
        <w:rPr>
          <w:sz w:val="20"/>
          <w:szCs w:val="20"/>
          <w:color w:val="auto"/>
        </w:rPr>
      </w:pPr>
      <w:r>
        <w:rPr>
          <w:rFonts w:ascii="Times New Roman" w:cs="Times New Roman" w:eastAsia="Times New Roman" w:hAnsi="Times New Roman"/>
          <w:sz w:val="18"/>
          <w:szCs w:val="18"/>
          <w:color w:val="auto"/>
        </w:rPr>
        <w:t>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87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lvl w:ilvl="1">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
      <w:numFmt w:val="bullet"/>
      <w:start w:val="1"/>
    </w:lvl>
    <w:lvl w:ilvl="1">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1)"/>
      <w:numFmt w:val="lowerRoman"/>
      <w:start w:val="4"/>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lowerRoman"/>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amp;"/>
      <w:numFmt w:val="bullet"/>
      <w:start w:val="1"/>
    </w:lvl>
  </w:abstractNum>
  <w:abstractNum w:abstractNumId="60">
    <w:nsid w:val="57FC4FBB"/>
    <w:multiLevelType w:val="hybridMultilevel"/>
    <w:lvl w:ilvl="0">
      <w:lvlJc w:val="left"/>
      <w:lvlText w:val="(%1)"/>
      <w:numFmt w:val="upperLetter"/>
      <w:start w:val="1"/>
    </w:lvl>
  </w:abstractNum>
  <w:abstractNum w:abstractNumId="61">
    <w:nsid w:val="CC1016F"/>
    <w:multiLevelType w:val="hybridMultilevel"/>
    <w:lvl w:ilvl="0">
      <w:lvlJc w:val="left"/>
      <w:lvlText w:val="(%1)"/>
      <w:numFmt w:val="decimal"/>
      <w:start w:val="1"/>
    </w:lvl>
  </w:abstractNum>
  <w:abstractNum w:abstractNumId="62">
    <w:nsid w:val="43F18422"/>
    <w:multiLevelType w:val="hybridMultilevel"/>
    <w:lvl w:ilvl="0">
      <w:lvlJc w:val="left"/>
      <w:lvlText w:val="*"/>
      <w:numFmt w:val="bullet"/>
      <w:start w:val="1"/>
    </w:lvl>
    <w:lvl w:ilvl="1">
      <w:lvlJc w:val="left"/>
      <w:lvlText w:val="%2"/>
      <w:numFmt w:val="decimal"/>
      <w:start w:val="104"/>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1."/>
      <w:numFmt w:val="decimal"/>
      <w:start w:val="1"/>
    </w:lvl>
  </w:abstractNum>
  <w:abstractNum w:abstractNumId="65">
    <w:nsid w:val="7F01579B"/>
    <w:multiLevelType w:val="hybridMultilevel"/>
    <w:lvl w:ilvl="0">
      <w:lvlJc w:val="left"/>
      <w:lvlText w:val="%1."/>
      <w:numFmt w:val="decimal"/>
      <w:start w:val="2"/>
    </w:lvl>
  </w:abstractNum>
  <w:abstractNum w:abstractNumId="66">
    <w:nsid w:val="49DA307D"/>
    <w:multiLevelType w:val="hybridMultilevel"/>
    <w:lvl w:ilvl="0">
      <w:lvlJc w:val="left"/>
      <w:lvlText w:val="%1."/>
      <w:numFmt w:val="decimal"/>
      <w:start w:val="3"/>
    </w:lvl>
  </w:abstractNum>
  <w:abstractNum w:abstractNumId="67">
    <w:nsid w:val="7055A5F5"/>
    <w:multiLevelType w:val="hybridMultilevel"/>
    <w:lvl w:ilvl="0">
      <w:lvlJc w:val="left"/>
      <w:lvlText w:val="%1."/>
      <w:numFmt w:val="decimal"/>
      <w:start w:val="5"/>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lowerLetter"/>
      <w:start w:val="4"/>
    </w:lvl>
  </w:abstractNum>
  <w:abstractNum w:abstractNumId="70">
    <w:nsid w:val="488AC1A"/>
    <w:multiLevelType w:val="hybridMultilevel"/>
    <w:lvl w:ilvl="0">
      <w:lvlJc w:val="left"/>
      <w:lvlText w:val="%1."/>
      <w:numFmt w:val="decimal"/>
      <w:start w:val="6"/>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2"/>
    </w:lvl>
  </w:abstractNum>
  <w:abstractNum w:abstractNumId="73">
    <w:nsid w:val="7672BD23"/>
    <w:multiLevelType w:val="hybridMultilevel"/>
    <w:lvl w:ilvl="0">
      <w:lvlJc w:val="left"/>
      <w:lvlText w:val="(%1)"/>
      <w:numFmt w:val="lowerLetter"/>
      <w:start w:val="5"/>
    </w:lvl>
  </w:abstractNum>
  <w:abstractNum w:abstractNumId="74">
    <w:nsid w:val="6FC75AF8"/>
    <w:multiLevelType w:val="hybridMultilevel"/>
    <w:lvl w:ilvl="0">
      <w:lvlJc w:val="left"/>
      <w:lvlText w:val="(%1)"/>
      <w:numFmt w:val="lowerLetter"/>
      <w:start w:val="8"/>
    </w:lvl>
  </w:abstractNum>
  <w:abstractNum w:abstractNumId="75">
    <w:nsid w:val="6A5F7029"/>
    <w:multiLevelType w:val="hybridMultilevel"/>
    <w:lvl w:ilvl="0">
      <w:lvlJc w:val="left"/>
      <w:lvlText w:val="(%1)"/>
      <w:numFmt w:val="lowerLetter"/>
      <w:start w:val="11"/>
    </w:lvl>
  </w:abstractNum>
  <w:abstractNum w:abstractNumId="76">
    <w:nsid w:val="7D5E18F8"/>
    <w:multiLevelType w:val="hybridMultilevel"/>
    <w:lvl w:ilvl="0">
      <w:lvlJc w:val="left"/>
      <w:lvlText w:val="(%1)"/>
      <w:numFmt w:val="lowerLetter"/>
      <w:start w:val="15"/>
    </w:lvl>
  </w:abstractNum>
  <w:abstractNum w:abstractNumId="77">
    <w:nsid w:val="5F3534A4"/>
    <w:multiLevelType w:val="hybridMultilevel"/>
    <w:lvl w:ilvl="0">
      <w:lvlJc w:val="left"/>
      <w:lvlText w:val="(%1)"/>
      <w:numFmt w:val="lowerLetter"/>
      <w:start w:val="19"/>
    </w:lvl>
  </w:abstractNum>
  <w:abstractNum w:abstractNumId="78">
    <w:nsid w:val="73A1821B"/>
    <w:multiLevelType w:val="hybridMultilevel"/>
    <w:lvl w:ilvl="0">
      <w:lvlJc w:val="left"/>
      <w:lvlText w:val="(%1)"/>
      <w:numFmt w:val="lowerLetter"/>
      <w:start w:val="21"/>
    </w:lvl>
  </w:abstractNum>
  <w:abstractNum w:abstractNumId="79">
    <w:nsid w:val="7DE67713"/>
    <w:multiLevelType w:val="hybridMultilevel"/>
    <w:lvl w:ilvl="0">
      <w:lvlJc w:val="left"/>
      <w:lvlText w:val="(%1)"/>
      <w:numFmt w:val="lowerLetter"/>
      <w:start w:val="23"/>
    </w:lvl>
  </w:abstractNum>
  <w:abstractNum w:abstractNumId="80">
    <w:nsid w:val="555C55B5"/>
    <w:multiLevelType w:val="hybridMultilevel"/>
    <w:lvl w:ilvl="0">
      <w:lvlJc w:val="left"/>
      <w:lvlText w:val="(%1)"/>
      <w:numFmt w:val="lowerLetter"/>
      <w:start w:val="27"/>
    </w:lvl>
  </w:abstractNum>
  <w:abstractNum w:abstractNumId="81">
    <w:nsid w:val="3FA62ACA"/>
    <w:multiLevelType w:val="hybridMultilevel"/>
    <w:lvl w:ilvl="0">
      <w:lvlJc w:val="left"/>
      <w:lvlText w:val="(%1)"/>
      <w:numFmt w:val="lowerLetter"/>
      <w:start w:val="29"/>
    </w:lvl>
  </w:abstractNum>
  <w:abstractNum w:abstractNumId="82">
    <w:nsid w:val="14FCE74E"/>
    <w:multiLevelType w:val="hybridMultilevel"/>
    <w:lvl w:ilvl="0">
      <w:lvlJc w:val="left"/>
      <w:lvlText w:val="(%1)"/>
      <w:numFmt w:val="lowerLetter"/>
      <w:start w:val="31"/>
    </w:lvl>
  </w:abstractNum>
  <w:abstractNum w:abstractNumId="83">
    <w:nsid w:val="6A3DD3E8"/>
    <w:multiLevelType w:val="hybridMultilevel"/>
    <w:lvl w:ilvl="0">
      <w:lvlJc w:val="left"/>
      <w:lvlText w:val="(%1)"/>
      <w:numFmt w:val="lowerLetter"/>
      <w:start w:val="36"/>
    </w:lvl>
  </w:abstractNum>
  <w:abstractNum w:abstractNumId="84">
    <w:nsid w:val="71C91298"/>
    <w:multiLevelType w:val="hybridMultilevel"/>
    <w:lvl w:ilvl="0">
      <w:lvlJc w:val="left"/>
      <w:lvlText w:val="(%1)"/>
      <w:numFmt w:val="lowerLetter"/>
      <w:start w:val="43"/>
    </w:lvl>
  </w:abstractNum>
  <w:abstractNum w:abstractNumId="85">
    <w:nsid w:val="9DAF632"/>
    <w:multiLevelType w:val="hybridMultilevel"/>
    <w:lvl w:ilvl="0">
      <w:lvlJc w:val="left"/>
      <w:lvlText w:val="(%1)"/>
      <w:numFmt w:val="lowerLetter"/>
      <w:start w:val="46"/>
    </w:lvl>
    <w:lvl w:ilvl="1">
      <w:lvlJc w:val="left"/>
      <w:lvlText w:val="(%2)"/>
      <w:numFmt w:val="lowerRoman"/>
      <w:start w:val="1"/>
    </w:lvl>
    <w:lvl w:ilvl="2">
      <w:lvlJc w:val="left"/>
      <w:lvlText w:val="(%3)"/>
      <w:numFmt w:val="upperLetter"/>
      <w:start w:val="1"/>
    </w:lvl>
  </w:abstractNum>
  <w:abstractNum w:abstractNumId="86">
    <w:nsid w:val="5329993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7">
    <w:nsid w:val="1FBFE8E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8">
    <w:nsid w:val="5092CA79"/>
    <w:multiLevelType w:val="hybridMultilevel"/>
    <w:lvl w:ilvl="0">
      <w:lvlJc w:val="left"/>
      <w:lvlText w:val="(%1)"/>
      <w:numFmt w:val="lowerLetter"/>
      <w:start w:val="48"/>
    </w:lvl>
    <w:lvl w:ilvl="1">
      <w:lvlJc w:val="left"/>
      <w:lvlText w:val="%2"/>
      <w:numFmt w:val="lowerLetter"/>
      <w:start w:val="1"/>
    </w:lvl>
    <w:lvl w:ilvl="2">
      <w:lvlJc w:val="left"/>
      <w:lvlText w:val="%3"/>
      <w:numFmt w:val="upperLetter"/>
      <w:start w:val="1"/>
    </w:lvl>
  </w:abstractNum>
  <w:abstractNum w:abstractNumId="89">
    <w:nsid w:val="1D545C4D"/>
    <w:multiLevelType w:val="hybridMultilevel"/>
    <w:lvl w:ilvl="0">
      <w:lvlJc w:val="left"/>
      <w:lvlText w:val="(%1)"/>
      <w:numFmt w:val="lowerLetter"/>
      <w:start w:val="51"/>
    </w:lvl>
  </w:abstractNum>
  <w:abstractNum w:abstractNumId="90">
    <w:nsid w:val="59ADEA3D"/>
    <w:multiLevelType w:val="hybridMultilevel"/>
    <w:lvl w:ilvl="0">
      <w:lvlJc w:val="left"/>
      <w:lvlText w:val="%1."/>
      <w:numFmt w:val="decimal"/>
      <w:start w:val="7"/>
    </w:lvl>
    <w:lvl w:ilvl="1">
      <w:lvlJc w:val="left"/>
      <w:lvlText w:val="(%2)"/>
      <w:numFmt w:val="lowerLetter"/>
      <w:start w:val="1"/>
    </w:lvl>
  </w:abstractNum>
  <w:abstractNum w:abstractNumId="91">
    <w:nsid w:val="288F1A34"/>
    <w:multiLevelType w:val="hybridMultilevel"/>
    <w:lvl w:ilvl="0">
      <w:lvlJc w:val="left"/>
      <w:lvlText w:val="(%1)"/>
      <w:numFmt w:val="lowerLetter"/>
      <w:start w:val="2"/>
    </w:lvl>
  </w:abstractNum>
  <w:abstractNum w:abstractNumId="92">
    <w:nsid w:val="2A155DBC"/>
    <w:multiLevelType w:val="hybridMultilevel"/>
    <w:lvl w:ilvl="0">
      <w:lvlJc w:val="left"/>
      <w:lvlText w:val="(%1)"/>
      <w:numFmt w:val="lowerLetter"/>
      <w:start w:val="6"/>
    </w:lvl>
  </w:abstractNum>
  <w:abstractNum w:abstractNumId="93">
    <w:nsid w:val="1D9F6E5F"/>
    <w:multiLevelType w:val="hybridMultilevel"/>
    <w:lvl w:ilvl="0">
      <w:lvlJc w:val="left"/>
      <w:lvlText w:val="(%1)"/>
      <w:numFmt w:val="lowerRoman"/>
      <w:start w:val="2"/>
    </w:lvl>
  </w:abstractNum>
  <w:abstractNum w:abstractNumId="94">
    <w:nsid w:val="97E1B4E"/>
    <w:multiLevelType w:val="hybridMultilevel"/>
    <w:lvl w:ilvl="0">
      <w:lvlJc w:val="left"/>
      <w:lvlText w:val="(%1)"/>
      <w:numFmt w:val="lowerLetter"/>
      <w:start w:val="9"/>
    </w:lvl>
    <w:lvl w:ilvl="1">
      <w:lvlJc w:val="left"/>
      <w:lvlText w:val="(%2)"/>
      <w:numFmt w:val="lowerLetter"/>
      <w:start w:val="11"/>
    </w:lvl>
  </w:abstractNum>
  <w:abstractNum w:abstractNumId="95">
    <w:nsid w:val="51088277"/>
    <w:multiLevelType w:val="hybridMultilevel"/>
    <w:lvl w:ilvl="0">
      <w:lvlJc w:val="left"/>
      <w:lvlText w:val="(%1)"/>
      <w:numFmt w:val="lowerLetter"/>
      <w:start w:val="12"/>
    </w:lvl>
    <w:lvl w:ilvl="1">
      <w:lvlJc w:val="left"/>
      <w:lvlText w:val="(%2)"/>
      <w:numFmt w:val="lowerRoman"/>
      <w:start w:val="1"/>
    </w:lvl>
  </w:abstractNum>
  <w:abstractNum w:abstractNumId="96">
    <w:nsid w:val="1CA0C5FA"/>
    <w:multiLevelType w:val="hybridMultilevel"/>
    <w:lvl w:ilvl="0">
      <w:lvlJc w:val="left"/>
      <w:lvlText w:val="(%1)"/>
      <w:numFmt w:val="lowerRoman"/>
      <w:start w:val="4"/>
    </w:lvl>
  </w:abstractNum>
  <w:abstractNum w:abstractNumId="97">
    <w:nsid w:val="53584BCB"/>
    <w:multiLevelType w:val="hybridMultilevel"/>
    <w:lvl w:ilvl="0">
      <w:lvlJc w:val="left"/>
      <w:lvlText w:val="(%1)"/>
      <w:numFmt w:val="lowerRoman"/>
      <w:start w:val="1"/>
    </w:lvl>
  </w:abstractNum>
  <w:abstractNum w:abstractNumId="98">
    <w:nsid w:val="415E286C"/>
    <w:multiLevelType w:val="hybridMultilevel"/>
    <w:lvl w:ilvl="0">
      <w:lvlJc w:val="left"/>
      <w:lvlText w:val="(%1)"/>
      <w:numFmt w:val="lowerLetter"/>
      <w:start w:val="13"/>
    </w:lvl>
  </w:abstractNum>
  <w:abstractNum w:abstractNumId="99">
    <w:nsid w:val="7C58FD05"/>
    <w:multiLevelType w:val="hybridMultilevel"/>
    <w:lvl w:ilvl="0">
      <w:lvlJc w:val="left"/>
      <w:lvlText w:val="(%1)"/>
      <w:numFmt w:val="lowerLetter"/>
      <w:start w:val="15"/>
    </w:lvl>
  </w:abstractNum>
  <w:abstractNum w:abstractNumId="100">
    <w:nsid w:val="23D86AAC"/>
    <w:multiLevelType w:val="hybridMultilevel"/>
    <w:lvl w:ilvl="0">
      <w:lvlJc w:val="left"/>
      <w:lvlText w:val="(%1)"/>
      <w:numFmt w:val="lowerLetter"/>
      <w:start w:val="19"/>
    </w:lvl>
    <w:lvl w:ilvl="1">
      <w:lvlJc w:val="left"/>
      <w:lvlText w:val="%2."/>
      <w:numFmt w:val="decimal"/>
      <w:start w:val="8"/>
    </w:lvl>
  </w:abstractNum>
  <w:abstractNum w:abstractNumId="101">
    <w:nsid w:val="45E6D486"/>
    <w:multiLevelType w:val="hybridMultilevel"/>
    <w:lvl w:ilvl="0">
      <w:lvlJc w:val="left"/>
      <w:lvlText w:val="%1"/>
      <w:numFmt w:val="decimal"/>
      <w:start w:val="1"/>
    </w:lvl>
    <w:lvl w:ilvl="1">
      <w:lvlJc w:val="left"/>
      <w:lvlText w:val="(%2)"/>
      <w:numFmt w:val="lowerRoman"/>
      <w:start w:val="6"/>
    </w:lvl>
  </w:abstractNum>
  <w:abstractNum w:abstractNumId="102">
    <w:nsid w:val="5C10FE21"/>
    <w:multiLevelType w:val="hybridMultilevel"/>
    <w:lvl w:ilvl="0">
      <w:lvlJc w:val="left"/>
      <w:lvlText w:val="%1"/>
      <w:numFmt w:val="decimal"/>
      <w:start w:val="1"/>
    </w:lvl>
    <w:lvl w:ilvl="1">
      <w:lvlJc w:val="left"/>
      <w:lvlText w:val="(%2)"/>
      <w:numFmt w:val="lowerRoman"/>
      <w:start w:val="9"/>
    </w:lvl>
  </w:abstractNum>
  <w:abstractNum w:abstractNumId="103">
    <w:nsid w:val="E7FFA2B"/>
    <w:multiLevelType w:val="hybridMultilevel"/>
    <w:lvl w:ilvl="0">
      <w:lvlJc w:val="left"/>
      <w:lvlText w:val="%1."/>
      <w:numFmt w:val="decimal"/>
      <w:start w:val="9"/>
    </w:lvl>
    <w:lvl w:ilvl="1">
      <w:lvlJc w:val="left"/>
      <w:lvlText w:val="%2"/>
      <w:numFmt w:val="lowerRoman"/>
      <w:start w:val="1"/>
    </w:lvl>
  </w:abstractNum>
  <w:abstractNum w:abstractNumId="104">
    <w:nsid w:val="3C5991AA"/>
    <w:multiLevelType w:val="hybridMultilevel"/>
    <w:lvl w:ilvl="0">
      <w:lvlJc w:val="left"/>
      <w:lvlText w:val="(%1)"/>
      <w:numFmt w:val="lowerLetter"/>
      <w:start w:val="1"/>
    </w:lvl>
  </w:abstractNum>
  <w:abstractNum w:abstractNumId="105">
    <w:nsid w:val="4BD8591A"/>
    <w:multiLevelType w:val="hybridMultilevel"/>
    <w:lvl w:ilvl="0">
      <w:lvlJc w:val="left"/>
      <w:lvlText w:val="(%1)"/>
      <w:numFmt w:val="lowerLetter"/>
      <w:start w:val="3"/>
    </w:lvl>
  </w:abstractNum>
  <w:abstractNum w:abstractNumId="106">
    <w:nsid w:val="78DF6A55"/>
    <w:multiLevelType w:val="hybridMultilevel"/>
    <w:lvl w:ilvl="0">
      <w:lvlJc w:val="left"/>
      <w:lvlText w:val="(%1)"/>
      <w:numFmt w:val="lowerLetter"/>
      <w:start w:val="9"/>
    </w:lvl>
  </w:abstractNum>
  <w:abstractNum w:abstractNumId="107">
    <w:nsid w:val="39B7AAA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8">
    <w:nsid w:val="2B0D8DBE"/>
    <w:multiLevelType w:val="hybridMultilevel"/>
    <w:lvl w:ilvl="0">
      <w:lvlJc w:val="left"/>
      <w:lvlText w:val="(%1)"/>
      <w:numFmt w:val="lowerRoman"/>
      <w:start w:val="3"/>
    </w:lvl>
  </w:abstractNum>
  <w:abstractNum w:abstractNumId="109">
    <w:nsid w:val="6C80EC70"/>
    <w:multiLevelType w:val="hybridMultilevel"/>
    <w:lvl w:ilvl="0">
      <w:lvlJc w:val="left"/>
      <w:lvlText w:val="%1"/>
      <w:numFmt w:val="lowerRoman"/>
      <w:start w:val="1"/>
    </w:lvl>
    <w:lvl w:ilvl="1">
      <w:lvlJc w:val="left"/>
      <w:lvlText w:val="(%2)"/>
      <w:numFmt w:val="lowerLetter"/>
      <w:start w:val="2"/>
    </w:lvl>
  </w:abstractNum>
  <w:abstractNum w:abstractNumId="110">
    <w:nsid w:val="379E21B5"/>
    <w:multiLevelType w:val="hybridMultilevel"/>
    <w:lvl w:ilvl="0">
      <w:lvlJc w:val="left"/>
      <w:lvlText w:val="(%1)"/>
      <w:numFmt w:val="lowerRoman"/>
      <w:start w:val="1"/>
    </w:lvl>
    <w:lvl w:ilvl="1">
      <w:lvlJc w:val="left"/>
      <w:lvlText w:val="%2"/>
      <w:numFmt w:val="lowerLetter"/>
      <w:start w:val="1"/>
    </w:lvl>
  </w:abstractNum>
  <w:abstractNum w:abstractNumId="111">
    <w:nsid w:val="69E373"/>
    <w:multiLevelType w:val="hybridMultilevel"/>
    <w:lvl w:ilvl="0">
      <w:lvlJc w:val="left"/>
      <w:lvlText w:val="(%1)"/>
      <w:numFmt w:val="decimal"/>
      <w:start w:val="1"/>
    </w:lvl>
    <w:lvl w:ilvl="1">
      <w:lvlJc w:val="left"/>
      <w:lvlText w:val="(%2)"/>
      <w:numFmt w:val="lowerLetter"/>
      <w:start w:val="4"/>
    </w:lvl>
  </w:abstractNum>
  <w:abstractNum w:abstractNumId="112">
    <w:nsid w:val="2C27173B"/>
    <w:multiLevelType w:val="hybridMultilevel"/>
    <w:lvl w:ilvl="0">
      <w:lvlJc w:val="left"/>
      <w:lvlText w:val="%1."/>
      <w:numFmt w:val="decimal"/>
      <w:start w:val="11"/>
    </w:lvl>
  </w:abstractNum>
  <w:abstractNum w:abstractNumId="113">
    <w:nsid w:val="4C9B0904"/>
    <w:multiLevelType w:val="hybridMultilevel"/>
    <w:lvl w:ilvl="0">
      <w:lvlJc w:val="left"/>
      <w:lvlText w:val="(%1)"/>
      <w:numFmt w:val="lowerLetter"/>
      <w:start w:val="1"/>
    </w:lvl>
    <w:lvl w:ilvl="1">
      <w:lvlJc w:val="left"/>
      <w:lvlText w:val="(%2)"/>
      <w:numFmt w:val="decimal"/>
      <w:start w:val="1"/>
    </w:lvl>
  </w:abstractNum>
  <w:abstractNum w:abstractNumId="114">
    <w:nsid w:val="6AA7B75C"/>
    <w:multiLevelType w:val="hybridMultilevel"/>
    <w:lvl w:ilvl="0">
      <w:lvlJc w:val="left"/>
      <w:lvlText w:val="(%1)"/>
      <w:numFmt w:val="lowerLetter"/>
      <w:start w:val="4"/>
    </w:lvl>
  </w:abstractNum>
  <w:abstractNum w:abstractNumId="115">
    <w:nsid w:val="1DF029D3"/>
    <w:multiLevelType w:val="hybridMultilevel"/>
    <w:lvl w:ilvl="0">
      <w:lvlJc w:val="left"/>
      <w:lvlText w:val="%1."/>
      <w:numFmt w:val="decimal"/>
      <w:start w:val="13"/>
    </w:lvl>
  </w:abstractNum>
  <w:abstractNum w:abstractNumId="116">
    <w:nsid w:val="5675FF36"/>
    <w:multiLevelType w:val="hybridMultilevel"/>
    <w:lvl w:ilvl="0">
      <w:lvlJc w:val="left"/>
      <w:lvlText w:val="%1."/>
      <w:numFmt w:val="decimal"/>
      <w:start w:val="14"/>
    </w:lvl>
  </w:abstractNum>
  <w:abstractNum w:abstractNumId="117">
    <w:nsid w:val="3DD15094"/>
    <w:multiLevelType w:val="hybridMultilevel"/>
    <w:lvl w:ilvl="0">
      <w:lvlJc w:val="left"/>
      <w:lvlText w:val="%1."/>
      <w:numFmt w:val="decimal"/>
      <w:start w:val="16"/>
    </w:lvl>
  </w:abstractNum>
  <w:abstractNum w:abstractNumId="118">
    <w:nsid w:val="3DB012B3"/>
    <w:multiLevelType w:val="hybridMultilevel"/>
    <w:lvl w:ilvl="0">
      <w:lvlJc w:val="left"/>
      <w:lvlText w:val="%1."/>
      <w:numFmt w:val="decimal"/>
      <w:start w:val="19"/>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lowerLetter"/>
      <w:start w:val="3"/>
    </w:lvl>
  </w:abstractNum>
  <w:abstractNum w:abstractNumId="121">
    <w:nsid w:val="175DFCF0"/>
    <w:multiLevelType w:val="hybridMultilevel"/>
    <w:lvl w:ilvl="0">
      <w:lvlJc w:val="left"/>
      <w:lvlText w:val="%1."/>
      <w:numFmt w:val="decimal"/>
      <w:start w:val="23"/>
    </w:lvl>
  </w:abstractNum>
  <w:abstractNum w:abstractNumId="122">
    <w:nsid w:val="4F97E3E4"/>
    <w:multiLevelType w:val="hybridMultilevel"/>
    <w:lvl w:ilvl="0">
      <w:lvlJc w:val="left"/>
      <w:lvlText w:val="%1."/>
      <w:numFmt w:val="decimal"/>
      <w:start w:val="1"/>
    </w:lvl>
    <w:lvl w:ilvl="1">
      <w:lvlJc w:val="left"/>
      <w:lvlText w:val="(%2)"/>
      <w:numFmt w:val="lowerLetter"/>
      <w:start w:val="1"/>
    </w:lvl>
  </w:abstractNum>
  <w:abstractNum w:abstractNumId="123">
    <w:nsid w:val="53B0A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43" Type="http://schemas.openxmlformats.org/officeDocument/2006/relationships/image" Target="media/image111.png"/><Relationship Id="rId161"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118" Type="http://schemas.openxmlformats.org/officeDocument/2006/relationships/hyperlink" Target="https://www.sec.gov/Archives/edgar/data/744218/000110465916153723/a16-20866_1ex2d1.htm" TargetMode="External"/><Relationship Id="rId119" Type="http://schemas.openxmlformats.org/officeDocument/2006/relationships/hyperlink" Target="https://www.sec.gov/Archives/edgar/data/744218/0001029869-98-000936-index.html" TargetMode="External"/><Relationship Id="rId120" Type="http://schemas.openxmlformats.org/officeDocument/2006/relationships/hyperlink" Target="https://www.sec.gov/Archives/edgar/data/744218/000110465902001892/j3484_ex3d1.htm" TargetMode="External"/><Relationship Id="rId121" Type="http://schemas.openxmlformats.org/officeDocument/2006/relationships/hyperlink" Target="https://www.sec.gov/Archives/edgar/data/744218/000110465908016816/a08-7923_1ex3d1.htm" TargetMode="External"/><Relationship Id="rId122" Type="http://schemas.openxmlformats.org/officeDocument/2006/relationships/hyperlink" Target="https://www.sec.gov/Archives/edgar/data/744218/000110465908016816/a08-7923_1ex3d2.htm" TargetMode="External"/><Relationship Id="rId123" Type="http://schemas.openxmlformats.org/officeDocument/2006/relationships/hyperlink" Target="https://www.sec.gov/Archives/edgar/data/744218/000110465908069812/a08-25757_1ex3d7.htm" TargetMode="External"/><Relationship Id="rId124" Type="http://schemas.openxmlformats.org/officeDocument/2006/relationships/hyperlink" Target="https://www.sec.gov/Archives/edgar/data/744218/000110465919006667/a19-4170_1ex3d1.htm" TargetMode="External"/><Relationship Id="rId125" Type="http://schemas.openxmlformats.org/officeDocument/2006/relationships/hyperlink" Target="https://www.sec.gov/Archives/edgar/data/744218/000110465922116466/cldx-20220930xex3d1.htm" TargetMode="External"/><Relationship Id="rId126" Type="http://schemas.openxmlformats.org/officeDocument/2006/relationships/hyperlink" Target="https://www.sec.gov/Archives/edgar/data/744218/000110465919006667/a19-4170_1ex4d1.htm" TargetMode="External"/><Relationship Id="rId127" Type="http://schemas.openxmlformats.org/officeDocument/2006/relationships/hyperlink" Target="https://www.sec.gov/Archives/edgar/data/744218/000104746904033436/a2146122zex-3_1.htm" TargetMode="External"/><Relationship Id="rId128" Type="http://schemas.openxmlformats.org/officeDocument/2006/relationships/hyperlink" Target="https://www.sec.gov/Archives/edgar/data/744218/000110465923026701/cldx-20221231xex4d3.htm" TargetMode="External"/><Relationship Id="rId129" Type="http://schemas.openxmlformats.org/officeDocument/2006/relationships/hyperlink" Target="https://www.sec.gov/Archives/edgar/data/744218/000110465904012065/a04-5109_1ex10d1.htm" TargetMode="External"/><Relationship Id="rId130" Type="http://schemas.openxmlformats.org/officeDocument/2006/relationships/hyperlink" Target="https://www.sec.gov/Archives/edgar/data/744218/000110465910064201/a10-22053_1ex10d6.htm" TargetMode="External"/><Relationship Id="rId131" Type="http://schemas.openxmlformats.org/officeDocument/2006/relationships/hyperlink" Target="https://www.sec.gov/Archives/edgar/data/744218/000110465906017401/a06-2616_1ex10d41.htm" TargetMode="External"/><Relationship Id="rId132" Type="http://schemas.openxmlformats.org/officeDocument/2006/relationships/hyperlink" Target="https://www.sec.gov/Archives/edgar/data/744218/000110465910064201/a10-22053_1ex10d7.htm" TargetMode="External"/><Relationship Id="rId133" Type="http://schemas.openxmlformats.org/officeDocument/2006/relationships/hyperlink" Target="https://www.sec.gov/Archives/edgar/data/744218/000110465910064201/a10-22053_1ex10d8.htm" TargetMode="External"/><Relationship Id="rId134" Type="http://schemas.openxmlformats.org/officeDocument/2006/relationships/hyperlink" Target="https://www.sec.gov/Archives/edgar/data/744218/000110465910064201/a10-22053_1ex10d9.htm" TargetMode="External"/><Relationship Id="rId135" Type="http://schemas.openxmlformats.org/officeDocument/2006/relationships/hyperlink" Target="https://www.sec.gov/Archives/edgar/data/744218/000110465910042274/a10-12851_1ex10d1.htm" TargetMode="External"/><Relationship Id="rId136" Type="http://schemas.openxmlformats.org/officeDocument/2006/relationships/hyperlink" Target="https://www.sec.gov/Archives/edgar/data/744218/000104746916010396/a2226904zex-10_12.htm" TargetMode="External"/><Relationship Id="rId137" Type="http://schemas.openxmlformats.org/officeDocument/2006/relationships/hyperlink" Target="https://www.sec.gov/Archives/edgar/data/744218/000104746920001809/a2241053zex-10_13.htm" TargetMode="External"/><Relationship Id="rId138" Type="http://schemas.openxmlformats.org/officeDocument/2006/relationships/hyperlink" Target="https://www.sec.gov/Archives/edgar/data/744218/000110465922116466/cldx-20220930xex10d2.htm" TargetMode="External"/><Relationship Id="rId139" Type="http://schemas.openxmlformats.org/officeDocument/2006/relationships/hyperlink" Target="https://www.sec.gov/Archives/edgar/data/744218/000110465913036833/a13-8304_1ex10d1.htm" TargetMode="External"/><Relationship Id="rId140" Type="http://schemas.openxmlformats.org/officeDocument/2006/relationships/hyperlink" Target="https://www.sec.gov/Archives/edgar/data/744218/000110465915058233/a15-12408_1ex10d2.htm" TargetMode="External"/><Relationship Id="rId141" Type="http://schemas.openxmlformats.org/officeDocument/2006/relationships/hyperlink" Target="https://www.sec.gov/Archives/edgar/data/744218/000110465919027513/a19-7174_1ex10d1.htm" TargetMode="External"/><Relationship Id="rId142" Type="http://schemas.openxmlformats.org/officeDocument/2006/relationships/hyperlink" Target="https://www.sec.gov/Archives/edgar/data/744218/000110465922087222/cldx-20220630xex10d3.htm" TargetMode="External"/><Relationship Id="rId144" Type="http://schemas.openxmlformats.org/officeDocument/2006/relationships/hyperlink" Target="https://www.sec.gov/Archives/edgar/data/744218/000110465920091459/tm2020550d3_ex10-1.htm" TargetMode="External"/><Relationship Id="rId145" Type="http://schemas.openxmlformats.org/officeDocument/2006/relationships/hyperlink" Target="https://www.sec.gov/Archives/edgar/data/744218/000110465922116466/cldx-20220930xex10d1.htm" TargetMode="External"/><Relationship Id="rId146" Type="http://schemas.openxmlformats.org/officeDocument/2006/relationships/hyperlink" Target="https://www.sec.gov/Archives/edgar/data/744218/000110465922080483/tm2221215d1_ex10-1.htm" TargetMode="External"/><Relationship Id="rId147" Type="http://schemas.openxmlformats.org/officeDocument/2006/relationships/hyperlink" Target="https://www.sec.gov/Archives/edgar/data/744218/000110465923071597/tm2318812d1_ex10-1.htm" TargetMode="External"/><Relationship Id="rId148" Type="http://schemas.openxmlformats.org/officeDocument/2006/relationships/hyperlink" Target="https://www.sec.gov/Archives/edgar/data/744218/000110465921082585/tm2119126d1_ex10-1.htm" TargetMode="External"/><Relationship Id="rId149" Type="http://schemas.openxmlformats.org/officeDocument/2006/relationships/hyperlink" Target="https://www.sec.gov/Archives/edgar/data/744218/000110465920074646/tm2022847d1_ex10-1.htm" TargetMode="External"/><Relationship Id="rId150" Type="http://schemas.openxmlformats.org/officeDocument/2006/relationships/hyperlink" Target="https://www.sec.gov/Archives/edgar/data/744218/000110465919036671/a19-11620_3ex10d2.htm" TargetMode="External"/><Relationship Id="rId151" Type="http://schemas.openxmlformats.org/officeDocument/2006/relationships/hyperlink" Target="https://www.sec.gov/Archives/edgar/data/744218/000110465921088220/tm2120284d1_ex10-1.htm" TargetMode="External"/><Relationship Id="rId152" Type="http://schemas.openxmlformats.org/officeDocument/2006/relationships/hyperlink" Target="https://www.sec.gov/Archives/edgar/data/744218/000110465921088220/tm2120284d1_ex10-2.htm" TargetMode="External"/><Relationship Id="rId153" Type="http://schemas.openxmlformats.org/officeDocument/2006/relationships/hyperlink" Target="https://www.sec.gov/Archives/edgar/data/744218/000110465921088220/tm2120284d1_ex10-3.htm" TargetMode="External"/><Relationship Id="rId154" Type="http://schemas.openxmlformats.org/officeDocument/2006/relationships/hyperlink" Target="https://www.sec.gov/Archives/edgar/data/744218/000110465921088220/tm2120284d1_ex10-4.htm" TargetMode="External"/><Relationship Id="rId155" Type="http://schemas.openxmlformats.org/officeDocument/2006/relationships/hyperlink" Target="https://www.sec.gov/Archives/edgar/data/744218/000110465921088220/tm2120284d1_ex10-5.htm" TargetMode="External"/><Relationship Id="rId156" Type="http://schemas.openxmlformats.org/officeDocument/2006/relationships/hyperlink" Target="https://www.sec.gov/Archives/edgar/data/744218/000110465921088220/tm2120284d1_ex10-6.htm" TargetMode="External"/><Relationship Id="rId157" Type="http://schemas.openxmlformats.org/officeDocument/2006/relationships/hyperlink" Target="https://www.sec.gov/Archives/edgar/data/744218/000110465921088220/tm2120284d1_ex10-7.htm" TargetMode="External"/><Relationship Id="rId158" Type="http://schemas.openxmlformats.org/officeDocument/2006/relationships/hyperlink" Target="https://www.sec.gov/Archives/edgar/data/744218/000110465921088220/tm2120284d1_ex10-8.htm" TargetMode="External"/><Relationship Id="rId159" Type="http://schemas.openxmlformats.org/officeDocument/2006/relationships/hyperlink" Target="https://www.sec.gov/Archives/edgar/data/744218/000110465921088220/tm2120284d1_ex10-9.htm" TargetMode="External"/><Relationship Id="rId160" Type="http://schemas.openxmlformats.org/officeDocument/2006/relationships/hyperlink" Target="https://www.sec.gov/Archives/edgar/data/744218/000110465921088220/tm2120284d1_ex10-10.htm" TargetMode="External"/><Relationship Id="rId162" Type="http://schemas.openxmlformats.org/officeDocument/2006/relationships/hyperlink" Target="https://www.sec.gov/Archives/edgar/data/744218/000110465921082585/tm2119126d1_ex10-2.htm" TargetMode="External"/><Relationship Id="rId163" Type="http://schemas.openxmlformats.org/officeDocument/2006/relationships/hyperlink" Target="https://www.sec.gov/Archives/edgar/data/744218/000110465921082585/tm2119126d1_ex10-3.htm" TargetMode="External"/><Relationship Id="rId164" Type="http://schemas.openxmlformats.org/officeDocument/2006/relationships/hyperlink" Target="https://www.sec.gov/Archives/edgar/data/744218/000110465921082585/tm2119126d1_ex10-4.htm" TargetMode="External"/><Relationship Id="rId165" Type="http://schemas.openxmlformats.org/officeDocument/2006/relationships/hyperlink" Target="https://www.sec.gov/Archives/edgar/data/744218/000110465921082585/tm2119126d1_ex10-5.htm" TargetMode="External"/><Relationship Id="rId166" Type="http://schemas.openxmlformats.org/officeDocument/2006/relationships/hyperlink" Target="https://www.sec.gov/Archives/edgar/data/744218/000110465918050496/a18-14097_1ex10d1.htm#Exhibit10_1_040249" TargetMode="External"/><Relationship Id="rId167" Type="http://schemas.openxmlformats.org/officeDocument/2006/relationships/hyperlink" Target="https://www.sec.gov/Archives/edgar/data/744218/000104746910002142/a2196680zex-10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2024-02-26T06:11:55Z</dcterms:created>
  <dcterms:modified xsi:type="dcterms:W3CDTF">2024-02-26T06:11:55Z</dcterms:modified>
</cp:coreProperties>
</file>