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00" w:hanging="328"/>
        <w:spacing w:after="0" w:line="256" w:lineRule="auto"/>
        <w:tabs>
          <w:tab w:leader="none" w:pos="539"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79"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000-15006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440"/>
        <w:spacing w:after="0"/>
        <w:tabs>
          <w:tab w:leader="none" w:pos="80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No. 13-3191702</w:t>
      </w:r>
    </w:p>
    <w:p>
      <w:pPr>
        <w:spacing w:after="0" w:line="27" w:lineRule="exact"/>
        <w:rPr>
          <w:sz w:val="24"/>
          <w:szCs w:val="24"/>
          <w:color w:val="auto"/>
        </w:rPr>
      </w:pPr>
    </w:p>
    <w:p>
      <w:pPr>
        <w:ind w:left="1160"/>
        <w:spacing w:after="0"/>
        <w:tabs>
          <w:tab w:leader="none" w:pos="730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spacing w:after="0" w:line="9"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organization)</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Accelerated filer o</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31, 2016, 100,545,519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June 30, 2016</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9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6823075</wp:posOffset>
            </wp:positionH>
            <wp:positionV relativeFrom="paragraph">
              <wp:posOffset>6350</wp:posOffset>
            </wp:positionV>
            <wp:extent cx="428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sectPr>
      </w:pPr>
    </w:p>
    <w:p>
      <w:pPr>
        <w:spacing w:after="0" w:line="12" w:lineRule="exact"/>
        <w:rPr>
          <w:sz w:val="24"/>
          <w:szCs w:val="24"/>
          <w:color w:val="auto"/>
        </w:rPr>
      </w:pPr>
    </w:p>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Part I—Financial Information</w:t>
        </w:r>
      </w:hyperlink>
    </w:p>
    <w:p>
      <w:pPr>
        <w:sectPr>
          <w:pgSz w:w="11900" w:h="16838" w:orient="portrait"/>
          <w:cols w:equalWidth="0" w:num="1">
            <w:col w:w="11340"/>
          </w:cols>
          <w:pgMar w:left="240" w:top="233"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52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9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June 30, 2016 and December 31, 2015</w:t>
              </w:r>
            </w:hyperlink>
          </w:p>
        </w:tc>
        <w:tc>
          <w:tcPr>
            <w:tcW w:w="458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10520" w:type="dxa"/>
            <w:vAlign w:val="bottom"/>
            <w:gridSpan w:val="15"/>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Statements of Operations and Comprehensive Loss for the Three and Six Months Ended June 30, 2016 and 2015</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99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for the Six Months Ended June 30, 2016 and 2015</w:t>
              </w:r>
            </w:hyperlink>
          </w:p>
        </w:tc>
        <w:tc>
          <w:tcPr>
            <w:tcW w:w="5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8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580" w:type="dxa"/>
            <w:vAlign w:val="bottom"/>
            <w:tcBorders>
              <w:top w:val="single" w:sz="8" w:color="0000EE"/>
            </w:tcBorders>
            <w:gridSpan w:val="4"/>
          </w:tcPr>
          <w:p>
            <w:pPr>
              <w:spacing w:after="0"/>
              <w:rPr>
                <w:sz w:val="17"/>
                <w:szCs w:val="17"/>
                <w:color w:val="auto"/>
              </w:rPr>
            </w:pPr>
          </w:p>
        </w:tc>
        <w:tc>
          <w:tcPr>
            <w:tcW w:w="314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Item 2.</w:t>
              </w:r>
            </w:hyperlink>
          </w:p>
        </w:tc>
        <w:tc>
          <w:tcPr>
            <w:tcW w:w="9980" w:type="dxa"/>
            <w:vAlign w:val="bottom"/>
            <w:gridSpan w:val="14"/>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6480" w:type="dxa"/>
            <w:vAlign w:val="bottom"/>
            <w:tcBorders>
              <w:top w:val="single" w:sz="8" w:color="0000EE"/>
            </w:tcBorders>
            <w:gridSpan w:val="11"/>
          </w:tcPr>
          <w:p>
            <w:pPr>
              <w:ind w:left="2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350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17"/>
                <w:szCs w:val="17"/>
                <w:color w:val="auto"/>
              </w:rPr>
            </w:pPr>
          </w:p>
        </w:tc>
        <w:tc>
          <w:tcPr>
            <w:tcW w:w="560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412"/>
        </w:trPr>
        <w:tc>
          <w:tcPr>
            <w:tcW w:w="10700" w:type="dxa"/>
            <w:vAlign w:val="bottom"/>
            <w:gridSpan w:val="16"/>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760" w:type="dxa"/>
            <w:vAlign w:val="bottom"/>
          </w:tcPr>
          <w:p>
            <w:pPr>
              <w:spacing w:after="0"/>
              <w:rPr>
                <w:sz w:val="24"/>
                <w:szCs w:val="24"/>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460" w:type="dxa"/>
            <w:vAlign w:val="bottom"/>
            <w:tcBorders>
              <w:top w:val="single" w:sz="8" w:color="0000EE"/>
            </w:tcBorders>
          </w:tcPr>
          <w:p>
            <w:pPr>
              <w:spacing w:after="0"/>
              <w:rPr>
                <w:sz w:val="24"/>
                <w:szCs w:val="24"/>
                <w:color w:val="auto"/>
              </w:rPr>
            </w:pPr>
          </w:p>
        </w:tc>
        <w:tc>
          <w:tcPr>
            <w:tcW w:w="846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18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6.</w:t>
              </w:r>
            </w:hyperlink>
          </w:p>
        </w:tc>
        <w:tc>
          <w:tcPr>
            <w:tcW w:w="9980" w:type="dxa"/>
            <w:vAlign w:val="bottom"/>
            <w:gridSpan w:val="14"/>
          </w:tcPr>
          <w:p>
            <w:pPr>
              <w:ind w:left="2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80" w:type="dxa"/>
            <w:vAlign w:val="bottom"/>
          </w:tcPr>
          <w:p>
            <w:pPr>
              <w:spacing w:after="0"/>
              <w:rPr>
                <w:sz w:val="17"/>
                <w:szCs w:val="17"/>
                <w:color w:val="auto"/>
              </w:rPr>
            </w:pPr>
          </w:p>
        </w:tc>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936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520" w:type="dxa"/>
            <w:vAlign w:val="bottom"/>
            <w:gridSpan w:val="1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Exhibit Index</w:t>
              </w:r>
            </w:hyperlink>
          </w:p>
        </w:tc>
        <w:tc>
          <w:tcPr>
            <w:tcW w:w="9520" w:type="dxa"/>
            <w:vAlign w:val="bottom"/>
            <w:gridSpan w:val="1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453"/>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0" w:type="dxa"/>
            <w:vAlign w:val="bottom"/>
            <w:gridSpan w:val="10"/>
          </w:tcPr>
          <w:p>
            <w:pPr>
              <w:ind w:left="494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 2016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32,482</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187,646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217,781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7,538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4,077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228,782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11,293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1,879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271,206</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337,584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706</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Current Portion of Long-Term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4,360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20,003</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16,494</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180"/>
              <w:spacing w:after="0" w:line="201" w:lineRule="exact"/>
              <w:rPr>
                <w:sz w:val="20"/>
                <w:szCs w:val="20"/>
                <w:color w:val="auto"/>
              </w:rPr>
            </w:pPr>
            <w:r>
              <w:rPr>
                <w:rFonts w:ascii="Arial" w:cs="Arial" w:eastAsia="Arial" w:hAnsi="Arial"/>
                <w:sz w:val="18"/>
                <w:szCs w:val="18"/>
                <w:color w:val="auto"/>
                <w:w w:val="91"/>
              </w:rPr>
              <w:t>Convertible Preferred Stock, $.01 Par Value; 3,000,000 Shares Authorized; No Shares Issued and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rPr>
              <w:t>Outstanding at June 30, 2016 and December 31, 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$.001 Par Value; 297,000,000 Shares Authorized; 99,394,537 and 98,685,595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at June 30, 2016 and December 31, 2015, respectively</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889,468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878,655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(657,581)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(590,956)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234,709</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271,206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24"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2016</w:t>
            </w: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2016</w:t>
            </w:r>
          </w:p>
        </w:tc>
        <w:tc>
          <w:tcPr>
            <w:tcW w:w="1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53,158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17,097</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33,755</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70,762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(32,366)</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(32,750)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(68,070)</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(31,952)</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(66,625)</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(0.67)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7"/>
              </w:rPr>
              <w:t>Shares Used in Calculating Basic and Diluted Net Loss per</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98,817</w:t>
            </w:r>
          </w:p>
        </w:tc>
        <w:tc>
          <w:tcPr>
            <w:tcW w:w="180" w:type="dxa"/>
            <w:vAlign w:val="bottom"/>
          </w:tcPr>
          <w:p>
            <w:pPr>
              <w:spacing w:after="0"/>
              <w:rPr>
                <w:sz w:val="17"/>
                <w:szCs w:val="17"/>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98,482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98,753</w:t>
            </w:r>
          </w:p>
        </w:tc>
        <w:tc>
          <w:tcPr>
            <w:tcW w:w="180" w:type="dxa"/>
            <w:vAlign w:val="bottom"/>
          </w:tcPr>
          <w:p>
            <w:pPr>
              <w:spacing w:after="0"/>
              <w:rPr>
                <w:sz w:val="17"/>
                <w:szCs w:val="17"/>
                <w:color w:val="auto"/>
              </w:rPr>
            </w:pP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95,477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Share</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June 30, 2016</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(66,625)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or Disposal of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7,913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and Other Receivables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540"/>
              <w:spacing w:after="0"/>
              <w:rPr>
                <w:sz w:val="20"/>
                <w:szCs w:val="20"/>
                <w:color w:val="auto"/>
              </w:rPr>
            </w:pPr>
            <w:r>
              <w:rPr>
                <w:rFonts w:ascii="Arial" w:cs="Arial" w:eastAsia="Arial" w:hAnsi="Arial"/>
                <w:sz w:val="18"/>
                <w:szCs w:val="18"/>
                <w:color w:val="auto"/>
              </w:rPr>
              <w:t>Prepaid and Other Current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(3,124)</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540"/>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(10,212)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(68,732)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149,367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(120,053)</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(164,434)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Other</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(1,307)</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Net Proceeds from Stock Issuances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2,551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(39,626)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72,108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32,482</w:t>
            </w:r>
          </w:p>
        </w:tc>
        <w:tc>
          <w:tcPr>
            <w:tcW w:w="2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81,584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i w:val="1"/>
                <w:iCs w:val="1"/>
                <w:color w:val="auto"/>
              </w:rPr>
              <w:t>Non-cash Investing Activities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 included in Accounts Payable and Accrued Expenses</w:t>
            </w:r>
          </w:p>
        </w:tc>
        <w:tc>
          <w:tcPr>
            <w:tcW w:w="11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2015, which are included in the Company’s Annual Report on Form 10-K/A filed with the Securities and Exchange Commission (“SEC”) on February 25, 2016.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June 30, 2016, the Company had cash, cash equivalents and marketable securities of $220.1 million. The Company incurred a loss of</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$66.6 million for the six months ended June 30, 2016. Net cash used in operations for the six months ended June 30, 2016 was $68.7 million. The Company believes that the cash, cash equivalents and marketable securities at June 30, 2016 will be sufficient to meet estimated working capital requirements and fund planned operations for at least the next twelve months.</w:t>
      </w:r>
    </w:p>
    <w:p>
      <w:pPr>
        <w:spacing w:after="0" w:line="19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jc w:val="both"/>
        <w:ind w:right="60" w:firstLine="630"/>
        <w:spacing w:after="0" w:line="264"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six months ended June 30, 2016 are consistent with those discussed in Note 2 to the financial statements in our Annual Report on Form 10-K/A for the year ended December 31, 2015, except for the adoption of new accounting standards during the first six months of 2016 as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2016, the FASB issued a new U.S. GAAP accounting standard which requires that all lessees recognize the assets and liabilities that arise from leases on the balance sheet and disclose qualitative and quantitative information about its leasing arrangements. The new standard will be effective for the Company on January 1, 2019. The Company is currently evaluating the potential impact that this standard may have on the Company’s financial statements.</w:t>
      </w:r>
    </w:p>
    <w:p>
      <w:pPr>
        <w:sectPr>
          <w:pgSz w:w="11900" w:h="16838" w:orient="portrait"/>
          <w:cols w:equalWidth="0" w:num="1">
            <w:col w:w="11420"/>
          </w:cols>
          <w:pgMar w:left="240" w:top="356" w:right="239" w:bottom="183" w:gutter="0" w:footer="0" w:header="0"/>
        </w:sectPr>
      </w:pPr>
    </w:p>
    <w:bookmarkStart w:id="4" w:name="page5"/>
    <w:bookmarkEnd w:id="4"/>
    <w:p>
      <w:pPr>
        <w:ind w:right="220" w:firstLine="648"/>
        <w:spacing w:after="0" w:line="259" w:lineRule="auto"/>
        <w:rPr>
          <w:sz w:val="20"/>
          <w:szCs w:val="20"/>
          <w:color w:val="auto"/>
        </w:rPr>
      </w:pPr>
      <w:r>
        <w:rPr>
          <w:rFonts w:ascii="Arial" w:cs="Arial" w:eastAsia="Arial" w:hAnsi="Arial"/>
          <w:sz w:val="18"/>
          <w:szCs w:val="18"/>
          <w:color w:val="auto"/>
        </w:rPr>
        <w:t>In March 2016, the FASB issued a new U.S. GAAP accounting standard which involves several aspects of the accounting for share-based payment transactions, including the income tax consequences, classification of awards as either equity or liabilities and classification on the statement of cash flows. The new standard will be effective for the Company on January 1, 2017. The Company is currently evaluating the potential impact that this standard may have on the Company’s financial statements.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June 2016, the FASB issued a new U.S. GAAP accounting standard which changes the impairment model for most financial assets and certain other instruments. Under the new standard, entities holding financial assets and net investment in leases that are not accounted for at fair value through net income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new standard will be effective for the Company on January 1, 2020. The adoption of this standard is not expected to have a material impact on the Company’s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4"/>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10,260,073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10,320,073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8,161,183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Income by component for the three and six months ended June 30, 2016 are summarized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amounts were reclassified out of accumulated other comprehensive income during the three or six months ended June 30,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Unrealized Gain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(Loss) 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Securities, net of tax</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Currency Items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1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1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60" w:type="dxa"/>
            <w:vAlign w:val="bottom"/>
            <w:vMerge w:val="restart"/>
          </w:tcPr>
          <w:p>
            <w:pPr>
              <w:jc w:val="right"/>
              <w:ind w:right="57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 2016</w:t>
            </w: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25,116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187,646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187,646</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24"/>
                <w:szCs w:val="2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December 31, 2015</w:t>
            </w: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59,831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59,831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217,781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217,781</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277,612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90" w:gutter="0" w:footer="0" w:header="0"/>
        </w:sectPr>
      </w:pPr>
    </w:p>
    <w:bookmarkStart w:id="5" w:name="page6"/>
    <w:bookmarkEnd w:id="5"/>
    <w:p>
      <w:pPr>
        <w:ind w:right="100" w:firstLine="648"/>
        <w:spacing w:after="0" w:line="293"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256"/>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left="256"/>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256"/>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65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2016</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63,618</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69,000</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115,497</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118,519</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118,562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187,519</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187,646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48,871</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48,855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15,940</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64,811</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129,327</w:t>
            </w:r>
          </w:p>
        </w:tc>
        <w:tc>
          <w:tcPr>
            <w:tcW w:w="300" w:type="dxa"/>
            <w:vAlign w:val="bottom"/>
          </w:tcPr>
          <w:p>
            <w:pPr>
              <w:spacing w:after="0"/>
              <w:rPr>
                <w:sz w:val="18"/>
                <w:szCs w:val="18"/>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23,932</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153,259</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(243)</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153,019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218,070</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(320</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217,781</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June 30, 2016. Marketable securities include $0.8 million and $1.5 million in accrued interest at June 30, 2016 and December 31,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2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June 30, 2016</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1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jc w:val="right"/>
              <w:ind w:right="496"/>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00"/>
              <w:spacing w:after="0"/>
              <w:rPr>
                <w:sz w:val="20"/>
                <w:szCs w:val="20"/>
                <w:color w:val="auto"/>
              </w:rPr>
            </w:pPr>
            <w:r>
              <w:rPr>
                <w:rFonts w:ascii="Arial" w:cs="Arial" w:eastAsia="Arial" w:hAnsi="Arial"/>
                <w:sz w:val="18"/>
                <w:szCs w:val="18"/>
                <w:color w:val="auto"/>
              </w:rPr>
              <w:t>IPR&amp;D</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Indefinite</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11,800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11,800</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Amgen Amendment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 years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00"/>
              <w:spacing w:after="0"/>
              <w:rPr>
                <w:sz w:val="20"/>
                <w:szCs w:val="20"/>
                <w:color w:val="auto"/>
              </w:rPr>
            </w:pPr>
            <w:r>
              <w:rPr>
                <w:rFonts w:ascii="Arial" w:cs="Arial" w:eastAsia="Arial" w:hAnsi="Arial"/>
                <w:sz w:val="18"/>
                <w:szCs w:val="18"/>
                <w:color w:val="auto"/>
              </w:rPr>
              <w:t>Core Technology</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11 years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260" w:type="dxa"/>
            <w:vAlign w:val="bottom"/>
            <w:vMerge w:val="restart"/>
          </w:tcPr>
          <w:p>
            <w:pPr>
              <w:jc w:val="right"/>
              <w:ind w:right="36"/>
              <w:spacing w:after="0"/>
              <w:rPr>
                <w:sz w:val="20"/>
                <w:szCs w:val="20"/>
                <w:color w:val="auto"/>
              </w:rPr>
            </w:pPr>
            <w:r>
              <w:rPr>
                <w:rFonts w:ascii="Arial" w:cs="Arial" w:eastAsia="Arial" w:hAnsi="Arial"/>
                <w:sz w:val="18"/>
                <w:szCs w:val="18"/>
                <w:color w:val="auto"/>
              </w:rPr>
              <w:t>Indefinite</w:t>
            </w: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IPR&amp;D intangible asset was recorded in connection with the acquisition of CuraGen and relates to the development of glembatumumab vedotin. At the date of acquisition and at June 30, 2016, glembatumumab vedotin had not yet reached technological feasibility nor did it have any alternative future use. Glembatumumab vedotin is in a randomized, Phase 2b study for the treatment of triple negative breast cancer and a Phase 2 study for the treatment of metastatic melanoma.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April 2016, the Company entered into a research and collaboration agreement with an undisclosed private company to access novel technologies and paid $3.5 million to support research activities and make an investment in the private company. At June 30, 2016, the Company has recorded $1.8 million to other assets related to this investment and $1.7 million was initially recorded to prepaid and other currents assets and will be amortized over the term of the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ectPr>
          <w:pgSz w:w="11900" w:h="16838" w:orient="portrait"/>
          <w:cols w:equalWidth="0" w:num="1">
            <w:col w:w="11460"/>
          </w:cols>
          <w:pgMar w:left="240" w:top="125" w:right="199" w:bottom="0" w:gutter="0" w:footer="0" w:header="0"/>
        </w:sectPr>
      </w:pPr>
    </w:p>
    <w:bookmarkStart w:id="6" w:name="page7"/>
    <w:bookmarkEnd w:id="6"/>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June 30,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r>
      <w:tr>
        <w:trPr>
          <w:trHeight w:val="142"/>
        </w:trPr>
        <w:tc>
          <w:tcPr>
            <w:tcW w:w="5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5"/>
          </w:tcPr>
          <w:p>
            <w:pPr>
              <w:jc w:val="right"/>
              <w:ind w:right="10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6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4,661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Deferred Revenue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4,172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4,368</w:t>
            </w:r>
          </w:p>
        </w:tc>
      </w:tr>
      <w:tr>
        <w:trPr>
          <w:trHeight w:val="210"/>
        </w:trPr>
        <w:tc>
          <w:tcPr>
            <w:tcW w:w="56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Less Current Portion</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(4,418)</w:t>
            </w:r>
          </w:p>
        </w:tc>
      </w:tr>
      <w:tr>
        <w:trPr>
          <w:trHeight w:val="210"/>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November 2015, December 2014, January 2014, January 2013 and January 2012, the Company received approval from the New Jersey Economic Development Authority and agreed to sell New Jersey tax benefits of $9.8 million, $1.9 million, $1.1 million, $0.8 million and $0.8 million to an independent third party for $9.2 million, $1.8 million, $1.0 million, $0.8 million and $0.7 million, respectively. Under the agreement, the Company must maintain a base of operations in New Jersey for five years or the tax benefits must be paid back on a pro-rata basis based on the number of years completed. During the six months ended June 30, 2016 and 2015, the Company recorded $0.6 million and $0.6 million to other income related to the sale of these tax benefits,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March 2015, the Company issued 8,337,500 shares of its common stock in an underwritten public offering resulting in net proceeds to the Company of $188.8 million, after deducting underwriting fees and offering expenses.</w:t>
      </w:r>
    </w:p>
    <w:p>
      <w:pPr>
        <w:spacing w:after="0" w:line="17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May 2016, the Company entered into an agreement with Cantor Fitzgerald &amp; Co. to allow the Company to issue and sell shares of its common stock having an aggregate offering price of up to $60.0 million from time to time through Cantor, acting as agent. Subject to the terms and conditions of the agreement, Cantor will sell shares from time to time based upon the Company’s instructions, including any price, time or size limits specified by the Company. Under the agreement, the Company pays Cantor a fixed commission rate of 3.0% of the gross sales price per share of any common stock sold through Cantor, as agent. In June and July 2016, the Company issued 593,111 and 1,109,536 shares under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agreement and raised $2.7 million and $5.0 million in net proceeds, respectively. At July 31, 2016, the Company had $52.0 million remaining in aggregate gross offering price available under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2016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2015</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8,110,239</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13.13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2,291,250</w:t>
            </w:r>
          </w:p>
        </w:tc>
        <w:tc>
          <w:tcPr>
            <w:tcW w:w="300" w:type="dxa"/>
            <w:vAlign w:val="bottom"/>
          </w:tcPr>
          <w:p>
            <w:pPr>
              <w:spacing w:after="0"/>
              <w:rPr>
                <w:sz w:val="18"/>
                <w:szCs w:val="18"/>
                <w:color w:val="auto"/>
              </w:rPr>
            </w:pP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4.86</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(37,942)</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(103,474)</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15.92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2016</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10,260,073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11.29</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June 30, 2016</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vMerge w:val="restart"/>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84"/>
              </w:rPr>
              <w:t>11.30</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10,175,654</w:t>
            </w:r>
          </w:p>
        </w:tc>
        <w:tc>
          <w:tcPr>
            <w:tcW w:w="3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2016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5,558,678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10.20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380" w:type="dxa"/>
            <w:vAlign w:val="bottom"/>
          </w:tcPr>
          <w:p>
            <w:pPr>
              <w:jc w:val="right"/>
              <w:spacing w:after="0"/>
              <w:rPr>
                <w:sz w:val="20"/>
                <w:szCs w:val="20"/>
                <w:color w:val="auto"/>
              </w:rPr>
            </w:pPr>
            <w:r>
              <w:rPr>
                <w:rFonts w:ascii="Arial" w:cs="Arial" w:eastAsia="Arial" w:hAnsi="Arial"/>
                <w:sz w:val="18"/>
                <w:szCs w:val="18"/>
                <w:color w:val="auto"/>
              </w:rPr>
              <w:t>3,542,107</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six months ended June 30, 2016 was $3.23. Stock-based compensation expense for the three and six months ended June 30, 2016 and 2015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2,008</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1,965</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1,283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4,089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2,296</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3,973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and director stock options granted during the three and six months ended June 30, 2016 and 2015 were valued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70 - 77%</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67 - 69%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option term</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 – 1.6%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1.8 - 2.2%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w:t>
      </w:r>
    </w:p>
    <w:p>
      <w:pPr>
        <w:sectPr>
          <w:pgSz w:w="11900" w:h="16838" w:orient="portrait"/>
          <w:cols w:equalWidth="0" w:num="1">
            <w:col w:w="11420"/>
          </w:cols>
          <w:pgMar w:left="240" w:top="125" w:right="239" w:bottom="9"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Bristol-Myers Squibb Company (BMS)</w:t>
      </w:r>
    </w:p>
    <w:p>
      <w:pPr>
        <w:spacing w:after="0" w:line="225"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In May 2014, the Company entered into a clinical trial collaboration with BMS to evaluate the safety, tolerability and preliminary efficacy of varlilumab and Opdivo</w:t>
      </w:r>
      <w:r>
        <w:rPr>
          <w:rFonts w:ascii="Arial" w:cs="Arial" w:eastAsia="Arial" w:hAnsi="Arial"/>
          <w:sz w:val="23"/>
          <w:szCs w:val="23"/>
          <w:color w:val="auto"/>
          <w:vertAlign w:val="superscript"/>
        </w:rPr>
        <w:t>®</w:t>
      </w:r>
      <w:r>
        <w:rPr>
          <w:rFonts w:ascii="Arial" w:cs="Arial" w:eastAsia="Arial" w:hAnsi="Arial"/>
          <w:sz w:val="18"/>
          <w:szCs w:val="18"/>
          <w:color w:val="auto"/>
        </w:rPr>
        <w:t>, BMS’s PD-1 immune checkpoint inhibitor, in a Phase 1/2 study. Under the terms of this clinical trial collaboration, BMS made a one-time payment to the Company of $5.0 million and BMS and the Company amended the terms of the Company’s existing license agreement with Medarex (a subsidiary of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 antagonist antibody and anti-CD27 agonist antibody combination regimens. The clinical trial collaboration provides that the companies will share development costs and that the Company will be responsible for conducting the ongoing Phase 1/2 study.</w:t>
      </w:r>
    </w:p>
    <w:p>
      <w:pPr>
        <w:spacing w:after="0" w:line="20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straight-line basis over the estimated 5-year performance period using the Contingency Adjusted Performance Model (“CAPM”). The BMS agreement also provides for BMS to reimburse the Company for 50% of the external costs incurred by the Company in connection with the clinical trial. These BMS payments will be recognized as revenue under the CAPM. The Company recorded $0.6 million and $1.0 million in revenue related to the BMS agreement during the three and six months ended June 30, 2016, respectively, and $0.3 million and $0.6 million during the three and six months ended June 30,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September 2013, the Company entered into an agreement, as amended, with Rockefeller pursuant to which the Company performs research and development services for Rockefeller. The Company bills Rockefeller quarterly for actual time and direct costs incurred and records those amounts to revenue in the quarter the services are performed. The Company recorded $0.4 million and $0.8 million in revenue related to the Rockefeller agreement during the three and six months ended June 30, 2016 and $1.5 million and $1.6 million during the three and six months ended June 30, 2015,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June 30, 2016 and December 31, 2015 against the Company’s net deferred tax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14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glembatumumab vedotin (also referred to as CDX-011) and other drug candidates and the growth of the markets for those drug candidates;</w:t>
      </w:r>
    </w:p>
    <w:p>
      <w:pPr>
        <w:spacing w:after="0" w:line="181" w:lineRule="exact"/>
        <w:rPr>
          <w:rFonts w:ascii="Arial" w:cs="Arial" w:eastAsia="Arial" w:hAnsi="Arial"/>
          <w:sz w:val="18"/>
          <w:szCs w:val="18"/>
          <w:color w:val="auto"/>
        </w:rPr>
      </w:pPr>
    </w:p>
    <w:p>
      <w:pPr>
        <w:ind w:left="980" w:right="20" w:hanging="324"/>
        <w:spacing w:after="0" w:line="259"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glembatumumab vedotin and varlilumab (also referred to as CDX-1127);</w:t>
      </w:r>
    </w:p>
    <w:p>
      <w:pPr>
        <w:sectPr>
          <w:pgSz w:w="11900" w:h="16838" w:orient="portrait"/>
          <w:cols w:equalWidth="0" w:num="1">
            <w:col w:w="11420"/>
          </w:cols>
          <w:pgMar w:left="240" w:top="125" w:right="239" w:bottom="0" w:gutter="0" w:footer="0" w:header="0"/>
        </w:sectPr>
      </w:pPr>
    </w:p>
    <w:bookmarkStart w:id="8" w:name="page9"/>
    <w:bookmarkEnd w:id="8"/>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cost, timing, scope and results of ongoing safety and efficacy trials of glembatumumab vedotin, and other preclinical and clinical testing;</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40" w:hanging="324"/>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8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70" w:lineRule="exact"/>
        <w:rPr>
          <w:rFonts w:ascii="Arial" w:cs="Arial" w:eastAsia="Arial" w:hAnsi="Arial"/>
          <w:sz w:val="18"/>
          <w:szCs w:val="18"/>
          <w:color w:val="auto"/>
        </w:rPr>
      </w:pPr>
    </w:p>
    <w:p>
      <w:pPr>
        <w:ind w:left="980" w:right="42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81" w:lineRule="exact"/>
        <w:rPr>
          <w:rFonts w:ascii="Arial" w:cs="Arial" w:eastAsia="Arial" w:hAnsi="Arial"/>
          <w:sz w:val="18"/>
          <w:szCs w:val="18"/>
          <w:color w:val="auto"/>
        </w:rPr>
      </w:pPr>
    </w:p>
    <w:p>
      <w:pPr>
        <w:ind w:left="980" w:right="10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10-K/A for the year ended December 31, 2015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protein-based molecules such as vaccines, antibodies and antibody-drug conjugates that are used to treat specific types of cancer or other diseases.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latest stage drug candidate,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their cancer. We established proof of concept in a Phase 1 study with varlilumab, which has allowed several combination studies to begin in various indications. We also have a number of earlier stage drug candidates in clinical development, including CDX-1401, a targeted immunotherapeutic aimed at antigen presenting cells, or APCs, for cancer indications, CDX-301, an immune cell mobilizing agent and dendritic cell growth factor, and CDX-014, an antibody drug conjugate targeting TIM-1. Our drug candidates address market opportunities for which we believe current therapies are inadequate or non-existent.</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current clinical pipeline.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20"/>
                <w:szCs w:val="20"/>
                <w:color w:val="auto"/>
              </w:rPr>
            </w:pPr>
            <w:r>
              <w:rPr>
                <w:rFonts w:ascii="Arial" w:cs="Arial" w:eastAsia="Arial" w:hAnsi="Arial"/>
                <w:sz w:val="14"/>
                <w:szCs w:val="14"/>
                <w:b w:val="1"/>
                <w:bCs w:val="1"/>
                <w:color w:val="auto"/>
              </w:rPr>
              <w:t>Product (generic)</w:t>
            </w:r>
          </w:p>
        </w:tc>
        <w:tc>
          <w:tcPr>
            <w:tcW w:w="300" w:type="dxa"/>
            <w:vAlign w:val="bottom"/>
          </w:tcPr>
          <w:p>
            <w:pPr>
              <w:spacing w:after="0"/>
              <w:rPr>
                <w:sz w:val="14"/>
                <w:szCs w:val="14"/>
                <w:color w:val="auto"/>
              </w:rPr>
            </w:pPr>
          </w:p>
        </w:tc>
        <w:tc>
          <w:tcPr>
            <w:tcW w:w="4360" w:type="dxa"/>
            <w:vAlign w:val="bottom"/>
            <w:gridSpan w:val="2"/>
          </w:tcPr>
          <w:p>
            <w:pPr>
              <w:ind w:left="1540"/>
              <w:spacing w:after="0"/>
              <w:rPr>
                <w:sz w:val="20"/>
                <w:szCs w:val="20"/>
                <w:color w:val="auto"/>
              </w:rPr>
            </w:pPr>
            <w:r>
              <w:rPr>
                <w:rFonts w:ascii="Arial" w:cs="Arial" w:eastAsia="Arial" w:hAnsi="Arial"/>
                <w:sz w:val="14"/>
                <w:szCs w:val="14"/>
                <w:b w:val="1"/>
                <w:bCs w:val="1"/>
                <w:color w:val="auto"/>
              </w:rPr>
              <w:t>Indication/Field</w:t>
            </w: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Partner</w:t>
            </w:r>
          </w:p>
        </w:tc>
        <w:tc>
          <w:tcPr>
            <w:tcW w:w="2060" w:type="dxa"/>
            <w:vAlign w:val="bottom"/>
          </w:tcPr>
          <w:p>
            <w:pPr>
              <w:ind w:left="84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Glembatumumab vedotin</w:t>
            </w:r>
          </w:p>
        </w:tc>
        <w:tc>
          <w:tcPr>
            <w:tcW w:w="30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Triple negative breast cancer</w:t>
            </w:r>
          </w:p>
        </w:tc>
        <w:tc>
          <w:tcPr>
            <w:tcW w:w="3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2b</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Glembatumumab vedotin</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Metastatic melanoma</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2060" w:type="dxa"/>
            <w:vAlign w:val="bottom"/>
          </w:tcPr>
          <w:p>
            <w:pPr>
              <w:spacing w:after="0"/>
              <w:rPr>
                <w:sz w:val="20"/>
                <w:szCs w:val="20"/>
                <w:color w:val="auto"/>
              </w:rPr>
            </w:pPr>
            <w:r>
              <w:rPr>
                <w:rFonts w:ascii="Arial" w:cs="Arial" w:eastAsia="Arial" w:hAnsi="Arial"/>
                <w:sz w:val="18"/>
                <w:szCs w:val="18"/>
                <w:color w:val="auto"/>
              </w:rPr>
              <w:t>Phase 2</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Varlilumab</w:t>
            </w:r>
          </w:p>
        </w:tc>
        <w:tc>
          <w:tcPr>
            <w:tcW w:w="4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Multiple solid tumors (with nivolumab)</w:t>
            </w: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Phase 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Varlilumab</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Metastatic melanoma (with ipilimumab)</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2060" w:type="dxa"/>
            <w:vAlign w:val="bottom"/>
          </w:tcPr>
          <w:p>
            <w:pPr>
              <w:spacing w:after="0"/>
              <w:rPr>
                <w:sz w:val="20"/>
                <w:szCs w:val="20"/>
                <w:color w:val="auto"/>
              </w:rPr>
            </w:pPr>
            <w:r>
              <w:rPr>
                <w:rFonts w:ascii="Arial" w:cs="Arial" w:eastAsia="Arial" w:hAnsi="Arial"/>
                <w:sz w:val="18"/>
                <w:szCs w:val="18"/>
                <w:color w:val="auto"/>
              </w:rPr>
              <w:t>Phase 1</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Varlilumab</w:t>
            </w:r>
          </w:p>
        </w:tc>
        <w:tc>
          <w:tcPr>
            <w:tcW w:w="4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Renal cell carcinoma (with sunitinib)</w:t>
            </w: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Phase 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Varlilumab</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Multiple solid tumors (with atezolizumab)</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2060" w:type="dxa"/>
            <w:vAlign w:val="bottom"/>
          </w:tcPr>
          <w:p>
            <w:pPr>
              <w:spacing w:after="0"/>
              <w:rPr>
                <w:sz w:val="20"/>
                <w:szCs w:val="20"/>
                <w:color w:val="auto"/>
              </w:rPr>
            </w:pPr>
            <w:r>
              <w:rPr>
                <w:rFonts w:ascii="Arial" w:cs="Arial" w:eastAsia="Arial" w:hAnsi="Arial"/>
                <w:sz w:val="18"/>
                <w:szCs w:val="18"/>
                <w:color w:val="auto"/>
              </w:rPr>
              <w:t>Phase 1</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CDX-1401</w:t>
            </w:r>
          </w:p>
        </w:tc>
        <w:tc>
          <w:tcPr>
            <w:tcW w:w="4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Multiple solid tumors</w:t>
            </w: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Phase 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CDX-301</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Multiple indications</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2060" w:type="dxa"/>
            <w:vAlign w:val="bottom"/>
          </w:tcPr>
          <w:p>
            <w:pPr>
              <w:spacing w:after="0"/>
              <w:rPr>
                <w:sz w:val="20"/>
                <w:szCs w:val="20"/>
                <w:color w:val="auto"/>
              </w:rPr>
            </w:pPr>
            <w:r>
              <w:rPr>
                <w:rFonts w:ascii="Arial" w:cs="Arial" w:eastAsia="Arial" w:hAnsi="Arial"/>
                <w:sz w:val="18"/>
                <w:szCs w:val="18"/>
                <w:color w:val="auto"/>
              </w:rPr>
              <w:t>Phase 1</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CDX-014</w:t>
            </w:r>
          </w:p>
        </w:tc>
        <w:tc>
          <w:tcPr>
            <w:tcW w:w="4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Renal cell carcinoma</w:t>
            </w: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Phase 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product candidate.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is not unusual for the clinical development of these types of product candidates to each take five years or more and for total development costs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product candidate. We estimate that clinical trials of the type we generally conduct are typically completed over the following timelines:</w:t>
      </w:r>
    </w:p>
    <w:p>
      <w:pPr>
        <w:sectPr>
          <w:pgSz w:w="11900" w:h="16838" w:orient="portrait"/>
          <w:cols w:equalWidth="0" w:num="1">
            <w:col w:w="11420"/>
          </w:cols>
          <w:pgMar w:left="240" w:top="125"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400" w:type="dxa"/>
            <w:vAlign w:val="bottom"/>
            <w:gridSpan w:val="2"/>
            <w:vMerge w:val="continue"/>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9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To the extent we are unable to maintain a broad range of product candidates, our dependence on the success of one or a few product candidates increases.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the past five years through December 31, 2015, we incurred an aggregate of $351.8 million in research and development expenses. The following table indicates the amount incurred for each of our significant research programs and for other identified research and development activities during the six months ended June 30, 2016 and 2015. The amounts disclosed in the following table reflect direct research and development costs, license fees associated with the underlying technology and an allocation of indirect research and development costs to each program.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tcPr>
          <w:p>
            <w:pPr>
              <w:jc w:val="right"/>
              <w:ind w:right="456"/>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Glembatumumab vedotin</w:t>
            </w:r>
          </w:p>
        </w:tc>
        <w:tc>
          <w:tcPr>
            <w:tcW w:w="4000" w:type="dxa"/>
            <w:vAlign w:val="bottom"/>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12,097</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8,895</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Varlilumab</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15,559</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8,182</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CDX-1401</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3,039</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1,790</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CDX-301</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2,643</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CDX-014</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1,882</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3,909</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Rintega</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13,640</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24,241</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Programs</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4,298</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3,678</w:t>
            </w:r>
          </w:p>
        </w:tc>
        <w:tc>
          <w:tcPr>
            <w:tcW w:w="80" w:type="dxa"/>
            <w:vAlign w:val="bottom"/>
            <w:shd w:val="clear" w:color="auto" w:fill="CCEEFF"/>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R&amp;D Expense</w:t>
            </w:r>
          </w:p>
        </w:tc>
        <w:tc>
          <w:tcPr>
            <w:tcW w:w="3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53,158</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51,615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ectPr>
          <w:pgSz w:w="11900" w:h="16838" w:orient="portrait"/>
          <w:cols w:equalWidth="0" w:num="1">
            <w:col w:w="11420"/>
          </w:cols>
          <w:pgMar w:left="240" w:top="320"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right="40" w:firstLine="648"/>
        <w:spacing w:after="0" w:line="280" w:lineRule="auto"/>
        <w:rPr>
          <w:sz w:val="20"/>
          <w:szCs w:val="20"/>
          <w:color w:val="auto"/>
        </w:rPr>
      </w:pPr>
      <w:r>
        <w:rPr>
          <w:rFonts w:ascii="Arial" w:cs="Arial" w:eastAsia="Arial" w:hAnsi="Arial"/>
          <w:sz w:val="16"/>
          <w:szCs w:val="16"/>
          <w:color w:val="auto"/>
        </w:rPr>
        <w:t>Glembatumumab vedotin is an antibody-drug conjugate, or ADC, that consists of a fully human monoclonal antibody, CR011, linked to a potent cell-killing drug, monomethyl-auristatin E, or MMAE. The CR011 antibody specifically targets glycoprotein NMB, referred to as gpNMB, that is over-expressed in a variety of cancers including breast cancer, melanoma, non-small cell lung cancer, uveal melanoma and osteosarcoma, among others. The ADC technology, comprised of MMAE and a stable linker system for attaching it to CR011, was licensed from Seattle Genetics, Inc. and is the same as that used in the marketed product Adcetris</w:t>
      </w:r>
      <w:r>
        <w:rPr>
          <w:rFonts w:ascii="Arial" w:cs="Arial" w:eastAsia="Arial" w:hAnsi="Arial"/>
          <w:sz w:val="20"/>
          <w:szCs w:val="20"/>
          <w:color w:val="auto"/>
          <w:vertAlign w:val="superscript"/>
        </w:rPr>
        <w:t>®</w:t>
      </w:r>
      <w:r>
        <w:rPr>
          <w:rFonts w:ascii="Arial" w:cs="Arial" w:eastAsia="Arial" w:hAnsi="Arial"/>
          <w:sz w:val="16"/>
          <w:szCs w:val="16"/>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 A companion diagnostic is in development for certain indications, and we expect that, if necessary, such a companion diagnostic must be approved by the FDA or certain other foreign regulatory agencies before glembatumumab vedotin may be commercialized in those indications.</w:t>
      </w:r>
    </w:p>
    <w:p>
      <w:pPr>
        <w:spacing w:after="0" w:line="17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color w:val="auto"/>
        </w:rPr>
        <w:t xml:space="preserve">Treatment of Metastatic Breast Cancer: </w:t>
      </w:r>
      <w:r>
        <w:rPr>
          <w:rFonts w:ascii="Arial" w:cs="Arial" w:eastAsia="Arial" w:hAnsi="Arial"/>
          <w:sz w:val="16"/>
          <w:szCs w:val="16"/>
          <w:color w:val="auto"/>
        </w:rPr>
        <w:t>The Phase 1/2 study of glembatumumab vedotin administered intravenously once every three weeks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evaluated patients with locally advanced or metastatic breast cancer who had received prior therapy (median of seven prior regimens). Results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September 2014. The study began with a bridging phase to confirm the maximum tolerated dose, or MTD, and then expanded into a Phase 2 open-label, multi-center study. The study confirmed the safety of glembatumumab vedotin at the pre-defined maximum dose level</w:t>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(1.88 mg/kg) in 6 patients. An additional 28 patients were enrolled in an expanded Phase 2 cohort (for a total of 34 treated patients at 1.88 mg/kg, the Phase 2 dose) to evaluate the progression-free survival (PFS) rate at 12 weeks. The 1.88 mg/kg dose was well tolerated in this patient population with the most common adverse events of rash, neuropathy and fatigue. The primary activity endpoint, which called for at least 5 of 25 (20%) patients in the Phase 2 study portion to be progression-free at 12 weeks, was met as 9 of 27 (33%) evaluable patients were progression-free at 12 weeks. For all patients treated at the maximum dose level, median PFS was 9.1 weeks.</w:t>
      </w:r>
    </w:p>
    <w:p>
      <w:pPr>
        <w:spacing w:after="0" w:line="19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12-week PFS rate was 60% (6/10), and median PFS was 17.9 weeks. Tumor samples from a subset of patients across all dose groups were analyzed for gpNMB expression. The tumor samples from most patients showed evidence of stromal and/or tumor cell expression of gpNMB.</w:t>
      </w:r>
    </w:p>
    <w:p>
      <w:pPr>
        <w:spacing w:after="0" w:line="17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The EMERGE study was a randomized, multi-center Phase 2b study of glembatumumab vedotin in 124 patients with heavily pre-treated, advanced, gpNMB-positive breast cancer. Results from EMERGE were published in the </w:t>
      </w:r>
      <w:r>
        <w:rPr>
          <w:rFonts w:ascii="Arial" w:cs="Arial" w:eastAsia="Arial" w:hAnsi="Arial"/>
          <w:sz w:val="17"/>
          <w:szCs w:val="17"/>
          <w:i w:val="1"/>
          <w:iCs w:val="1"/>
          <w:color w:val="auto"/>
        </w:rPr>
        <w:t>Journal of Clinical Oncology</w:t>
      </w:r>
      <w:r>
        <w:rPr>
          <w:rFonts w:ascii="Arial" w:cs="Arial" w:eastAsia="Arial" w:hAnsi="Arial"/>
          <w:sz w:val="17"/>
          <w:szCs w:val="17"/>
          <w:color w:val="auto"/>
        </w:rPr>
        <w:t xml:space="preserve"> in April 2015.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overall survival (OS). The final results, as shown below, suggested that glembatumumab vedotin induces significant response rates compared to currently available therapies in patient subsets with advanced, refractory breast cancers with high gpNMB expression (expression in at least 25% of tumor cells) and in patients with triple negative breast cancer. The OS and PFS of patients treated with glembatumumab vedotin was also observed to be greatest in patients with triple negative breast cancer who also have high gpNMB expression and all patients with high gpNMB expression.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Response Rate and Disease Control Data (Intent-to-Treat Population)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gridSpan w:val="5"/>
            <w:vMerge w:val="restart"/>
          </w:tcPr>
          <w:p>
            <w:pPr>
              <w:ind w:left="680"/>
              <w:spacing w:after="0"/>
              <w:rPr>
                <w:sz w:val="20"/>
                <w:szCs w:val="20"/>
                <w:color w:val="auto"/>
              </w:rPr>
            </w:pPr>
            <w:r>
              <w:rPr>
                <w:rFonts w:ascii="Arial" w:cs="Arial" w:eastAsia="Arial" w:hAnsi="Arial"/>
                <w:sz w:val="14"/>
                <w:szCs w:val="14"/>
                <w:b w:val="1"/>
                <w:bCs w:val="1"/>
                <w:color w:val="auto"/>
              </w:rPr>
              <w:t>High gpNMB Expression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Triple Negative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gpNMB Over-Expression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Glembatumumab</w:t>
            </w:r>
          </w:p>
        </w:tc>
        <w:tc>
          <w:tcPr>
            <w:tcW w:w="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90"/>
              <w:spacing w:after="0" w:line="119" w:lineRule="exact"/>
              <w:rPr>
                <w:sz w:val="20"/>
                <w:szCs w:val="20"/>
                <w:color w:val="auto"/>
              </w:rPr>
            </w:pPr>
            <w:r>
              <w:rPr>
                <w:rFonts w:ascii="Arial" w:cs="Arial" w:eastAsia="Arial" w:hAnsi="Arial"/>
                <w:sz w:val="13"/>
                <w:szCs w:val="13"/>
                <w:b w:val="1"/>
                <w:bCs w:val="1"/>
                <w:color w:val="auto"/>
              </w:rPr>
              <w:t>Investigator</w:t>
            </w: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Glembatumumab</w:t>
            </w:r>
          </w:p>
        </w:tc>
        <w:tc>
          <w:tcPr>
            <w:tcW w:w="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Vedotin</w:t>
            </w:r>
          </w:p>
        </w:tc>
        <w:tc>
          <w:tcPr>
            <w:tcW w:w="60" w:type="dxa"/>
            <w:vAlign w:val="bottom"/>
          </w:tcPr>
          <w:p>
            <w:pPr>
              <w:spacing w:after="0"/>
              <w:rPr>
                <w:sz w:val="14"/>
                <w:szCs w:val="14"/>
                <w:color w:val="auto"/>
              </w:rPr>
            </w:pPr>
          </w:p>
        </w:tc>
        <w:tc>
          <w:tcPr>
            <w:tcW w:w="1080" w:type="dxa"/>
            <w:vAlign w:val="bottom"/>
          </w:tcPr>
          <w:p>
            <w:pPr>
              <w:jc w:val="center"/>
              <w:ind w:left="90"/>
              <w:spacing w:after="0"/>
              <w:rPr>
                <w:sz w:val="20"/>
                <w:szCs w:val="20"/>
                <w:color w:val="auto"/>
              </w:rPr>
            </w:pPr>
            <w:r>
              <w:rPr>
                <w:rFonts w:ascii="Arial" w:cs="Arial" w:eastAsia="Arial" w:hAnsi="Arial"/>
                <w:sz w:val="14"/>
                <w:szCs w:val="14"/>
                <w:b w:val="1"/>
                <w:bCs w:val="1"/>
                <w:color w:val="auto"/>
                <w:w w:val="94"/>
              </w:rPr>
              <w:t>Choice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Vedotin</w:t>
            </w:r>
          </w:p>
        </w:tc>
        <w:tc>
          <w:tcPr>
            <w:tcW w:w="40" w:type="dxa"/>
            <w:vAlign w:val="bottom"/>
          </w:tcPr>
          <w:p>
            <w:pPr>
              <w:spacing w:after="0"/>
              <w:rPr>
                <w:sz w:val="14"/>
                <w:szCs w:val="14"/>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(n=23)</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ind w:left="90"/>
              <w:spacing w:after="0" w:line="142" w:lineRule="exact"/>
              <w:rPr>
                <w:sz w:val="20"/>
                <w:szCs w:val="20"/>
                <w:color w:val="auto"/>
              </w:rPr>
            </w:pPr>
            <w:r>
              <w:rPr>
                <w:rFonts w:ascii="Arial" w:cs="Arial" w:eastAsia="Arial" w:hAnsi="Arial"/>
                <w:sz w:val="14"/>
                <w:szCs w:val="14"/>
                <w:b w:val="1"/>
                <w:bCs w:val="1"/>
                <w:color w:val="auto"/>
                <w:w w:val="95"/>
              </w:rPr>
              <w:t>(n=11)</w:t>
            </w:r>
          </w:p>
        </w:tc>
        <w:tc>
          <w:tcPr>
            <w:tcW w:w="22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95"/>
              </w:rPr>
              <w:t>(n=10)</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Response</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6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Disease Control Rate</w:t>
            </w:r>
          </w:p>
        </w:tc>
        <w:tc>
          <w:tcPr>
            <w:tcW w:w="4400" w:type="dxa"/>
            <w:vAlign w:val="bottom"/>
            <w:gridSpan w:val="6"/>
          </w:tcPr>
          <w:p>
            <w:pPr>
              <w:jc w:val="right"/>
              <w:ind w:right="14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27%</w:t>
            </w:r>
          </w:p>
        </w:tc>
        <w:tc>
          <w:tcPr>
            <w:tcW w:w="1660" w:type="dxa"/>
            <w:vAlign w:val="bottom"/>
            <w:gridSpan w:val="4"/>
          </w:tcPr>
          <w:p>
            <w:pPr>
              <w:jc w:val="right"/>
              <w:ind w:right="140"/>
              <w:spacing w:after="0"/>
              <w:rPr>
                <w:sz w:val="20"/>
                <w:szCs w:val="20"/>
                <w:color w:val="auto"/>
              </w:rPr>
            </w:pPr>
            <w:r>
              <w:rPr>
                <w:rFonts w:ascii="Arial" w:cs="Arial" w:eastAsia="Arial" w:hAnsi="Arial"/>
                <w:sz w:val="18"/>
                <w:szCs w:val="18"/>
                <w:color w:val="auto"/>
              </w:rPr>
              <w:t>90%</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8"/>
        </w:trPr>
        <w:tc>
          <w:tcPr>
            <w:tcW w:w="6600" w:type="dxa"/>
            <w:vAlign w:val="bottom"/>
            <w:gridSpan w:val="8"/>
          </w:tcPr>
          <w:p>
            <w:pPr>
              <w:spacing w:after="0"/>
              <w:rPr>
                <w:sz w:val="20"/>
                <w:szCs w:val="20"/>
                <w:color w:val="auto"/>
              </w:rPr>
            </w:pPr>
            <w:r>
              <w:rPr>
                <w:rFonts w:ascii="Arial" w:cs="Arial" w:eastAsia="Arial" w:hAnsi="Arial"/>
                <w:sz w:val="18"/>
                <w:szCs w:val="18"/>
                <w:i w:val="1"/>
                <w:iCs w:val="1"/>
                <w:color w:val="auto"/>
              </w:rPr>
              <w:t>Responses per RECIST 1.1; IC = Investigator’s Choice</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700" w:type="dxa"/>
            <w:vAlign w:val="bottom"/>
            <w:gridSpan w:val="15"/>
          </w:tcPr>
          <w:p>
            <w:pPr>
              <w:jc w:val="right"/>
              <w:ind w:right="1260"/>
              <w:spacing w:after="0"/>
              <w:rPr>
                <w:sz w:val="20"/>
                <w:szCs w:val="20"/>
                <w:color w:val="auto"/>
              </w:rPr>
            </w:pPr>
            <w:r>
              <w:rPr>
                <w:rFonts w:ascii="Arial" w:cs="Arial" w:eastAsia="Arial" w:hAnsi="Arial"/>
                <w:sz w:val="18"/>
                <w:szCs w:val="18"/>
                <w:b w:val="1"/>
                <w:bCs w:val="1"/>
                <w:color w:val="auto"/>
              </w:rPr>
              <w:t>EMERGE: Progression Free Survival (PFS) and Overall Survival (OS) Data</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5"/>
            <w:vMerge w:val="restart"/>
          </w:tcPr>
          <w:p>
            <w:pPr>
              <w:ind w:left="740"/>
              <w:spacing w:after="0"/>
              <w:rPr>
                <w:sz w:val="20"/>
                <w:szCs w:val="20"/>
                <w:color w:val="auto"/>
              </w:rPr>
            </w:pPr>
            <w:r>
              <w:rPr>
                <w:rFonts w:ascii="Arial" w:cs="Arial" w:eastAsia="Arial" w:hAnsi="Arial"/>
                <w:sz w:val="14"/>
                <w:szCs w:val="14"/>
                <w:b w:val="1"/>
                <w:bCs w:val="1"/>
                <w:color w:val="auto"/>
              </w:rPr>
              <w:t>High gpNMB Expression</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Triple Negative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gpNMB Over-Expression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Glembatumumab</w:t>
            </w:r>
          </w:p>
        </w:tc>
        <w:tc>
          <w:tcPr>
            <w:tcW w:w="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190"/>
              <w:spacing w:after="0" w:line="119" w:lineRule="exact"/>
              <w:rPr>
                <w:sz w:val="20"/>
                <w:szCs w:val="20"/>
                <w:color w:val="auto"/>
              </w:rPr>
            </w:pPr>
            <w:r>
              <w:rPr>
                <w:rFonts w:ascii="Arial" w:cs="Arial" w:eastAsia="Arial" w:hAnsi="Arial"/>
                <w:sz w:val="13"/>
                <w:szCs w:val="13"/>
                <w:b w:val="1"/>
                <w:bCs w:val="1"/>
                <w:color w:val="auto"/>
              </w:rPr>
              <w:t>Investigator</w:t>
            </w: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Glembatumumab</w:t>
            </w:r>
          </w:p>
        </w:tc>
        <w:tc>
          <w:tcPr>
            <w:tcW w:w="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Investigator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Vedotin</w:t>
            </w:r>
          </w:p>
        </w:tc>
        <w:tc>
          <w:tcPr>
            <w:tcW w:w="60" w:type="dxa"/>
            <w:vAlign w:val="bottom"/>
          </w:tcPr>
          <w:p>
            <w:pPr>
              <w:spacing w:after="0"/>
              <w:rPr>
                <w:sz w:val="14"/>
                <w:szCs w:val="14"/>
                <w:color w:val="auto"/>
              </w:rPr>
            </w:pPr>
          </w:p>
        </w:tc>
        <w:tc>
          <w:tcPr>
            <w:tcW w:w="1080" w:type="dxa"/>
            <w:vAlign w:val="bottom"/>
          </w:tcPr>
          <w:p>
            <w:pPr>
              <w:jc w:val="center"/>
              <w:ind w:left="190"/>
              <w:spacing w:after="0"/>
              <w:rPr>
                <w:sz w:val="20"/>
                <w:szCs w:val="20"/>
                <w:color w:val="auto"/>
              </w:rPr>
            </w:pPr>
            <w:r>
              <w:rPr>
                <w:rFonts w:ascii="Arial" w:cs="Arial" w:eastAsia="Arial" w:hAnsi="Arial"/>
                <w:sz w:val="14"/>
                <w:szCs w:val="14"/>
                <w:b w:val="1"/>
                <w:bCs w:val="1"/>
                <w:color w:val="auto"/>
                <w:w w:val="89"/>
              </w:rPr>
              <w:t>Choice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Vedotin</w:t>
            </w:r>
          </w:p>
        </w:tc>
        <w:tc>
          <w:tcPr>
            <w:tcW w:w="4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Choice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2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2.8</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3.5</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3"/>
              </w:rPr>
              <w:t>p=0.18</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9"/>
              </w:rPr>
              <w:t>p=0.0017</w:t>
            </w: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800" w:type="dxa"/>
            <w:vAlign w:val="bottom"/>
            <w:gridSpan w:val="3"/>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Median OS (months)</w:t>
            </w:r>
          </w:p>
        </w:tc>
        <w:tc>
          <w:tcPr>
            <w:tcW w:w="25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91"/>
              </w:rPr>
              <w:t>10.0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3"/>
              </w:rPr>
              <w:t>p=0.31</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1"/>
              </w:rPr>
              <w:t>p=0.003</w:t>
            </w: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December 2013, we initiated METRIC, a randomized, controlled Phase 2b study of glembatumumab vedotin in patients with triple negative breast cancer that over-express gpNMB. Clinical trial sites are open to enrollment across the U.S., Canada, Australia and the European Union.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 significant opportunity existed to expand the study into the EU. The amendment expanded patient entry criteria to position it for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We implemented these changes in parallel to regulatory discussions to maintain momentum at open clinical trial sites. Since implementation, both the FDA and central European regulatory authorities have reviewed the protocol design, and we believe the METRIC study could support marketing approval in both the U.S. and Europe dependent upon data review.</w:t>
      </w:r>
    </w:p>
    <w:p>
      <w:pPr>
        <w:sectPr>
          <w:pgSz w:w="11900" w:h="16838" w:orient="portrait"/>
          <w:cols w:equalWidth="0" w:num="1">
            <w:col w:w="11420"/>
          </w:cols>
          <w:pgMar w:left="240" w:top="341" w:right="239" w:bottom="152" w:gutter="0" w:footer="0" w:header="0"/>
        </w:sectPr>
      </w:pPr>
    </w:p>
    <w:bookmarkStart w:id="11" w:name="page12"/>
    <w:bookmarkEnd w:id="11"/>
    <w:p>
      <w:pPr>
        <w:spacing w:after="0" w:line="2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Treatment of Metastatic Melanoma: </w:t>
      </w:r>
      <w:r>
        <w:rPr>
          <w:rFonts w:ascii="Arial" w:cs="Arial" w:eastAsia="Arial" w:hAnsi="Arial"/>
          <w:sz w:val="17"/>
          <w:szCs w:val="17"/>
          <w:color w:val="auto"/>
        </w:rPr>
        <w:t>The Phase 1/2 open-label, multi-center, dose escalation study evaluated the safety, tolerability and</w:t>
      </w:r>
      <w:r>
        <w:rPr>
          <w:rFonts w:ascii="Arial" w:cs="Arial" w:eastAsia="Arial" w:hAnsi="Arial"/>
          <w:sz w:val="17"/>
          <w:szCs w:val="17"/>
          <w:b w:val="1"/>
          <w:bCs w:val="1"/>
          <w:color w:val="auto"/>
        </w:rPr>
        <w:t xml:space="preserve"> </w:t>
      </w:r>
      <w:r>
        <w:rPr>
          <w:rFonts w:ascii="Arial" w:cs="Arial" w:eastAsia="Arial" w:hAnsi="Arial"/>
          <w:sz w:val="17"/>
          <w:szCs w:val="17"/>
          <w:color w:val="auto"/>
        </w:rPr>
        <w:t>pharmacokinetics of glembatumumab vedotin in 117 patients with unresectable stage III or IV melanoma who had failed no more than one prior line of cytotoxic therapy. The MTD was determined to be 1.88 mg/kg administered intravenously once every three weeks. The study achieved its primary activity objective with an overall response rate (ORR) in the Phase 2 cohort of 15% (5/34). Median PFS was 3.3 months for patients treated with the Phase 2 MTD. Glembatumumab vedotin was generally well tolerated, with the most frequent treatment-related adverse events being rash, fatigue, alopecia, pruritus, diarrhea and nausea. A nonsignificant trend toward prolonged PFS was seen for patients with tumors expressing higher levels of gpNMB. The development of rash, which may be associated with the presence of gpNMB in the skin, also seemed to correlate with greater PFS.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2014, we initiated a single arm, single-agent, open label Phase 2 study of glembatumumab vedotin in patients with unresectable stage</w:t>
      </w:r>
    </w:p>
    <w:p>
      <w:pPr>
        <w:spacing w:after="0" w:line="46" w:lineRule="exact"/>
        <w:rPr>
          <w:sz w:val="20"/>
          <w:szCs w:val="20"/>
          <w:color w:val="auto"/>
        </w:rPr>
      </w:pPr>
    </w:p>
    <w:p>
      <w:pPr>
        <w:ind w:right="60" w:firstLine="8"/>
        <w:spacing w:after="0" w:line="270" w:lineRule="auto"/>
        <w:tabs>
          <w:tab w:leader="none" w:pos="225" w:val="left"/>
        </w:tabs>
        <w:numPr>
          <w:ilvl w:val="0"/>
          <w:numId w:val="7"/>
        </w:numPr>
        <w:rPr>
          <w:rFonts w:ascii="Arial" w:cs="Arial" w:eastAsia="Arial" w:hAnsi="Arial"/>
          <w:sz w:val="17"/>
          <w:szCs w:val="17"/>
          <w:color w:val="auto"/>
        </w:rPr>
      </w:pPr>
      <w:r>
        <w:rPr>
          <w:rFonts w:ascii="Arial" w:cs="Arial" w:eastAsia="Arial" w:hAnsi="Arial"/>
          <w:sz w:val="17"/>
          <w:szCs w:val="17"/>
          <w:color w:val="auto"/>
        </w:rPr>
        <w:t>or IV melanoma (n=60) and enrollment has been completed. We recently amended the protocol to add a second cohort of patients to a glembatumumab vedotin and varlilumab combination arm to assess the potential clinical benefit of the combination and to explore varlilumab’s potential biologic and immunologic effect when combined with an ADC. This additional cohort is open to enrollment. The primary endpoint of each cohort is ORR. Secondary endpoints include analyses of PFS, duration of response, OS, retrospective investigation of whether the anticancer activity of glembatumumab vedotin is dependent upon the degree of gpNMB expression in tumor tissue and safety of both the monotherapy and combination regimen. We plan to present data from the single-agent cohort at the European Society for Medical Oncology (ESMO) Congress in October 2016.</w:t>
      </w:r>
    </w:p>
    <w:p>
      <w:pPr>
        <w:spacing w:after="0" w:line="17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Treatment of Other Indications: </w:t>
      </w:r>
      <w:r>
        <w:rPr>
          <w:rFonts w:ascii="Arial" w:cs="Arial" w:eastAsia="Arial" w:hAnsi="Arial"/>
          <w:sz w:val="17"/>
          <w:szCs w:val="17"/>
          <w:color w:val="auto"/>
        </w:rPr>
        <w:t>We have entered into a collaborative relationship with PrECOG, LLC, which represents a research network</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Eastern Cooperative Oncology Group (ECOG), under which PrECOG, LLC, is conducting an open-label Phase 1/2 study in patients with unresectable stage IIIB or IV, gpNMB-expressing, advanced or metastatic squamous cell carcinoma (SCC) of the lung, who have progressed on prior platinum-based chemotherapy. This study opened to enrollment in April 2016. The study includes a brief dose-escalation phase followed by a two-stage Phase 2 portion (Simon two-stage design). The Phase 1, dose-escalation portion of the study will assess the safety and tolerability of glembatumumab vedotin at the current dose of 1.9 mg/kg and then 2.2 mg/kg in order to determine whether higher dosing is feasible in this population. The first stage of the Phase 2 portion will enroll approximately 20 patients, and if at least two patients achieve a partial response or complete response, a second stage may enroll an additional 15 patients. The primary objective of the Phase 2 portion of the study is to assess the anti-tumor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efficacy of glembatumumab vedotin in squamous cell lung cancer as measured by ORR. Secondary objectives of the study include analyses of safety and tolerability and further assessment of anti-tumor activity across a broad range of endpoints.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also entered into a Cooperative Research and Development Agreement, or CRADA, with the National Cancer Institute, or NCI, under which NCI is sponsoring two studies of glembatumumab vedotin—one in uveal melanoma and one in osteosarcoma. Both studies are currently open to enrollment. The uveal melanoma study is a single arm, open label study in patients with locally recurrent or metastatic uveal melanoma. The primary outcome measure is ORR. Secondary outcome measures include change in gpNMB expression on tumor tissue via immunohistochemistry, safety, OS and PFS. The osteosarcoma study is a single arm, open label, evaluation of adolescent and adult patients with recurrent or refractory osteosarcoma. The co-primary objectives are to determine whether glembatumumab vedotin therapy either increases the disease control rate at 4 months in patients with recurrent measurable osteosarcoma as compared to historical experience and/or whether glembatumumab vedotin therapy produces an objective response rate greater than 20% in patients without previous eribulin (eribulin mesylate) treatment. Secondary outcome measures include safety, pharmacokinetics and the relation of gpNMB expression as measured by immunohistochemistry to clinical response.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360" w:firstLine="648"/>
        <w:spacing w:after="0" w:line="273" w:lineRule="auto"/>
        <w:rPr>
          <w:sz w:val="20"/>
          <w:szCs w:val="20"/>
          <w:color w:val="auto"/>
        </w:rPr>
      </w:pPr>
      <w:r>
        <w:rPr>
          <w:rFonts w:ascii="Arial" w:cs="Arial" w:eastAsia="Arial" w:hAnsi="Arial"/>
          <w:sz w:val="17"/>
          <w:szCs w:val="17"/>
          <w:color w:val="auto"/>
        </w:rPr>
        <w:t xml:space="preserve">Varlilumab, a fully human monoclonal agonist antibody, binds and activates CD27, a critical co-stimulatory molecule in the immune activation cascade, primarily by stimulating T cells to attack cancer cells. Restricted expression and regulation of CD27 enables varlilumab specifically to activate T cells, resulting in an enhanced immune response with a favorable safety profile. Varlilumab has also been shown to directly kill or inhibit the growth of CD27 expressing lymphomas and leukemias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We have entered into license agreements with the University of Southampton, UK for intellectual property to use anti-CD27 antibodies and with Medarex (now a subsidiary of the Bristol-Myers Squibb Company, or BMS) for access to the UltiMab technology to develop and commercialize human antibodies to CD27.</w:t>
      </w:r>
    </w:p>
    <w:p>
      <w:pPr>
        <w:spacing w:after="0" w:line="17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b w:val="1"/>
          <w:bCs w:val="1"/>
          <w:color w:val="auto"/>
        </w:rPr>
        <w:t xml:space="preserve">Single-agent Phase 1 Study: </w:t>
      </w:r>
      <w:r>
        <w:rPr>
          <w:rFonts w:ascii="Arial" w:cs="Arial" w:eastAsia="Arial" w:hAnsi="Arial"/>
          <w:sz w:val="17"/>
          <w:szCs w:val="17"/>
          <w:color w:val="auto"/>
        </w:rPr>
        <w:t>Patient treatment is complete in the open label Phase 1 study of varlilumab in patients with selected malignant solid</w:t>
      </w:r>
      <w:r>
        <w:rPr>
          <w:rFonts w:ascii="Arial" w:cs="Arial" w:eastAsia="Arial" w:hAnsi="Arial"/>
          <w:sz w:val="17"/>
          <w:szCs w:val="17"/>
          <w:b w:val="1"/>
          <w:bCs w:val="1"/>
          <w:color w:val="auto"/>
        </w:rPr>
        <w:t xml:space="preserve"> </w:t>
      </w:r>
      <w:r>
        <w:rPr>
          <w:rFonts w:ascii="Arial" w:cs="Arial" w:eastAsia="Arial" w:hAnsi="Arial"/>
          <w:sz w:val="17"/>
          <w:szCs w:val="17"/>
          <w:color w:val="auto"/>
        </w:rPr>
        <w:t>tumors or hematologic cancers at multiple clinical sites in the U.S. Initial dose escalation cohorts were conducted to determine an optimal dose for future study, and no maximum tolerated dose was reached. The lymphoid malignancies dose escalation arm completed enrollment (n=24), and a new cohort was added to include evaluation of T cell malignancies. An expansion cohort was also added at 0.3 mg/kg dosed once every three weeks in patients with Hodgkin lymphoma (n= up to 15). The solid tumor arm, which included patients with various solid tumors, completed dose escalation in 2013. Two expansion cohorts were subsequently added at 3 mg/kg dosed weekly in metastatic melanoma (n=16) and renal cell carcinoma, or RCC, (n=15) to better characterize clinical activity and further define the safety profile in preparation for combination studies.</w:t>
      </w:r>
    </w:p>
    <w:p>
      <w:pPr>
        <w:spacing w:after="0" w:line="176"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presented updated data from this Phase 1 study in November 2014. Varlilumab was very well tolerated and induced immunologic activity in patients that is consistent with both its mechanism of action and preclinical models. A total of 90 patients have been dosed in the study. 56 patients have been dosed in dose escalation cohorts (various solid and hematologic B-cell tumors), and 34 patients have been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Two patients experienced significant objective responses including a complete response in Hodgkin lymphoma (continues at 33.1+ months) and a partial response in renal cell carcinoma of 24.7+ months. Thirteen patients experienced stable disease with a range of 3-41.4+ months (as of April 2016) to-date. Based on the results observed in hematologic malignancies, an expansion cohort in up to 15 patients with Hodgkin lymphoma, and an abbreviated dose escalation in T cell hematologic malignancies were added and are now closed to enrollment. Any incremental data updates from this study will be included in future scientific presentations/publications.</w:t>
      </w:r>
    </w:p>
    <w:p>
      <w:pPr>
        <w:spacing w:after="0" w:line="169" w:lineRule="exact"/>
        <w:rPr>
          <w:sz w:val="20"/>
          <w:szCs w:val="20"/>
          <w:color w:val="auto"/>
        </w:rPr>
      </w:pPr>
    </w:p>
    <w:p>
      <w:pPr>
        <w:ind w:right="60" w:firstLine="648"/>
        <w:spacing w:after="0" w:line="280" w:lineRule="auto"/>
        <w:rPr>
          <w:sz w:val="20"/>
          <w:szCs w:val="20"/>
          <w:color w:val="auto"/>
        </w:rPr>
      </w:pPr>
      <w:r>
        <w:rPr>
          <w:rFonts w:ascii="Arial" w:cs="Arial" w:eastAsia="Arial" w:hAnsi="Arial"/>
          <w:sz w:val="16"/>
          <w:szCs w:val="16"/>
          <w:b w:val="1"/>
          <w:bCs w:val="1"/>
          <w:color w:val="auto"/>
        </w:rPr>
        <w:t>Phase 1/2 Varlilumab/Opdivo</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Combination Study: </w:t>
      </w:r>
      <w:r>
        <w:rPr>
          <w:rFonts w:ascii="Arial" w:cs="Arial" w:eastAsia="Arial" w:hAnsi="Arial"/>
          <w:sz w:val="16"/>
          <w:szCs w:val="16"/>
          <w:color w:val="auto"/>
        </w:rPr>
        <w:t>In May 2014, we entered into a clinical trial collaboration with Bristol-Myers Squibb to</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 the safety, tolerability and preliminary efficacy of varlilumab and Opdivo, Bristol-Myers Squibb’s PD-1 immune checkpoint inhibitor, in a Phase 1/2 study. Under the terms of this clinical trial collaboration, Bristol-Myers Squibb made a one-time payment to us of $5.0 million, and the companies amended the terms of our existing license agreement with Medarex (a subsidiary of Bristol-Myers Squibb) related to our CD27 program whereby certain future</w:t>
      </w:r>
    </w:p>
    <w:p>
      <w:pPr>
        <w:sectPr>
          <w:pgSz w:w="11900" w:h="16859" w:orient="portrait"/>
          <w:cols w:equalWidth="0" w:num="1">
            <w:col w:w="11420"/>
          </w:cols>
          <w:pgMar w:left="240" w:top="121" w:right="239" w:bottom="0" w:gutter="0" w:footer="0" w:header="0"/>
        </w:sectPr>
      </w:pPr>
    </w:p>
    <w:bookmarkStart w:id="12" w:name="page13"/>
    <w:bookmarkEnd w:id="12"/>
    <w:p>
      <w:pPr>
        <w:spacing w:after="0" w:line="259" w:lineRule="auto"/>
        <w:rPr>
          <w:sz w:val="20"/>
          <w:szCs w:val="20"/>
          <w:color w:val="auto"/>
        </w:rPr>
      </w:pPr>
      <w:r>
        <w:rPr>
          <w:rFonts w:ascii="Arial" w:cs="Arial" w:eastAsia="Arial" w:hAnsi="Arial"/>
          <w:sz w:val="18"/>
          <w:szCs w:val="18"/>
          <w:color w:val="auto"/>
        </w:rPr>
        <w:t>milestone payments were waived and future royalty rates were reduced that may have been due from us to Medarex. In return, Bristol-Myers Squibb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Phase 1/2 study was initiated in January 2015 and is being conducted in adult patients with multiple solid tumors to assess the safety and tolerability of varlilumab at varying doses when administered with Opdivo followed by a Phase 2 expansion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evaluate the activity of the combination in disease specific cohorts. The Phase 1 dose escalation portion of the study, conducted in patients with solid tumors, has completed enrollment (n=36) and primarily enrolled patients with colorectal and ovarian cancer.</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Data were presented from the Phase 1 portion of the varlilumab and nivolumab study in a poster at the American Association for Cancer Research (AACR) Annual Meeting 2016 in April. The primary objective of the Phase 1 portion of the study was to evaluate the safety and tolerability of the combination. The combination showed acceptable tolerability and safety across all dose levels without any evidence of increased autoimmunity or inappropriate immune activation. Marked changes in the tumor microenvironment including increased infiltrating CD8+ T cells and increased PD-L1 expression, which have been shown to correlate with a greater magnitude of treatment effect from checkpoint inhibitors in other clinical studies were observed. Additional favorable immune biomarkers, such as increase in inflammatory chemokines and decrease in T regulatory cells, were also noted. In a subset of patients (n=17) on study who had both pre- and post-tumor biopsies available, preliminary evidence suggest a correlation between biomarker data and stable disease or better in seven of these patients (4 ovarian cancer, 2 colorectal cancer, 1 squamous cell carcinoma of the head and neck). All dose levels of the combination therapy showed acceptable tolerability and safety, without identification of a maximum tolerated dose. In the Phase 2 portion of the study, varlilumab will be administered at 3 mg/kg, which is based upon cumulative data across multiple studies.</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Phase 2 portion of the study opened to enrollment in April 2016. A protocol amendment was recently finalized to include additional arms evaluating alternate dosing schedules in both renal cell carcinoma and squamous cell head and neck cancer. A cohort in non-small cell lung cancer was removed prior to enrolling any patients to accommodate the addition of these new arms. As amended, the overall study size has increased and includes cohorts in colorectal cancer (n=18), ovarian cancer (n=18), head and neck squamous cell carcinoma (n=48), renal cell carcinoma (n=75) and glioblastoma (n=20). The primary objective of the Phase 2 cohorts will be ORR, except glioblastoma, where the primary objective is the rate of 12-month overall survival. Secondary objectives include pharmacokinetics assessments, determining the immunogenicity of varlilumab when given in combination with Opdivo and further assessing the anti-tumor activity of combination treatment.</w:t>
      </w:r>
    </w:p>
    <w:p>
      <w:pPr>
        <w:spacing w:after="0" w:line="17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Phase 1/2 Varlilumab/Atezolizumab Combination Study: </w:t>
      </w:r>
      <w:r>
        <w:rPr>
          <w:rFonts w:ascii="Arial" w:cs="Arial" w:eastAsia="Arial" w:hAnsi="Arial"/>
          <w:sz w:val="17"/>
          <w:szCs w:val="17"/>
          <w:color w:val="auto"/>
        </w:rPr>
        <w:t>In March 2015, we entered into a clinical trial collaboration with Roche to evaluate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safety, tolerability and preliminary efficacy of varlilumab and atezolizumab (anti-PDL1), Roche’s investigational cancer immunotherapy, in a Phase 1/2 study. The Phase 1 portion of the study is being conducted in multiple tumor types, and the primary outcome is safety and tolerability. The Phase 2 portion of the study will be conducted in RCC, and the primary outcome is ORR. Secondary outcome measures include safety and tolerability, pharmacokinetics, immunogenicity and further assessment of anti-tumor activity across a broad range of endpoints. The Phase 1 portion of the study, which opened to enrollment in December 2015, has completed enrollment. We anticipate the Phase 2 portion of the study in RCC will be initiated in the third quarter of 2016. Under the terms of this agreement, Roche is providing study drug, and we are responsible for conducting and funding the study.</w:t>
      </w:r>
    </w:p>
    <w:p>
      <w:pPr>
        <w:spacing w:after="0" w:line="172" w:lineRule="exact"/>
        <w:rPr>
          <w:sz w:val="20"/>
          <w:szCs w:val="20"/>
          <w:color w:val="auto"/>
        </w:rPr>
      </w:pPr>
    </w:p>
    <w:p>
      <w:pPr>
        <w:ind w:right="80" w:firstLine="648"/>
        <w:spacing w:after="0" w:line="261" w:lineRule="auto"/>
        <w:rPr>
          <w:sz w:val="20"/>
          <w:szCs w:val="20"/>
          <w:color w:val="auto"/>
        </w:rPr>
      </w:pPr>
      <w:r>
        <w:rPr>
          <w:rFonts w:ascii="Arial" w:cs="Arial" w:eastAsia="Arial" w:hAnsi="Arial"/>
          <w:sz w:val="17"/>
          <w:szCs w:val="17"/>
          <w:b w:val="1"/>
          <w:bCs w:val="1"/>
          <w:color w:val="auto"/>
        </w:rPr>
        <w:t>Phase 1/2 Varlilumab/Yervoy</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 CDX-1401 Combination Study: </w:t>
      </w:r>
      <w:r>
        <w:rPr>
          <w:rFonts w:ascii="Arial" w:cs="Arial" w:eastAsia="Arial" w:hAnsi="Arial"/>
          <w:sz w:val="17"/>
          <w:szCs w:val="17"/>
          <w:color w:val="auto"/>
        </w:rPr>
        <w:t>In April 2015, we initiated a Phase 1/2 safety pilot and expansion study</w:t>
      </w:r>
      <w:r>
        <w:rPr>
          <w:rFonts w:ascii="Arial" w:cs="Arial" w:eastAsia="Arial" w:hAnsi="Arial"/>
          <w:sz w:val="17"/>
          <w:szCs w:val="17"/>
          <w:b w:val="1"/>
          <w:bCs w:val="1"/>
          <w:color w:val="auto"/>
        </w:rPr>
        <w:t xml:space="preserve"> </w:t>
      </w:r>
      <w:r>
        <w:rPr>
          <w:rFonts w:ascii="Arial" w:cs="Arial" w:eastAsia="Arial" w:hAnsi="Arial"/>
          <w:sz w:val="17"/>
          <w:szCs w:val="17"/>
          <w:color w:val="auto"/>
        </w:rPr>
        <w:t>examining the combination of varlilumab and Yervoy in patients with stage III or IV metastatic melanoma. In the Phase 2 portion of the study, patients with tumors that express NY-ESO-1 will also receive CDX-1401. The Phase 1 portion of the study will assess the safety and tolerability of varlilumab at varying doses when administered with Yervoy to identify a recommended dose for the Phase 2 portion of the study. The Phase 2 study will include two cohorts—one comprised of patients who are NY-ESO-1 positive and one comprised of patients who are NY-ESO-1 negative. Patients who are NY-ESO-1 positive will also receive CDX-1401 (with poly-ICLC at 2 mg given as an adjuvant) in addition to varlilumab and Yervoy. The primary objective for both cohorts is objective response rate up to 24 weeks. Secondary objectives for the Phase 2 study include safety and tolerability, immunogenicity, pharmacokinetics and further assessment of anti-tumor activity across a broad range of endpoints.</w:t>
      </w:r>
    </w:p>
    <w:p>
      <w:pPr>
        <w:spacing w:after="0" w:line="182"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b w:val="1"/>
          <w:bCs w:val="1"/>
          <w:color w:val="auto"/>
        </w:rPr>
        <w:t>Phase 1/2 Varlilumab/Sutent</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Combination Study: </w:t>
      </w:r>
      <w:r>
        <w:rPr>
          <w:rFonts w:ascii="Arial" w:cs="Arial" w:eastAsia="Arial" w:hAnsi="Arial"/>
          <w:sz w:val="18"/>
          <w:szCs w:val="18"/>
          <w:color w:val="auto"/>
        </w:rPr>
        <w:t>In May 2015, we initiated a Phase 1/2 safety and tolerability study examining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varlilumab and sunitinib (Sutent) in patients with metastatic clear cell renal cell carcinoma. The Phase 1 portion of the study will assess the safety and tolerability of varlilumab at varying doses when administered with sunitinib to identify a recommended dose for the Phase 2 portion of the study. The primary objective of the Phase 2 portion of the study is to assess the preliminary anti-tumor efficacy of the varlilumab/sunitinib combination measured by the overall response rate. Secondary objectives include safety and tolerability, pharmacokinetics, immunogenicity and further assessment of anti-tumor activity across a broad range of endpoints. We believe that the Phase 1 portion of the study will complete enrollment in the next few months and that the Phase 2 portion of the study will initiate by year-end 2016.</w:t>
      </w:r>
    </w:p>
    <w:p>
      <w:pPr>
        <w:spacing w:after="0" w:line="197"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Treatment of Other Indications: </w:t>
      </w:r>
      <w:r>
        <w:rPr>
          <w:rFonts w:ascii="Arial" w:cs="Arial" w:eastAsia="Arial" w:hAnsi="Arial"/>
          <w:sz w:val="18"/>
          <w:szCs w:val="18"/>
          <w:color w:val="auto"/>
        </w:rPr>
        <w:t>In addition to our sponsored studies and clinical trial collaborations, we anticipate that varlilumab’s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will also be explored in investigator sponsored studies at various academic institutions.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 xml:space="preserve">CDX-1401, developed from our APC Targeting Technology, is an NY-ESO-1-antibody fusion protein for immunotherapy in multiple solid tumors. CDX-1401, which is administered with an adjuvant, is composed of the cancer-specific antigen NY-ESO-1 fused to a fully human antibody that binds to DEC-205 for efficient delivery to dendritic cells. Delivery of tumor-specific proteins directly to dendritic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elicits potent, broad, anti-tumor immune responses across populations with different genetic backgrounds. In humans, NY-ESO-1 has been detected in 20% to 30% of all melanoma, lung, esophageal, liver, gastric, prostate, ovarian and bladder cancers, thus representing a broad opportunity. We are developing CDX-1401 for the treatment of</w:t>
      </w:r>
    </w:p>
    <w:p>
      <w:pPr>
        <w:sectPr>
          <w:pgSz w:w="11900" w:h="16838" w:orient="portrait"/>
          <w:cols w:equalWidth="0" w:num="1">
            <w:col w:w="11420"/>
          </w:cols>
          <w:pgMar w:left="240" w:top="125" w:right="239" w:bottom="0" w:gutter="0" w:footer="0" w:header="0"/>
        </w:sectPr>
      </w:pPr>
    </w:p>
    <w:bookmarkStart w:id="13" w:name="page14"/>
    <w:bookmarkEnd w:id="13"/>
    <w:p>
      <w:pPr>
        <w:ind w:right="120"/>
        <w:spacing w:after="0" w:line="342" w:lineRule="auto"/>
        <w:rPr>
          <w:sz w:val="20"/>
          <w:szCs w:val="20"/>
          <w:color w:val="auto"/>
        </w:rPr>
      </w:pPr>
      <w:r>
        <w:rPr>
          <w:rFonts w:ascii="Arial" w:cs="Arial" w:eastAsia="Arial" w:hAnsi="Arial"/>
          <w:sz w:val="16"/>
          <w:szCs w:val="16"/>
          <w:color w:val="auto"/>
        </w:rPr>
        <w:t>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2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We have completed a Phase 1 study of CDX-1401 which assessed the safety, immunogenicity and clinical activity of escalating doses of CDX-1401 with TLR agonists (resiquimod and/or poly-ICLC) in 45 patients with advanced malignancies refractory to all available therapies. Results were published in </w:t>
      </w:r>
      <w:r>
        <w:rPr>
          <w:rFonts w:ascii="Arial" w:cs="Arial" w:eastAsia="Arial" w:hAnsi="Arial"/>
          <w:sz w:val="17"/>
          <w:szCs w:val="17"/>
          <w:i w:val="1"/>
          <w:iCs w:val="1"/>
          <w:color w:val="auto"/>
        </w:rPr>
        <w:t xml:space="preserve">Science Translational Medicine </w:t>
      </w:r>
      <w:r>
        <w:rPr>
          <w:rFonts w:ascii="Arial" w:cs="Arial" w:eastAsia="Arial" w:hAnsi="Arial"/>
          <w:sz w:val="17"/>
          <w:szCs w:val="17"/>
          <w:color w:val="auto"/>
        </w:rPr>
        <w:t>in April 2014. Sixty percent of patients had confirmed NY-ESO expression in archived tumor sample. Thirteen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maintained stable disease for up to 13.4 months with a median of 6.7 months. Treatment was well tolerated, and there were no dose limiting toxicities. Humoral responses were elicited in both NY-ESO-1 positive and negative patients. NY-ESO-1-specific T cell responses were absent or low at baseline, but increased post-vaccination in 56% of evaluable patients, including both CD4 and/or CD8 T cell responses. Robust immune responses were observed with CDX-1401 with resiquimod and poly-ICLC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Yervoy or an investigational checkpoint inhibitor, and six of these patients had objective tumor regression. Six patients with melanoma received Yervoy within three months of treatment with CDX-1401, and four (67%) had objective tumor responses, including one complete response, which compares favorably to the overall response rate of 11% previously reported in metastatic melanoma patients treated with single-agent Yervoy. In addition, two patients with non-small cell lung cancer received an investigational checkpoint blockade within two months of completing treatment with CDX-1401, and both achieved partial responses. We are currently developing a follow on program that will better assess the impact of CDX-1401 activity on response to subsequent checkpoint inhibitor therapy in these diseases.</w:t>
      </w:r>
    </w:p>
    <w:p>
      <w:pPr>
        <w:spacing w:after="0" w:line="18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Phase 1 study identified a well-tolerated and immunogenic regimen to take forward into future studies. As described above, in April 2015, we initiated a Phase 1/2 safety pilot and expansion study examining the combination of varlilumab and Yervoy in patients with stage III or IV metastatic melanoma. In the Phase 2 portion of the study, patients with tumors that express NY-ESO-1 will also receive CDX-1401.</w:t>
      </w:r>
    </w:p>
    <w:p>
      <w:pPr>
        <w:spacing w:after="0" w:line="16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to our sponsored studies, CDX-1401’s potential activity is also being explored in investigator sponsored and collaborative studies. A Phase 2 study of CDX-1401 in combination with CDX-301 is being conducted in metastatic melanoma by the Cancer Immunotherapy Trials Network under a CRADA with the Cancer Therapy Evaluation Program of the NCI. This study was designed to determine if CDX-1401 works better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now complete and initial results were presented in June at the 2016 American Society of Clinical Oncology (ASCO) Annual Meeting. The data confirmed that CDX-1401 is effective at driving NY-ESO-1 immunity and further demonstrated the value of CDX-301 as a combination agent for enhancing tumor specific immune responses. Based on results to date, plans for additional studies are being considered, including a targeted study in NY-ESO-1 positive disease to determine if these enhanced immune responses can translate to improved clinical outcomes.</w:t>
      </w:r>
    </w:p>
    <w:p>
      <w:pPr>
        <w:spacing w:after="0" w:line="141" w:lineRule="exact"/>
        <w:rPr>
          <w:sz w:val="20"/>
          <w:szCs w:val="20"/>
          <w:color w:val="auto"/>
        </w:rPr>
      </w:pPr>
    </w:p>
    <w:p>
      <w:pPr>
        <w:ind w:right="40" w:firstLine="648"/>
        <w:spacing w:after="0" w:line="222" w:lineRule="auto"/>
        <w:rPr>
          <w:sz w:val="20"/>
          <w:szCs w:val="20"/>
          <w:color w:val="auto"/>
        </w:rPr>
      </w:pPr>
      <w:r>
        <w:rPr>
          <w:rFonts w:ascii="Arial" w:cs="Arial" w:eastAsia="Arial" w:hAnsi="Arial"/>
          <w:sz w:val="18"/>
          <w:szCs w:val="18"/>
          <w:color w:val="auto"/>
        </w:rPr>
        <w:t>Additionally, a Phase 1/2b multi-arm study of the IDO1 inhibitor epacadostat (INCB024360) in combination with CDX-1401 and Hiltonol</w:t>
      </w:r>
      <w:r>
        <w:rPr>
          <w:rFonts w:ascii="Arial" w:cs="Arial" w:eastAsia="Arial" w:hAnsi="Arial"/>
          <w:sz w:val="36"/>
          <w:szCs w:val="36"/>
          <w:color w:val="auto"/>
          <w:vertAlign w:val="superscript"/>
        </w:rPr>
        <w:t>®</w:t>
      </w:r>
      <w:r>
        <w:rPr>
          <w:rFonts w:ascii="Arial" w:cs="Arial" w:eastAsia="Arial" w:hAnsi="Arial"/>
          <w:sz w:val="18"/>
          <w:szCs w:val="18"/>
          <w:color w:val="auto"/>
        </w:rPr>
        <w:t xml:space="preserve"> is being conducted in patients in remission with ovarian, fallopian tube or primary peritoneal cancer by the Roswell Park Cancer Institute. Celldex is providing CDX-1401 and Hiltonol in support of this study. Patients’ tumors must have expressed NY-ESO-1 or the LAGE-1 antigen to be eligible for the study. Primary outcome measures include identifying a maximum tolerated dose determined by the incidence of dose limiting toxicities and progression free survival. Secondary outcome measures include additional safety analyses and immune monitoring.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CDX-301, a recombinant FMS-like tyrosine kinase 3 ligand, or Flt3L, is a potent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licensed CDX-301 from Amgen Inc. in March 2009 and believe CDX-301 may hold significant opportunity for synergistic development in combination with other proprietary molecules in our portfolio.</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6"/>
          <w:szCs w:val="16"/>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 tolerated and can effectively mobilize hematopoietic stem cell (HSC) populations in healthy volunteers. In December 2013, we announced data from a preclinical combination study of CDX-301 and Mozobil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(plerixafor injection, formerly AMD3100) demonstrating that the combination of these agents significantly increases hematopoietic stem cell mobilization in mice. The data demonstrate a novel potent cell mobilization regimen combining CDX-301 and Mozobil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which may have significant potential for use in autologous and allogeneic hematopoietic stem cell transplantation.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Related donors of patients with hematological malignancies requiring hematopoietic stem cell transplant are administered CDX-301 for 5 or 7 days alone or in combination with Mozobil to mobilize CD34+ stem cells. The primary efficacy endpoint of the study is determine if treatment of the donor results in the collection of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2 million CD34+ HSCs/kg recipient body weight in </w:t>
      </w:r>
      <w:r>
        <w:rPr>
          <w:rFonts w:ascii="Arial" w:cs="Arial" w:eastAsia="Arial" w:hAnsi="Arial"/>
          <w:sz w:val="16"/>
          <w:szCs w:val="16"/>
          <w:u w:val="single" w:color="auto"/>
          <w:color w:val="auto"/>
        </w:rPr>
        <w:t>&lt;</w:t>
      </w:r>
      <w:r>
        <w:rPr>
          <w:rFonts w:ascii="Arial" w:cs="Arial" w:eastAsia="Arial" w:hAnsi="Arial"/>
          <w:sz w:val="16"/>
          <w:szCs w:val="16"/>
          <w:color w:val="auto"/>
        </w:rPr>
        <w:t xml:space="preserve"> 2 leukopoiesis collections. Other key endpoints are the safety of the treatment regimen in the donor and clinical outcomes in the recipient, including stem cell engraftment, graft-versus-host disease, immune reconstitution and relapse. Preliminary results from this Phase 2 study were presented at the annual meeting of the American Society for Blood and Marrow Transplantation in February 2016. These preliminary data from three donor/patient pairs showed that CDX-301 given as a single agent was well tolerated and effective at mobilizing hematopoietic stem cells in healthy donors. The stem cell graft contained notable increases in naïve lymphocytes and plasmacytoid dendritic cells consistent with preclinical data suggesting a possible better outcome. Recipients experienced successful engraftment in an expected time frame. Given that hematopoietic stem cell transplantation is outside of our core focus, in an effort to prioritize human and capital resources, we announced in May of 2016 that we have decided not to advance CDX-301 in this particular indication at this time.</w:t>
      </w:r>
    </w:p>
    <w:p>
      <w:pPr>
        <w:spacing w:after="0" w:line="39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June, at the 2016 ASCO Annual Meeting, initial results from a Phase 2 study of CDX-1401 in combination with CDX-301 in metastatic</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melanoma were presented that further demonstrated the value of CDX-301 as a combination agent for enhancing tumor specific immune responses. Based on</w:t>
      </w:r>
    </w:p>
    <w:p>
      <w:pPr>
        <w:sectPr>
          <w:pgSz w:w="11900" w:h="16838" w:orient="portrait"/>
          <w:cols w:equalWidth="0" w:num="1">
            <w:col w:w="11420"/>
          </w:cols>
          <w:pgMar w:left="240" w:top="125" w:right="239" w:bottom="0" w:gutter="0" w:footer="0" w:header="0"/>
        </w:sectPr>
      </w:pPr>
    </w:p>
    <w:bookmarkStart w:id="14" w:name="page15"/>
    <w:bookmarkEnd w:id="14"/>
    <w:p>
      <w:pPr>
        <w:ind w:right="500"/>
        <w:spacing w:after="0" w:line="277" w:lineRule="auto"/>
        <w:rPr>
          <w:sz w:val="20"/>
          <w:szCs w:val="20"/>
          <w:color w:val="auto"/>
        </w:rPr>
      </w:pPr>
      <w:r>
        <w:rPr>
          <w:rFonts w:ascii="Arial" w:cs="Arial" w:eastAsia="Arial" w:hAnsi="Arial"/>
          <w:sz w:val="18"/>
          <w:szCs w:val="18"/>
          <w:color w:val="auto"/>
        </w:rPr>
        <w:t>these results, plans for additional studies are being considered. The Phase 2 study was conducted by the Cancer Immunotherapy Trials Network under a CRADA with the Cancer Therapy Evaluation Program of the NCI.</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our sponsored studies and clinical trial collaborations, CDX-301’s potential activity is also being explored in investigator sponsored studies at various academic institutions. This includes a Phase 1/2 study of CDX-301 and Hiltonol in combination with low-dose radiotherapy in patients with low-grade B-cell lymphomas conducted by the Icahn School of Medicine at Mount Sinai. The primary outcome of the study is objective response rate. Secondary outcome measures include safety and tumor specific immune response.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CDX-014 is a fully-human monoclonal ADC that targets T cell immunoglobulin and mucin domain 1, or TIM-1. TIM-1 expression is upregulated in several cancers, most notably renal cell and ovarian carcinomas, and is associated with a more malignant phenotype of renal cell carcinoma (RCC) and tumor progression. TIM-1 has very restricted expression in healthy tissues, making it a promising target for antibody mediated therapy. The TIM-1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In July 2016, we announced that enrollment had opened in a Phase 1/2 study of CDX-014 to patients with both clear cell and papillary RCC. The Phase 1 dose-escalation portion of the study will evaluate cohorts of patients receiving increasing doses of CDX-014 to determine the maximum tolerated dose and a recommended dose for Phase 2 study. The Phase 2 portion of the study will enroll approximately 25 patients to assess the anti-tumor activity of CDX-014 at the recommended dose in advanced renal cell carcinoma as measured by objective response rate. Secondary objectives include safety and tolerability, pharmacokinetics, immunogenicity and additional measures of anti-tumor activity.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Rintega</w:t>
      </w:r>
    </w:p>
    <w:p>
      <w:pPr>
        <w:spacing w:after="0" w:line="171" w:lineRule="exact"/>
        <w:rPr>
          <w:sz w:val="20"/>
          <w:szCs w:val="20"/>
          <w:color w:val="auto"/>
        </w:rPr>
      </w:pPr>
    </w:p>
    <w:p>
      <w:pPr>
        <w:ind w:right="20" w:firstLine="648"/>
        <w:spacing w:after="0" w:line="222" w:lineRule="auto"/>
        <w:rPr>
          <w:sz w:val="20"/>
          <w:szCs w:val="20"/>
          <w:color w:val="auto"/>
        </w:rPr>
      </w:pPr>
      <w:r>
        <w:rPr>
          <w:rFonts w:ascii="Arial" w:cs="Arial" w:eastAsia="Arial" w:hAnsi="Arial"/>
          <w:sz w:val="18"/>
          <w:szCs w:val="18"/>
          <w:color w:val="auto"/>
        </w:rPr>
        <w:t>On March 7, 2016, we announced that our Phase 3 study of Rintega</w:t>
      </w:r>
      <w:r>
        <w:rPr>
          <w:rFonts w:ascii="Arial" w:cs="Arial" w:eastAsia="Arial" w:hAnsi="Arial"/>
          <w:sz w:val="36"/>
          <w:szCs w:val="36"/>
          <w:color w:val="auto"/>
          <w:vertAlign w:val="superscript"/>
        </w:rPr>
        <w:t>®</w:t>
      </w:r>
      <w:r>
        <w:rPr>
          <w:rFonts w:ascii="Arial" w:cs="Arial" w:eastAsia="Arial" w:hAnsi="Arial"/>
          <w:sz w:val="18"/>
          <w:szCs w:val="18"/>
          <w:color w:val="auto"/>
        </w:rPr>
        <w:t xml:space="preserve"> in patients with newly diagnosed EGFRvIII-positive glioblastoma was being discontinued. This decision was made based on the outcome of a preplanned interim analysis conducted by an independent Data Safety and Monitoring Board (DSMB). The DSMB determined that continuation of the study would not result in reaching statistical significance for the primary endpoint of the study, overall survival in patients with minimal residual disease, as both the Rintega arm and the control arm were performing on par with each other. In the ACT IV study, Rintega performed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consistently with prior Phase 2 studies but the control arm significantly outperformed expectations (Hazard ratio = 0.99; median OS: Rintega 20.4 months vs. control 21.1 months). Based on this recommendation, we discontinued the study. Study closure activities are substantially complete, and we continue to anticipate that we will not incur substantial additional costs related to Rintega at this time. We are in the process of conducting a thorough review of the data, and plan to present the ACT IV results at the Society for Neuro-Oncology Annual Meeting in November of 2016. All patients on the Rintega arm of the ACT IV study, prior Phase 2 studies and existing compassionate use recipients have been offered ongoing access to Rintega on a compassionate use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critical accounting policies are more fully described in Note 2 to our financial statements included in our Annual Report on Form 10-K/A for the year ended December 31, 2015 and there have been no material changes to such critical accounting policies. We believe our most critical accounting policies include accounting for revenue recognition, impairment of long-lived assets, research and development expenses and stock-based compensation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compared with Three Months Ended June 30,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Increase/</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4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4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7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604</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1,844</w:t>
            </w: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(1,059)</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r>
      <w:tr>
        <w:trPr>
          <w:trHeight w:val="250"/>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3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300" w:type="dxa"/>
            <w:vAlign w:val="bottom"/>
            <w:tcBorders>
              <w:bottom w:val="single" w:sz="8" w:color="CCEEFF"/>
            </w:tcBorders>
            <w:gridSpan w:val="2"/>
          </w:tcPr>
          <w:p>
            <w:pPr>
              <w:spacing w:after="0"/>
              <w:rPr>
                <w:sz w:val="21"/>
                <w:szCs w:val="21"/>
                <w:color w:val="auto"/>
              </w:rPr>
            </w:pPr>
          </w:p>
        </w:tc>
        <w:tc>
          <w:tcPr>
            <w:tcW w:w="14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(36)%</w:t>
            </w:r>
          </w:p>
        </w:tc>
      </w:tr>
      <w:tr>
        <w:trPr>
          <w:trHeight w:val="170"/>
        </w:trPr>
        <w:tc>
          <w:tcPr>
            <w:tcW w:w="44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25,711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26,490</w:t>
            </w:r>
          </w:p>
        </w:tc>
        <w:tc>
          <w:tcPr>
            <w:tcW w:w="26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(779)</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8,184</w:t>
            </w: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(394)</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33,755</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(32,366)</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300" w:type="dxa"/>
            <w:vAlign w:val="bottom"/>
            <w:gridSpan w:val="2"/>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(31,952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(32,359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0"/>
        </w:trPr>
        <w:tc>
          <w:tcPr>
            <w:tcW w:w="4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The $0.4 million decrease in net loss for the three months ended June 30, 2016 compared to the three months ended June 30, 2015 was primarily the result of a decrease in research and development and general and administrative expenses, partially offset by a decrease in contracts and grants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$0.3 million increase in product development and licensing agreements revenue for the three months ended June 30, 2016 compared to the three months ended June 30, 2015 was primarily related to our BMS agreement. In May 2014, we entered into a clinical trial collaboration with BMS whereby</w:t>
      </w:r>
    </w:p>
    <w:p>
      <w:pPr>
        <w:sectPr>
          <w:pgSz w:w="11900" w:h="16838" w:orient="portrait"/>
          <w:cols w:equalWidth="0" w:num="1">
            <w:col w:w="11420"/>
          </w:cols>
          <w:pgMar w:left="240" w:top="125" w:right="239" w:bottom="0" w:gutter="0" w:footer="0" w:header="0"/>
        </w:sectPr>
      </w:pPr>
    </w:p>
    <w:bookmarkStart w:id="15" w:name="page16"/>
    <w:bookmarkEnd w:id="15"/>
    <w:p>
      <w:pPr>
        <w:ind w:right="20"/>
        <w:spacing w:after="0" w:line="259" w:lineRule="auto"/>
        <w:rPr>
          <w:sz w:val="20"/>
          <w:szCs w:val="20"/>
          <w:color w:val="auto"/>
        </w:rPr>
      </w:pPr>
      <w:r>
        <w:rPr>
          <w:rFonts w:ascii="Arial" w:cs="Arial" w:eastAsia="Arial" w:hAnsi="Arial"/>
          <w:sz w:val="18"/>
          <w:szCs w:val="18"/>
          <w:color w:val="auto"/>
        </w:rPr>
        <w:t>BMS made a one-time payment to us of $5.0 million which we are recognizing as revenue along with BMS’s 50% share of the clinical trial cost over our estimated performance period of five years. The $1.1 million decrease in contracts and grants revenue for the three months ended June 30, 2016 compared to the three months ended June 30, 2015 was primarily related to our Rockefeller University agreement pursuant to which we perform research and development services for Rockefeller.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2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7"/>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8,779</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1,552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877</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(387)</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1,391</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(32)</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License Fees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386</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ind w:right="257"/>
              <w:spacing w:after="0"/>
              <w:rPr>
                <w:sz w:val="20"/>
                <w:szCs w:val="20"/>
                <w:color w:val="auto"/>
              </w:rPr>
            </w:pPr>
            <w:r>
              <w:rPr>
                <w:rFonts w:ascii="Arial" w:cs="Arial" w:eastAsia="Arial" w:hAnsi="Arial"/>
                <w:sz w:val="18"/>
                <w:szCs w:val="18"/>
                <w:color w:val="auto"/>
              </w:rPr>
              <w:t>332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4"/>
              </w:rPr>
              <w:t>12,246</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14,922</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(2,676)</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$1.6 million increase in personnel expenses for the three months ended June 30, 2016 compared to the three months ended June 30, 2015 was primarily due to higher stock-based compensation of $0.8 million and increased headcount. We expect personnel expenses to remain relatively consistent over the next twelve months, although there may be fluctuations on a quarterly basis.</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$0.4 million decrease in laboratory supply expense for the three months ended June 30, 2016 compared to the three months ended June 30, 2015 was primarily due to lower manufacturing supply purchases. We expect supply expenses to remain relatively consistent over the next twelve months, although there may be fluctuations on a quarterly basis.</w:t>
      </w:r>
    </w:p>
    <w:p>
      <w:pPr>
        <w:spacing w:after="0" w:line="187" w:lineRule="exact"/>
        <w:rPr>
          <w:sz w:val="20"/>
          <w:szCs w:val="20"/>
          <w:color w:val="auto"/>
        </w:rPr>
      </w:pPr>
    </w:p>
    <w:p>
      <w:pPr>
        <w:jc w:val="both"/>
        <w:ind w:right="560" w:firstLine="648"/>
        <w:spacing w:after="0" w:line="286" w:lineRule="auto"/>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Facility expenses for the three months ended June 30, 2016 were consistent with the three months ended June 30, 2015. We expect facility expenses to remain relatively consistent over the next twelve months, although there may be fluctuations on a quarterly basis.</w:t>
      </w:r>
    </w:p>
    <w:p>
      <w:pPr>
        <w:spacing w:after="0" w:line="16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License fee expenses include annual license maintenance fees and milestone payments due upon the achievement of certain development, regulatory and/or commercial milestones. The $0.3 million increase in license fee expenses for the three months ended June 30, 2016 compared to the three months ended June 30, 2015 was due to the timing of certain development and/or regulatory milestones achieved by our drug candidates. We expect license fee expense to remain relatively consistent over the next twelve months, although there may be fluctuations on a quarterly basis.</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$2.7 million decrease in product development expenses for the three months ended June 30, 2016 compared to the three months ended June 30, 2015 was primarily the result of a decrease in clinical trial costs of $3.2 million primarily related to decreases in Rintega clinical trial costs of $5.0 million, partially offset by increases in glembatumumab vedotin and varlilumab clinical trial costs of $2.0 million. An increase in contract manufacturing of $0.8 million and in contract research of $0.4 million were partially offset by a decrease in contract diagnostics of $0.7 million. We expect product development expenses to decrease over the next twelve months due to the discontinuation of the Rintega program, which impact will be partially offset by increased expenses in our glembatumumab vedotin and varlilumab programs, although there may be fluctuations on a quarterly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$0.4 million decrease in general and administrative expenses for the three months ended June 30, 2016 compared to the three months ended June 30, 2015 was primarily due to lower commercial planning costs of $1.1 million partially offset by higher stock-based compensation of $0.7 million. We expect general and administrative expense to remain relatively consistent over the next twelve months, although there may be fluctuations on a quarterly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Amortization expenses for the three months ended June 30, 2016 were relatively consistent compared to the three months ended June 30, 2015. We expect amortization expense of acquired intangible assets to decrease over the next twelve months as certain acquired intangible assets become fully amortized.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Investment and other income, net for the three months ended June 30, 2016 were consistent with the three months ended June 30, 2015. We anticipate investment income to decrease over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with Six Months Ended June 30, 2015</w:t>
      </w:r>
    </w:p>
    <w:p>
      <w:pPr>
        <w:sectPr>
          <w:pgSz w:w="11900" w:h="16838" w:orient="portrait"/>
          <w:cols w:equalWidth="0" w:num="1">
            <w:col w:w="11420"/>
          </w:cols>
          <w:pgMar w:left="240" w:top="125"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Increase/</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6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63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gridSpan w:val="6"/>
          </w:tcPr>
          <w:p>
            <w:pPr>
              <w:jc w:val="right"/>
              <w:ind w:right="92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38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r>
      <w:tr>
        <w:trPr>
          <w:trHeight w:val="216"/>
        </w:trPr>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50"/>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2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170"/>
        </w:trPr>
        <w:tc>
          <w:tcPr>
            <w:tcW w:w="63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16"/>
        </w:trPr>
        <w:tc>
          <w:tcPr>
            <w:tcW w:w="63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53,158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51,615</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1,543</w:t>
            </w:r>
          </w:p>
        </w:tc>
        <w:tc>
          <w:tcPr>
            <w:tcW w:w="2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6"/>
        </w:trPr>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2,824</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r>
      <w:tr>
        <w:trPr>
          <w:trHeight w:val="216"/>
        </w:trPr>
        <w:tc>
          <w:tcPr>
            <w:tcW w:w="638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(66,625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$4.1 million increase in net loss for the six months ended June 30, 2016 compared to the six months ended June 30, 2015 was primarily the result of an increase in general and administrative and research and development expenses, partially offset by an increase in investment and other income, 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The $0.4 million increase in product development and licensing agreements revenue for the six months ended June 30, 2016 compared to the six months ended June 30, 2015 was primarily related to our BMS agreement. The $0.4 million decrease in contracts and grants revenue for the six months ended June 30, 2016 compared to the six months ended June 30, 2015 was primarily related to our Rockefeller University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4"/>
                <w:szCs w:val="14"/>
                <w:color w:val="auto"/>
              </w:rPr>
            </w:pPr>
          </w:p>
        </w:tc>
        <w:tc>
          <w:tcPr>
            <w:tcW w:w="1100" w:type="dxa"/>
            <w:vAlign w:val="bottom"/>
          </w:tcPr>
          <w:p>
            <w:pPr>
              <w:jc w:val="center"/>
              <w:ind w:right="297"/>
              <w:spacing w:after="0"/>
              <w:rPr>
                <w:sz w:val="20"/>
                <w:szCs w:val="20"/>
                <w:color w:val="auto"/>
              </w:rPr>
            </w:pPr>
            <w:r>
              <w:rPr>
                <w:rFonts w:ascii="Arial" w:cs="Arial" w:eastAsia="Arial" w:hAnsi="Arial"/>
                <w:sz w:val="14"/>
                <w:szCs w:val="14"/>
                <w:b w:val="1"/>
                <w:bCs w:val="1"/>
                <w:color w:val="auto"/>
                <w:w w:val="92"/>
              </w:rPr>
              <w:t>Increase/</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477"/>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297"/>
              <w:spacing w:after="0"/>
              <w:rPr>
                <w:sz w:val="20"/>
                <w:szCs w:val="20"/>
                <w:color w:val="auto"/>
              </w:rPr>
            </w:pPr>
            <w:r>
              <w:rPr>
                <w:rFonts w:ascii="Arial" w:cs="Arial" w:eastAsia="Arial" w:hAnsi="Arial"/>
                <w:sz w:val="14"/>
                <w:szCs w:val="14"/>
                <w:b w:val="1"/>
                <w:bCs w:val="1"/>
                <w:color w:val="auto"/>
                <w:w w:val="89"/>
              </w:rPr>
              <w:t>(Decrease)</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297"/>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gridSpan w:val="4"/>
          </w:tcPr>
          <w:p>
            <w:pPr>
              <w:jc w:val="right"/>
              <w:ind w:right="857"/>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17,611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3,838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Laboratory Supplies</w:t>
            </w:r>
          </w:p>
        </w:tc>
        <w:tc>
          <w:tcPr>
            <w:tcW w:w="220" w:type="dxa"/>
            <w:vAlign w:val="bottom"/>
          </w:tcPr>
          <w:p>
            <w:pPr>
              <w:spacing w:after="0"/>
              <w:rPr>
                <w:sz w:val="18"/>
                <w:szCs w:val="18"/>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1,661</w:t>
            </w: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2,429</w:t>
            </w:r>
          </w:p>
        </w:tc>
        <w:tc>
          <w:tcPr>
            <w:tcW w:w="280" w:type="dxa"/>
            <w:vAlign w:val="bottom"/>
          </w:tcPr>
          <w:p>
            <w:pPr>
              <w:spacing w:after="0"/>
              <w:rPr>
                <w:sz w:val="18"/>
                <w:szCs w:val="18"/>
                <w:color w:val="auto"/>
              </w:rPr>
            </w:pP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(768)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2,884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116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License Fees</w:t>
            </w:r>
          </w:p>
        </w:tc>
        <w:tc>
          <w:tcPr>
            <w:tcW w:w="220" w:type="dxa"/>
            <w:vAlign w:val="bottom"/>
          </w:tcPr>
          <w:p>
            <w:pPr>
              <w:spacing w:after="0"/>
              <w:rPr>
                <w:sz w:val="18"/>
                <w:szCs w:val="18"/>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439</w:t>
            </w: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8"/>
                <w:szCs w:val="18"/>
                <w:color w:val="auto"/>
              </w:rPr>
            </w:pP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230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26,253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29,457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(3,204)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$3.8 million increase in personnel expenses for the six months ended June 30, 2016 compared to the six months ended June 30, 2015 was primarily due to higher stock-based compensation of $1.3 million and increased headcount.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$0.8 million decrease in laboratory supply expense for the six months ended June 30, 2016 compared to the six months ended June 30, 2015 was primarily due to lower manufacturing supply purchases.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$0.1 million increase in facility expenses for the six months ended June 30, 2016 compared to the six months ended June 30, 2015 was primarily due to leases for additional space we entered into during the past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$0.2 million increase in license fee expenses for the six months ended June 30, 2016 compared to the six months ended June 30, 2015 was due to the timing of certain development and/or regulatory milestones achieved by our drug candidates.</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$3.2 million decrease in product development expenses for the six months ended June 30, 2016 compared to the six months ended June 30, 2015 was primarily the result of a decrease in clinical trial costs of $5.8 million primarily related to decreases in Rintega clinical trial costs of $8.4 million, partially offset by increases in glembatumumab vedotin and varlilumab clinical trial costs of $3.0 million. Contract manufacturing increased $2.2 million and contract research and contract diagnostics also increased $0.2 million and $0.1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$2.8 million increase in general and administrative expenses for the six months ended June 30, 2016 compared to the six months ended June 30, 2015 was primarily due to higher stock-based compensation of $1.8 million, facility costs of $0.3 million and legal costs of $0.2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expenses for the six months ended June 30, 2016 was relatively consistent as compared to the six months ended June 30,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$0.2 million increase in investment and other income, net for the six months ended June 30, 2016 compared to the six months ended June 30, 2015 was primarily due to higher levels of cash and investment balances compared to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04" w:right="239" w:bottom="0" w:gutter="0" w:footer="0" w:header="0"/>
        </w:sectPr>
      </w:pPr>
    </w:p>
    <w:bookmarkStart w:id="17" w:name="page18"/>
    <w:bookmarkEnd w:id="17"/>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At June 30, 2016, our principal sources of liquidity consisted of cash, cash equivalents and marketable securities of $220.1 million. We incurred a net loss of $66.6 million for the six months ended June 30, 2016. Net cash used in operations for the six months ended June 30, 2016 was $68.7 million. We believe that the cash, cash equivalents and marketable securities at June 30, 2016 combined with the anticipated proceeds from future sales of our common stock under the Cantor agreement, are sufficient to meet estimated working capital requirements and fund planned operations through 2018.</w:t>
      </w:r>
    </w:p>
    <w:p>
      <w:pPr>
        <w:spacing w:after="0" w:line="15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Net cash used in operating activities was $68.7 million for the six months ended June 30, 2016 compared to $57.4 million for the six months ended June 30, 2015. The increase in net cash used in operating activities was primarily due to an increase in net loss of $4.1 million and changes in operating assets and liabilities. We expect that cash used in operating activities will decrease over the next twelve months primarily related to the discontinuation of the Rintega program, which impact will be partially offset by increased expenses in our glembatumumab vedotin and varlilumab programs, although there may be fluctuations on a quarterly basis.</w:t>
      </w:r>
    </w:p>
    <w:p>
      <w:pPr>
        <w:spacing w:after="0" w:line="18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Net cash used in operating activities was $57.4 million for the six months ended June 30, 2015 compared to $52.7 million for the six months ended June 30, 2014. The increase in net cash used in operating activities was primarily due to an increase in net loss of $4.4 million and changes in working capital.</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cash provided by investing activities was $26.2 million for the six months ended June 30, 2016 compared to net cash used in investing activities of $81.2 million for the six months ended June 30, 2015. The increase in net cash provided by investing activities was primarily due to net sales and maturities of marketable securities for the six months ended June 30, 2016 of $29.3 million as compared to net purchases of marketable securities of $78.1 million for the six months ended June 30, 2015.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investing activities was $81.2 million for the six months ended June 30, 2015 compared to $76.7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2014. The increase in net cash used in investing activities was primarily due to net purchases of marketable securities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2015 of $78.1 million as compared to $75.6 million for the six months ended June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Net cash provided by financing activities was $2.9 million for the six months ended June 30, 2016 compared to $192.1 million for the six months ended June 30, 2015. Net proceeds from stock issuances pursuant to employee benefit plans, were $0.3 million during the six months ended June 30, 2016 compared to $3.3 million for the six months ended June 30, 2015.</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May 2016, we entered into an agreement with Cantor Fitzgerald &amp; Co. to allow us to issue and sell shares of our common stock having an aggregate offering price of up to $60.0 million from time to time through Cantor, acting as agent. In June and July 2016, we issued 593,111 and 1,109,536 shares under the agreement and raised $2.7 million and $5.0 million in net proceeds, respectively. At July 31, 2016, we had $52.0 million remaining in aggregate offering price available under the agreement.</w:t>
      </w:r>
    </w:p>
    <w:p>
      <w:pPr>
        <w:spacing w:after="0" w:line="187"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Net cash provided by financing activities was $192.1 million for the six months ended June 30, 2015 compared to $0.9 million for the six months ended June 30, 2014. During the six months ended June 30, 2015, we issued 8,337,500 shares of our common stock in an underwritten public offering resulting in net proceeds to us of $188.8 million, after deducting underwriting fees and offering expenses. Net proceeds from stock issuances pursuant to employee benefit plans, were $3.3 million during the six months ended June 30, 2015 compared to $0.9 million for the six months ended June 30,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ectPr>
          <w:pgSz w:w="11900" w:h="16838" w:orient="portrait"/>
          <w:cols w:equalWidth="0" w:num="1">
            <w:col w:w="11420"/>
          </w:cols>
          <w:pgMar w:left="240" w:top="125" w:right="239" w:bottom="0" w:gutter="0" w:footer="0" w:header="0"/>
        </w:sectPr>
      </w:pPr>
    </w:p>
    <w:bookmarkStart w:id="18" w:name="page19"/>
    <w:bookmarkEnd w:id="18"/>
    <w:p>
      <w:pPr>
        <w:spacing w:after="0" w:line="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10-K/A for the year ended December 31, 2015 which was filed with the SEC on February 25, 2016 have not materially changed since we filed that report.</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24"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We do not utilize derivative financial instruments. The carrying amounts reflected in the balance sheet of cash and cash equivalents, accounts receivables and accounts payable approximates fair value at June 30, 2016 due to the short-term maturities of these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2016,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2016.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2016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10-K/A for the year ended December 31, 2015, which could materially affect our business, financial condition or future results. The risks described in our Annual Report on Form 10-K/A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10-K/A filed with the Securities and Exchange Commission on February 25,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6.</w:t>
            </w:r>
          </w:p>
        </w:tc>
        <w:tc>
          <w:tcPr>
            <w:tcW w:w="340" w:type="dxa"/>
            <w:vAlign w:val="bottom"/>
          </w:tcPr>
          <w:p>
            <w:pPr>
              <w:spacing w:after="0"/>
              <w:rPr>
                <w:sz w:val="14"/>
                <w:szCs w:val="14"/>
                <w:color w:val="auto"/>
              </w:rPr>
            </w:pPr>
          </w:p>
        </w:tc>
        <w:tc>
          <w:tcPr>
            <w:tcW w:w="9920" w:type="dxa"/>
            <w:vAlign w:val="bottom"/>
            <w:tcBorders>
              <w:bottom w:val="single" w:sz="8" w:color="auto"/>
            </w:tcBorders>
          </w:tcPr>
          <w:p>
            <w:pPr>
              <w:ind w:left="4700"/>
              <w:spacing w:after="0"/>
              <w:rPr>
                <w:sz w:val="20"/>
                <w:szCs w:val="20"/>
                <w:color w:val="auto"/>
              </w:rPr>
            </w:pPr>
            <w:r>
              <w:rPr>
                <w:rFonts w:ascii="Arial" w:cs="Arial" w:eastAsia="Arial" w:hAnsi="Arial"/>
                <w:sz w:val="14"/>
                <w:szCs w:val="14"/>
                <w:b w:val="1"/>
                <w:bCs w:val="1"/>
                <w:color w:val="auto"/>
              </w:rPr>
              <w:t>Exhibits</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5"/>
              </w:rPr>
              <w:t>Third Restated Certificate of Incorporation of the Company, incorporated by reference to Exhibit 3.1 of the Company’s Registration</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Certificate of Amendment of Third Restated Certificate of Incorporation of the Company, incorporated by reference to Exhibit 3.1 of the</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Company’s Registration Statement on Form S-4 (Reg. No. 333-59215), filed July 16, 1998 with the Securities and Exchange</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Commission.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9"/>
              </w:rPr>
              <w:t>Second Certificate of Amendment of Third Restated Certificate of Incorporation of the Company, incorporated by reference to</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Exhibit 3.2 of the Company’s Registration Statement on Form S-4 (Reg. No. 333-59215), filed July 16, 1998 with the Securities and</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Exchange Commission.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3.4</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of the Company’s Quarterly Report on Form 10-Q, filed May 10, 2002 with the Securities and Exchange Commission.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3.5</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3.6</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3.7</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Sixth Certificate of Amendment of Third Restated Certificate of Incorporation of the Company, incorporated by reference to Exhibit 3.7</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of the Company’s Quarterly Report on Form 10-Q, filed November 10, 2008 with the Securities and Exchange Commission.</w:t>
            </w:r>
          </w:p>
        </w:tc>
      </w:tr>
    </w:tbl>
    <w:p>
      <w:pPr>
        <w:sectPr>
          <w:pgSz w:w="11900" w:h="16843"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tcPr>
          <w:p>
            <w:pPr>
              <w:ind w:left="500"/>
              <w:spacing w:after="0"/>
              <w:rPr>
                <w:sz w:val="20"/>
                <w:szCs w:val="20"/>
                <w:color w:val="auto"/>
              </w:rPr>
            </w:pPr>
            <w:r>
              <w:rPr>
                <w:rFonts w:ascii="Arial" w:cs="Arial" w:eastAsia="Arial" w:hAnsi="Arial"/>
                <w:sz w:val="18"/>
                <w:szCs w:val="18"/>
                <w:color w:val="auto"/>
                <w:w w:val="91"/>
              </w:rPr>
              <w:t>Controlled Equity Offering Sales Agreement, dated May 19, 2016, by and between Celldex Therapeutics, Inc. and Cantor Fitzgerald &amp;</w:t>
            </w:r>
          </w:p>
        </w:tc>
      </w:tr>
      <w:tr>
        <w:trPr>
          <w:trHeight w:val="216"/>
        </w:trPr>
        <w:tc>
          <w:tcPr>
            <w:tcW w:w="1000" w:type="dxa"/>
            <w:vAlign w:val="bottom"/>
          </w:tcPr>
          <w:p>
            <w:pPr>
              <w:spacing w:after="0"/>
              <w:rPr>
                <w:sz w:val="18"/>
                <w:szCs w:val="18"/>
                <w:color w:val="auto"/>
              </w:rPr>
            </w:pPr>
          </w:p>
        </w:tc>
        <w:tc>
          <w:tcPr>
            <w:tcW w:w="10220" w:type="dxa"/>
            <w:vAlign w:val="bottom"/>
          </w:tcPr>
          <w:p>
            <w:pPr>
              <w:ind w:left="500"/>
              <w:spacing w:after="0"/>
              <w:rPr>
                <w:sz w:val="20"/>
                <w:szCs w:val="20"/>
                <w:color w:val="auto"/>
              </w:rPr>
            </w:pPr>
            <w:r>
              <w:rPr>
                <w:rFonts w:ascii="Arial" w:cs="Arial" w:eastAsia="Arial" w:hAnsi="Arial"/>
                <w:sz w:val="18"/>
                <w:szCs w:val="18"/>
                <w:color w:val="auto"/>
                <w:w w:val="92"/>
              </w:rPr>
              <w:t>Co., incorporated by reference to Exhibit 1.1 to the Company’s current report on Form 8-K, filed on May 19, 2016 with the Securities</w:t>
            </w:r>
          </w:p>
        </w:tc>
      </w:tr>
      <w:tr>
        <w:trPr>
          <w:trHeight w:val="216"/>
        </w:trPr>
        <w:tc>
          <w:tcPr>
            <w:tcW w:w="1000" w:type="dxa"/>
            <w:vAlign w:val="bottom"/>
          </w:tcPr>
          <w:p>
            <w:pPr>
              <w:spacing w:after="0"/>
              <w:rPr>
                <w:sz w:val="18"/>
                <w:szCs w:val="18"/>
                <w:color w:val="auto"/>
              </w:rPr>
            </w:pPr>
          </w:p>
        </w:tc>
        <w:tc>
          <w:tcPr>
            <w:tcW w:w="10220" w:type="dxa"/>
            <w:vAlign w:val="bottom"/>
          </w:tcPr>
          <w:p>
            <w:pPr>
              <w:ind w:left="500"/>
              <w:spacing w:after="0"/>
              <w:rPr>
                <w:sz w:val="20"/>
                <w:szCs w:val="20"/>
                <w:color w:val="auto"/>
              </w:rPr>
            </w:pPr>
            <w:r>
              <w:rPr>
                <w:rFonts w:ascii="Arial" w:cs="Arial" w:eastAsia="Arial" w:hAnsi="Arial"/>
                <w:sz w:val="18"/>
                <w:szCs w:val="18"/>
                <w:color w:val="auto"/>
              </w:rPr>
              <w:t>and Exchange Commission.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50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50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50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Instance Document.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500" w:hanging="952"/>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500" w:hanging="952"/>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8, 2016</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8, 2016</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424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996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9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9"/>
              </w:rPr>
              <w:t>Second Certificate of Amendment of Third Restated Certificate of Incorporation of the Company,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Exhibit 3.2 of the Company’s Registration Statement on Form S-4 (Reg. No. 333-59215), filed July 16, 1998 with the Securities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Sixth Certificate of Amendment of Third Restated Certificate of Incorporation of the Company, incorporated by reference to Exhibit 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Controlled Equity Offering Sales Agreement, dated May 19, 2016, by and between Celldex Therapeutics, Inc. and Cantor Fitzgerald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4"/>
              </w:rPr>
              <w:t>Co., incorporated by reference to Exhibit 1.1 to the Company’s current report on Form 8-K, filed on May 19, 2016 with the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-4563745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-4563745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w w:val="91"/>
              </w:rPr>
              <w:t>*101</w:t>
            </w:r>
          </w:p>
        </w:tc>
        <w:tc>
          <w:tcPr>
            <w:tcW w:w="5100" w:type="dxa"/>
            <w:vAlign w:val="bottom"/>
          </w:tcPr>
          <w:p>
            <w:pPr>
              <w:ind w:left="56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40" w:type="dxa"/>
            <w:vAlign w:val="bottom"/>
          </w:tcPr>
          <w:p>
            <w:pPr>
              <w:jc w:val="right"/>
              <w:ind w:right="490"/>
              <w:spacing w:after="0"/>
              <w:rPr>
                <w:sz w:val="20"/>
                <w:szCs w:val="20"/>
                <w:color w:val="auto"/>
              </w:rPr>
            </w:pPr>
            <w:r>
              <w:rPr>
                <w:rFonts w:ascii="Arial" w:cs="Arial" w:eastAsia="Arial" w:hAnsi="Arial"/>
                <w:sz w:val="18"/>
                <w:szCs w:val="18"/>
                <w:color w:val="auto"/>
                <w:w w:val="91"/>
              </w:rPr>
              <w:t>*101</w:t>
            </w:r>
          </w:p>
        </w:tc>
        <w:tc>
          <w:tcPr>
            <w:tcW w:w="5100" w:type="dxa"/>
            <w:vAlign w:val="bottom"/>
          </w:tcPr>
          <w:p>
            <w:pPr>
              <w:ind w:left="5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500" w:hanging="95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500" w:hanging="952"/>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8, 2016</w:t>
            </w:r>
          </w:p>
        </w:tc>
        <w:tc>
          <w:tcPr>
            <w:tcW w:w="282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82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820" w:type="dxa"/>
            <w:vAlign w:val="bottom"/>
          </w:tcPr>
          <w:p>
            <w:pPr>
              <w:ind w:left="21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8, 2016</w:t>
            </w:r>
          </w:p>
        </w:tc>
        <w:tc>
          <w:tcPr>
            <w:tcW w:w="2840" w:type="dxa"/>
            <w:vAlign w:val="bottom"/>
          </w:tcPr>
          <w:p>
            <w:pPr>
              <w:ind w:left="21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84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840" w:type="dxa"/>
            <w:vAlign w:val="bottom"/>
          </w:tcPr>
          <w:p>
            <w:pPr>
              <w:ind w:left="212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8, 2016</w:t>
            </w:r>
          </w:p>
        </w:tc>
        <w:tc>
          <w:tcPr>
            <w:tcW w:w="282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60" w:type="dxa"/>
            <w:vAlign w:val="bottom"/>
          </w:tcPr>
          <w:p>
            <w:pPr>
              <w:spacing w:after="0"/>
              <w:rPr>
                <w:sz w:val="16"/>
                <w:szCs w:val="16"/>
                <w:color w:val="auto"/>
              </w:rPr>
            </w:pPr>
          </w:p>
        </w:tc>
        <w:tc>
          <w:tcPr>
            <w:tcW w:w="282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60" w:type="dxa"/>
            <w:vAlign w:val="bottom"/>
          </w:tcPr>
          <w:p>
            <w:pPr>
              <w:spacing w:after="0"/>
              <w:rPr>
                <w:sz w:val="20"/>
                <w:szCs w:val="20"/>
                <w:color w:val="auto"/>
              </w:rPr>
            </w:pPr>
          </w:p>
        </w:tc>
        <w:tc>
          <w:tcPr>
            <w:tcW w:w="2820" w:type="dxa"/>
            <w:vAlign w:val="bottom"/>
          </w:tcPr>
          <w:p>
            <w:pPr>
              <w:ind w:left="21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August 8, 2016</w:t>
            </w:r>
          </w:p>
        </w:tc>
        <w:tc>
          <w:tcPr>
            <w:tcW w:w="282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660" w:type="dxa"/>
            <w:vAlign w:val="bottom"/>
          </w:tcPr>
          <w:p>
            <w:pPr>
              <w:spacing w:after="0"/>
              <w:rPr>
                <w:sz w:val="16"/>
                <w:szCs w:val="16"/>
                <w:color w:val="auto"/>
              </w:rPr>
            </w:pPr>
          </w:p>
        </w:tc>
        <w:tc>
          <w:tcPr>
            <w:tcW w:w="282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3660" w:type="dxa"/>
            <w:vAlign w:val="bottom"/>
          </w:tcPr>
          <w:p>
            <w:pPr>
              <w:spacing w:after="0"/>
              <w:rPr>
                <w:sz w:val="20"/>
                <w:szCs w:val="20"/>
                <w:color w:val="auto"/>
              </w:rPr>
            </w:pPr>
          </w:p>
        </w:tc>
        <w:tc>
          <w:tcPr>
            <w:tcW w:w="2820" w:type="dxa"/>
            <w:vAlign w:val="bottom"/>
          </w:tcPr>
          <w:p>
            <w:pPr>
              <w:ind w:left="21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upperLetter"/>
      <w:start w:val="6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2019-12-29T10:28:17Z</dcterms:created>
  <dcterms:modified xsi:type="dcterms:W3CDTF">2019-12-29T10:28:17Z</dcterms:modified>
</cp:coreProperties>
</file>