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2433955</wp:posOffset>
            </wp:positionH>
            <wp:positionV relativeFrom="page">
              <wp:posOffset>2353945</wp:posOffset>
            </wp:positionV>
            <wp:extent cx="267525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25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left="160" w:right="140"/>
        <w:spacing w:after="0" w:line="292" w:lineRule="auto"/>
        <w:rPr>
          <w:sz w:val="20"/>
          <w:szCs w:val="20"/>
          <w:color w:val="auto"/>
        </w:rPr>
      </w:pPr>
      <w:r>
        <w:rPr>
          <w:rFonts w:ascii="Arial" w:cs="Arial" w:eastAsia="Arial" w:hAnsi="Arial"/>
          <w:sz w:val="44"/>
          <w:szCs w:val="44"/>
          <w:b w:val="1"/>
          <w:bCs w:val="1"/>
          <w:color w:val="auto"/>
        </w:rPr>
        <w:t>Proxy Statement for 2026 Annual Meeting 2025 Annual Report on Form 10-K</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line="292" w:lineRule="auto"/>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36"/>
          <w:szCs w:val="36"/>
          <w:b w:val="1"/>
          <w:bCs w:val="1"/>
          <w:color w:val="202020"/>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6424930" cy="1768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4930" cy="1768475"/>
                    </a:xfrm>
                    <a:prstGeom prst="rect">
                      <a:avLst/>
                    </a:prstGeom>
                    <a:noFill/>
                  </pic:spPr>
                </pic:pic>
              </a:graphicData>
            </a:graphic>
          </wp:anchor>
        </w:drawing>
      </w:r>
    </w:p>
    <w:p>
      <w:pPr>
        <w:sectPr>
          <w:pgSz w:w="11880" w:h="15480" w:orient="portrait"/>
          <w:cols w:equalWidth="0" w:num="1">
            <w:col w:w="10120"/>
          </w:cols>
          <w:pgMar w:left="880" w:top="870" w:right="880" w:bottom="9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FFFFFF"/>
        </w:rPr>
        <w:t>Date and Time</w:t>
      </w:r>
    </w:p>
    <w:p>
      <w:pPr>
        <w:spacing w:after="0" w:line="48" w:lineRule="exact"/>
        <w:rPr>
          <w:sz w:val="20"/>
          <w:szCs w:val="20"/>
          <w:color w:val="auto"/>
        </w:rPr>
      </w:pPr>
    </w:p>
    <w:p>
      <w:pPr>
        <w:jc w:val="center"/>
        <w:ind w:left="400"/>
        <w:spacing w:after="0"/>
        <w:rPr>
          <w:sz w:val="20"/>
          <w:szCs w:val="20"/>
          <w:color w:val="auto"/>
        </w:rPr>
      </w:pPr>
      <w:r>
        <w:rPr>
          <w:rFonts w:ascii="Arial" w:cs="Arial" w:eastAsia="Arial" w:hAnsi="Arial"/>
          <w:sz w:val="23"/>
          <w:szCs w:val="23"/>
          <w:b w:val="1"/>
          <w:bCs w:val="1"/>
          <w:color w:val="202020"/>
        </w:rPr>
        <w:t>June 25, 2026</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202020"/>
        </w:rPr>
        <w:t>at</w:t>
      </w:r>
    </w:p>
    <w:p>
      <w:pPr>
        <w:ind w:left="640"/>
        <w:spacing w:after="0"/>
        <w:rPr>
          <w:sz w:val="20"/>
          <w:szCs w:val="20"/>
          <w:color w:val="auto"/>
        </w:rPr>
      </w:pPr>
      <w:r>
        <w:rPr>
          <w:rFonts w:ascii="Arial" w:cs="Arial" w:eastAsia="Arial" w:hAnsi="Arial"/>
          <w:sz w:val="24"/>
          <w:szCs w:val="24"/>
          <w:b w:val="1"/>
          <w:bCs w:val="1"/>
          <w:color w:val="202020"/>
        </w:rPr>
        <w:t>9:00 a.m.</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202020"/>
        </w:rPr>
        <w:t>Eastern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FFFFFF"/>
              </w:rPr>
              <w:t>Virtual Meeting</w:t>
            </w:r>
          </w:p>
        </w:tc>
        <w:tc>
          <w:tcPr>
            <w:tcW w:w="3600" w:type="dxa"/>
            <w:vAlign w:val="bottom"/>
          </w:tcPr>
          <w:p>
            <w:pPr>
              <w:jc w:val="center"/>
              <w:ind w:left="110"/>
              <w:spacing w:after="0"/>
              <w:rPr>
                <w:sz w:val="20"/>
                <w:szCs w:val="20"/>
                <w:color w:val="auto"/>
              </w:rPr>
            </w:pPr>
            <w:r>
              <w:rPr>
                <w:rFonts w:ascii="Arial" w:cs="Arial" w:eastAsia="Arial" w:hAnsi="Arial"/>
                <w:sz w:val="18"/>
                <w:szCs w:val="18"/>
                <w:b w:val="1"/>
                <w:bCs w:val="1"/>
                <w:color w:val="FFFFFF"/>
              </w:rPr>
              <w:t>Record Date</w:t>
            </w:r>
          </w:p>
        </w:tc>
      </w:tr>
      <w:tr>
        <w:trPr>
          <w:trHeight w:val="255"/>
        </w:trPr>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202020"/>
              </w:rPr>
              <w:t>This year’s meeting will be held online at:</w:t>
            </w:r>
          </w:p>
        </w:tc>
        <w:tc>
          <w:tcPr>
            <w:tcW w:w="3600" w:type="dxa"/>
            <w:vAlign w:val="bottom"/>
          </w:tcPr>
          <w:p>
            <w:pPr>
              <w:jc w:val="center"/>
              <w:ind w:left="110"/>
              <w:spacing w:after="0"/>
              <w:rPr>
                <w:sz w:val="20"/>
                <w:szCs w:val="20"/>
                <w:color w:val="auto"/>
              </w:rPr>
            </w:pPr>
            <w:r>
              <w:rPr>
                <w:rFonts w:ascii="Arial" w:cs="Arial" w:eastAsia="Arial" w:hAnsi="Arial"/>
                <w:sz w:val="18"/>
                <w:szCs w:val="18"/>
                <w:color w:val="202020"/>
              </w:rPr>
              <w:t>Only stockholders of record at the close</w:t>
            </w:r>
          </w:p>
        </w:tc>
      </w:tr>
      <w:tr>
        <w:trPr>
          <w:trHeight w:val="212"/>
        </w:trPr>
        <w:tc>
          <w:tcPr>
            <w:tcW w:w="3760" w:type="dxa"/>
            <w:vAlign w:val="bottom"/>
            <w:gridSpan w:val="2"/>
          </w:tcPr>
          <w:p>
            <w:pPr>
              <w:jc w:val="center"/>
              <w:ind w:right="220"/>
              <w:spacing w:after="0"/>
              <w:rPr>
                <w:sz w:val="20"/>
                <w:szCs w:val="20"/>
                <w:color w:val="auto"/>
              </w:rPr>
            </w:pPr>
            <w:r>
              <w:rPr>
                <w:rFonts w:ascii="Arial" w:cs="Arial" w:eastAsia="Arial" w:hAnsi="Arial"/>
                <w:sz w:val="18"/>
                <w:szCs w:val="18"/>
                <w:color w:val="202020"/>
              </w:rPr>
              <w:t>virtualshareholdermeeting.com/CLDX2026</w:t>
            </w:r>
          </w:p>
        </w:tc>
        <w:tc>
          <w:tcPr>
            <w:tcW w:w="3600" w:type="dxa"/>
            <w:vAlign w:val="bottom"/>
          </w:tcPr>
          <w:p>
            <w:pPr>
              <w:jc w:val="center"/>
              <w:ind w:left="110"/>
              <w:spacing w:after="0"/>
              <w:rPr>
                <w:sz w:val="20"/>
                <w:szCs w:val="20"/>
                <w:color w:val="auto"/>
              </w:rPr>
            </w:pPr>
            <w:r>
              <w:rPr>
                <w:rFonts w:ascii="Arial" w:cs="Arial" w:eastAsia="Arial" w:hAnsi="Arial"/>
                <w:sz w:val="18"/>
                <w:szCs w:val="18"/>
                <w:color w:val="202020"/>
              </w:rPr>
              <w:t>of business on April 27, 2026 are entitled</w:t>
            </w:r>
          </w:p>
        </w:tc>
      </w:tr>
      <w:tr>
        <w:trPr>
          <w:trHeight w:val="207"/>
        </w:trPr>
        <w:tc>
          <w:tcPr>
            <w:tcW w:w="3540" w:type="dxa"/>
            <w:vAlign w:val="bottom"/>
            <w:tcBorders>
              <w:top w:val="single" w:sz="8" w:color="202020"/>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left="110"/>
              <w:spacing w:after="0"/>
              <w:rPr>
                <w:sz w:val="20"/>
                <w:szCs w:val="20"/>
                <w:color w:val="auto"/>
              </w:rPr>
            </w:pPr>
            <w:r>
              <w:rPr>
                <w:rFonts w:ascii="Arial" w:cs="Arial" w:eastAsia="Arial" w:hAnsi="Arial"/>
                <w:sz w:val="18"/>
                <w:szCs w:val="18"/>
                <w:color w:val="202020"/>
              </w:rPr>
              <w:t>to receive notice of and to vote at the</w:t>
            </w:r>
          </w:p>
        </w:tc>
      </w:tr>
      <w:tr>
        <w:trPr>
          <w:trHeight w:val="219"/>
        </w:trPr>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jc w:val="center"/>
              <w:ind w:left="110"/>
              <w:spacing w:after="0"/>
              <w:rPr>
                <w:sz w:val="20"/>
                <w:szCs w:val="20"/>
                <w:color w:val="auto"/>
              </w:rPr>
            </w:pPr>
            <w:r>
              <w:rPr>
                <w:rFonts w:ascii="Arial" w:cs="Arial" w:eastAsia="Arial" w:hAnsi="Arial"/>
                <w:sz w:val="18"/>
                <w:szCs w:val="18"/>
                <w:color w:val="202020"/>
              </w:rPr>
              <w:t>Annual Meeting or any postponement or</w:t>
            </w:r>
          </w:p>
        </w:tc>
      </w:tr>
      <w:tr>
        <w:trPr>
          <w:trHeight w:val="244"/>
        </w:trPr>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tcPr>
          <w:p>
            <w:pPr>
              <w:jc w:val="center"/>
              <w:ind w:left="110"/>
              <w:spacing w:after="0"/>
              <w:rPr>
                <w:sz w:val="20"/>
                <w:szCs w:val="20"/>
                <w:color w:val="auto"/>
              </w:rPr>
            </w:pPr>
            <w:r>
              <w:rPr>
                <w:rFonts w:ascii="Arial" w:cs="Arial" w:eastAsia="Arial" w:hAnsi="Arial"/>
                <w:sz w:val="18"/>
                <w:szCs w:val="18"/>
                <w:color w:val="202020"/>
              </w:rPr>
              <w:t>adjournment thereof.</w:t>
            </w:r>
          </w:p>
        </w:tc>
      </w:tr>
    </w:tbl>
    <w:p>
      <w:pPr>
        <w:spacing w:after="0" w:line="200" w:lineRule="exact"/>
        <w:rPr>
          <w:sz w:val="20"/>
          <w:szCs w:val="20"/>
          <w:color w:val="auto"/>
        </w:rPr>
      </w:pPr>
    </w:p>
    <w:p>
      <w:pPr>
        <w:sectPr>
          <w:pgSz w:w="11880" w:h="15480" w:orient="portrait"/>
          <w:cols w:equalWidth="0" w:num="2">
            <w:col w:w="1940" w:space="660"/>
            <w:col w:w="7520"/>
          </w:cols>
          <w:pgMar w:left="880" w:top="870" w:right="880" w:bottom="981"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 w:type="dxa"/>
            <w:vAlign w:val="bottom"/>
            <w:tcBorders>
              <w:right w:val="single" w:sz="8" w:color="8F8F8F"/>
            </w:tcBorders>
            <w:shd w:val="clear" w:color="auto" w:fill="8F8F8F"/>
          </w:tcPr>
          <w:p>
            <w:pPr>
              <w:spacing w:after="0"/>
              <w:rPr>
                <w:sz w:val="21"/>
                <w:szCs w:val="21"/>
                <w:color w:val="auto"/>
              </w:rPr>
            </w:pPr>
          </w:p>
        </w:tc>
        <w:tc>
          <w:tcPr>
            <w:tcW w:w="440" w:type="dxa"/>
            <w:vAlign w:val="bottom"/>
            <w:shd w:val="clear" w:color="auto" w:fill="8F8F8F"/>
          </w:tcPr>
          <w:p>
            <w:pPr>
              <w:spacing w:after="0"/>
              <w:rPr>
                <w:sz w:val="21"/>
                <w:szCs w:val="21"/>
                <w:color w:val="auto"/>
              </w:rPr>
            </w:pPr>
          </w:p>
        </w:tc>
        <w:tc>
          <w:tcPr>
            <w:tcW w:w="20" w:type="dxa"/>
            <w:vAlign w:val="bottom"/>
            <w:shd w:val="clear" w:color="auto" w:fill="8F8F8F"/>
          </w:tcPr>
          <w:p>
            <w:pPr>
              <w:spacing w:after="0"/>
              <w:rPr>
                <w:sz w:val="21"/>
                <w:szCs w:val="21"/>
                <w:color w:val="auto"/>
              </w:rPr>
            </w:pPr>
          </w:p>
        </w:tc>
        <w:tc>
          <w:tcPr>
            <w:tcW w:w="20" w:type="dxa"/>
            <w:vAlign w:val="bottom"/>
            <w:shd w:val="clear" w:color="auto" w:fill="8F8F8F"/>
          </w:tcPr>
          <w:p>
            <w:pPr>
              <w:spacing w:after="0"/>
              <w:rPr>
                <w:sz w:val="21"/>
                <w:szCs w:val="21"/>
                <w:color w:val="auto"/>
              </w:rPr>
            </w:pPr>
          </w:p>
        </w:tc>
        <w:tc>
          <w:tcPr>
            <w:tcW w:w="5700" w:type="dxa"/>
            <w:vAlign w:val="bottom"/>
            <w:shd w:val="clear" w:color="auto" w:fill="8F8F8F"/>
          </w:tcPr>
          <w:p>
            <w:pPr>
              <w:spacing w:after="0"/>
              <w:rPr>
                <w:sz w:val="21"/>
                <w:szCs w:val="21"/>
                <w:color w:val="auto"/>
              </w:rPr>
            </w:pPr>
          </w:p>
        </w:tc>
        <w:tc>
          <w:tcPr>
            <w:tcW w:w="2120" w:type="dxa"/>
            <w:vAlign w:val="bottom"/>
            <w:shd w:val="clear" w:color="auto" w:fill="8F8F8F"/>
          </w:tcPr>
          <w:p>
            <w:pPr>
              <w:ind w:left="440"/>
              <w:spacing w:after="0"/>
              <w:rPr>
                <w:sz w:val="20"/>
                <w:szCs w:val="20"/>
                <w:color w:val="auto"/>
              </w:rPr>
            </w:pPr>
            <w:r>
              <w:rPr>
                <w:rFonts w:ascii="Arial" w:cs="Arial" w:eastAsia="Arial" w:hAnsi="Arial"/>
                <w:sz w:val="18"/>
                <w:szCs w:val="18"/>
                <w:b w:val="1"/>
                <w:bCs w:val="1"/>
                <w:color w:val="FFFFFF"/>
              </w:rPr>
              <w:t>Board Voting</w:t>
            </w:r>
          </w:p>
        </w:tc>
        <w:tc>
          <w:tcPr>
            <w:tcW w:w="1500" w:type="dxa"/>
            <w:vAlign w:val="bottom"/>
            <w:shd w:val="clear" w:color="auto" w:fill="8F8F8F"/>
          </w:tcPr>
          <w:p>
            <w:pPr>
              <w:jc w:val="center"/>
              <w:spacing w:after="0"/>
              <w:rPr>
                <w:sz w:val="20"/>
                <w:szCs w:val="20"/>
                <w:color w:val="auto"/>
              </w:rPr>
            </w:pPr>
            <w:r>
              <w:rPr>
                <w:rFonts w:ascii="Arial" w:cs="Arial" w:eastAsia="Arial" w:hAnsi="Arial"/>
                <w:sz w:val="18"/>
                <w:szCs w:val="18"/>
                <w:b w:val="1"/>
                <w:bCs w:val="1"/>
                <w:color w:val="FFFFFF"/>
              </w:rPr>
              <w:t>Page</w:t>
            </w:r>
          </w:p>
        </w:tc>
        <w:tc>
          <w:tcPr>
            <w:tcW w:w="0" w:type="dxa"/>
            <w:vAlign w:val="bottom"/>
          </w:tcPr>
          <w:p>
            <w:pPr>
              <w:spacing w:after="0"/>
              <w:rPr>
                <w:sz w:val="1"/>
                <w:szCs w:val="1"/>
                <w:color w:val="auto"/>
              </w:rPr>
            </w:pPr>
          </w:p>
        </w:tc>
      </w:tr>
      <w:tr>
        <w:trPr>
          <w:trHeight w:val="252"/>
        </w:trPr>
        <w:tc>
          <w:tcPr>
            <w:tcW w:w="6500" w:type="dxa"/>
            <w:vAlign w:val="bottom"/>
            <w:tcBorders>
              <w:bottom w:val="single" w:sz="8" w:color="8F8F8F"/>
            </w:tcBorders>
            <w:gridSpan w:val="5"/>
            <w:shd w:val="clear" w:color="auto" w:fill="8F8F8F"/>
          </w:tcPr>
          <w:p>
            <w:pPr>
              <w:ind w:left="100"/>
              <w:spacing w:after="0"/>
              <w:rPr>
                <w:sz w:val="20"/>
                <w:szCs w:val="20"/>
                <w:color w:val="auto"/>
              </w:rPr>
            </w:pPr>
            <w:r>
              <w:rPr>
                <w:rFonts w:ascii="Arial" w:cs="Arial" w:eastAsia="Arial" w:hAnsi="Arial"/>
                <w:sz w:val="18"/>
                <w:szCs w:val="18"/>
                <w:b w:val="1"/>
                <w:bCs w:val="1"/>
                <w:color w:val="FFFFFF"/>
              </w:rPr>
              <w:t>Proposals   Items of Business</w:t>
            </w:r>
          </w:p>
        </w:tc>
        <w:tc>
          <w:tcPr>
            <w:tcW w:w="2120" w:type="dxa"/>
            <w:vAlign w:val="bottom"/>
            <w:tcBorders>
              <w:bottom w:val="single" w:sz="8" w:color="8F8F8F"/>
            </w:tcBorders>
            <w:shd w:val="clear" w:color="auto" w:fill="8F8F8F"/>
          </w:tcPr>
          <w:p>
            <w:pPr>
              <w:ind w:left="240"/>
              <w:spacing w:after="0"/>
              <w:rPr>
                <w:sz w:val="20"/>
                <w:szCs w:val="20"/>
                <w:color w:val="auto"/>
              </w:rPr>
            </w:pPr>
            <w:r>
              <w:rPr>
                <w:rFonts w:ascii="Arial" w:cs="Arial" w:eastAsia="Arial" w:hAnsi="Arial"/>
                <w:sz w:val="18"/>
                <w:szCs w:val="18"/>
                <w:b w:val="1"/>
                <w:bCs w:val="1"/>
                <w:color w:val="FFFFFF"/>
              </w:rPr>
              <w:t>Recommendation</w:t>
            </w:r>
          </w:p>
        </w:tc>
        <w:tc>
          <w:tcPr>
            <w:tcW w:w="150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18"/>
                <w:szCs w:val="18"/>
                <w:b w:val="1"/>
                <w:bCs w:val="1"/>
                <w:color w:val="FFFFFF"/>
              </w:rPr>
              <w:t>Reference</w:t>
            </w:r>
          </w:p>
        </w:tc>
        <w:tc>
          <w:tcPr>
            <w:tcW w:w="0" w:type="dxa"/>
            <w:vAlign w:val="bottom"/>
          </w:tcPr>
          <w:p>
            <w:pPr>
              <w:spacing w:after="0"/>
              <w:rPr>
                <w:sz w:val="1"/>
                <w:szCs w:val="1"/>
                <w:color w:val="auto"/>
              </w:rPr>
            </w:pPr>
          </w:p>
        </w:tc>
      </w:tr>
      <w:tr>
        <w:trPr>
          <w:trHeight w:val="150"/>
        </w:trPr>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Elect nine directors to serve until the next Annual Meeting of</w:t>
            </w: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20" w:type="dxa"/>
            <w:vAlign w:val="bottom"/>
          </w:tcPr>
          <w:p>
            <w:pPr>
              <w:spacing w:after="0"/>
              <w:rPr>
                <w:sz w:val="6"/>
                <w:szCs w:val="6"/>
                <w:color w:val="auto"/>
              </w:rPr>
            </w:pPr>
          </w:p>
        </w:tc>
        <w:tc>
          <w:tcPr>
            <w:tcW w:w="440" w:type="dxa"/>
            <w:vAlign w:val="bottom"/>
            <w:shd w:val="clear" w:color="auto" w:fill="202020"/>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57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440" w:type="dxa"/>
            <w:vAlign w:val="bottom"/>
            <w:shd w:val="clear" w:color="auto" w:fill="202020"/>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Stockholders and until their respective successors shall have</w:t>
            </w:r>
          </w:p>
        </w:tc>
        <w:tc>
          <w:tcPr>
            <w:tcW w:w="2120" w:type="dxa"/>
            <w:vAlign w:val="bottom"/>
          </w:tcPr>
          <w:p>
            <w:pPr>
              <w:ind w:left="620"/>
              <w:spacing w:after="0"/>
              <w:rPr>
                <w:sz w:val="20"/>
                <w:szCs w:val="20"/>
                <w:color w:val="auto"/>
              </w:rPr>
            </w:pPr>
            <w:r>
              <w:rPr>
                <w:rFonts w:ascii="Arial" w:cs="Arial" w:eastAsia="Arial" w:hAnsi="Arial"/>
                <w:sz w:val="18"/>
                <w:szCs w:val="18"/>
                <w:b w:val="1"/>
                <w:bCs w:val="1"/>
                <w:color w:val="202020"/>
              </w:rPr>
              <w:t>FOR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202020"/>
              </w:rPr>
              <w:t>7</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440" w:type="dxa"/>
            <w:vAlign w:val="bottom"/>
            <w:shd w:val="clear" w:color="auto" w:fill="202020"/>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been duly elected and qualified;</w:t>
            </w:r>
          </w:p>
        </w:tc>
        <w:tc>
          <w:tcPr>
            <w:tcW w:w="2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570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20" w:type="dxa"/>
            <w:vAlign w:val="bottom"/>
            <w:tcBorders>
              <w:bottom w:val="single" w:sz="8" w:color="202020"/>
            </w:tcBorders>
          </w:tcPr>
          <w:p>
            <w:pPr>
              <w:spacing w:after="0"/>
              <w:rPr>
                <w:sz w:val="2"/>
                <w:szCs w:val="2"/>
                <w:color w:val="auto"/>
              </w:rPr>
            </w:pPr>
          </w:p>
        </w:tc>
        <w:tc>
          <w:tcPr>
            <w:tcW w:w="440" w:type="dxa"/>
            <w:vAlign w:val="bottom"/>
            <w:tcBorders>
              <w:bottom w:val="single" w:sz="8" w:color="202020"/>
            </w:tcBorders>
          </w:tcPr>
          <w:p>
            <w:pPr>
              <w:spacing w:after="0"/>
              <w:rPr>
                <w:sz w:val="2"/>
                <w:szCs w:val="2"/>
                <w:color w:val="auto"/>
              </w:rPr>
            </w:pPr>
          </w:p>
        </w:tc>
        <w:tc>
          <w:tcPr>
            <w:tcW w:w="20" w:type="dxa"/>
            <w:vAlign w:val="bottom"/>
            <w:tcBorders>
              <w:bottom w:val="single" w:sz="8" w:color="202020"/>
            </w:tcBorders>
          </w:tcPr>
          <w:p>
            <w:pPr>
              <w:spacing w:after="0"/>
              <w:rPr>
                <w:sz w:val="2"/>
                <w:szCs w:val="2"/>
                <w:color w:val="auto"/>
              </w:rPr>
            </w:pPr>
          </w:p>
        </w:tc>
        <w:tc>
          <w:tcPr>
            <w:tcW w:w="20" w:type="dxa"/>
            <w:vAlign w:val="bottom"/>
            <w:tcBorders>
              <w:bottom w:val="single" w:sz="8" w:color="202020"/>
            </w:tcBorders>
          </w:tcPr>
          <w:p>
            <w:pPr>
              <w:spacing w:after="0"/>
              <w:rPr>
                <w:sz w:val="2"/>
                <w:szCs w:val="2"/>
                <w:color w:val="auto"/>
              </w:rPr>
            </w:pPr>
          </w:p>
        </w:tc>
        <w:tc>
          <w:tcPr>
            <w:tcW w:w="5700" w:type="dxa"/>
            <w:vAlign w:val="bottom"/>
            <w:tcBorders>
              <w:bottom w:val="single" w:sz="8" w:color="202020"/>
            </w:tcBorders>
          </w:tcPr>
          <w:p>
            <w:pPr>
              <w:spacing w:after="0"/>
              <w:rPr>
                <w:sz w:val="2"/>
                <w:szCs w:val="2"/>
                <w:color w:val="auto"/>
              </w:rPr>
            </w:pPr>
          </w:p>
        </w:tc>
        <w:tc>
          <w:tcPr>
            <w:tcW w:w="2120" w:type="dxa"/>
            <w:vAlign w:val="bottom"/>
            <w:tcBorders>
              <w:bottom w:val="single" w:sz="8" w:color="202020"/>
            </w:tcBorders>
          </w:tcPr>
          <w:p>
            <w:pPr>
              <w:spacing w:after="0"/>
              <w:rPr>
                <w:sz w:val="2"/>
                <w:szCs w:val="2"/>
                <w:color w:val="auto"/>
              </w:rPr>
            </w:pPr>
          </w:p>
        </w:tc>
        <w:tc>
          <w:tcPr>
            <w:tcW w:w="1500" w:type="dxa"/>
            <w:vAlign w:val="bottom"/>
            <w:tcBorders>
              <w:bottom w:val="single" w:sz="8" w:color="202020"/>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Ratify the appointment of PricewaterhouseCoopers LLP as</w:t>
            </w:r>
          </w:p>
        </w:tc>
        <w:tc>
          <w:tcPr>
            <w:tcW w:w="2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20" w:type="dxa"/>
            <w:vAlign w:val="bottom"/>
            <w:tcBorders>
              <w:right w:val="single" w:sz="8" w:color="202020"/>
            </w:tcBorders>
          </w:tcPr>
          <w:p>
            <w:pPr>
              <w:spacing w:after="0"/>
              <w:rPr>
                <w:sz w:val="8"/>
                <w:szCs w:val="8"/>
                <w:color w:val="auto"/>
              </w:rPr>
            </w:pPr>
          </w:p>
        </w:tc>
        <w:tc>
          <w:tcPr>
            <w:tcW w:w="440" w:type="dxa"/>
            <w:vAlign w:val="bottom"/>
            <w:shd w:val="clear" w:color="auto" w:fill="202020"/>
          </w:tcPr>
          <w:p>
            <w:pPr>
              <w:spacing w:after="0"/>
              <w:rPr>
                <w:sz w:val="8"/>
                <w:szCs w:val="8"/>
                <w:color w:val="auto"/>
              </w:rPr>
            </w:pPr>
          </w:p>
        </w:tc>
        <w:tc>
          <w:tcPr>
            <w:tcW w:w="20" w:type="dxa"/>
            <w:vAlign w:val="bottom"/>
            <w:shd w:val="clear" w:color="auto" w:fill="202020"/>
          </w:tcPr>
          <w:p>
            <w:pPr>
              <w:spacing w:after="0"/>
              <w:rPr>
                <w:sz w:val="8"/>
                <w:szCs w:val="8"/>
                <w:color w:val="auto"/>
              </w:rPr>
            </w:pPr>
          </w:p>
        </w:tc>
        <w:tc>
          <w:tcPr>
            <w:tcW w:w="20" w:type="dxa"/>
            <w:vAlign w:val="bottom"/>
            <w:vMerge w:val="continue"/>
          </w:tcPr>
          <w:p>
            <w:pPr>
              <w:spacing w:after="0"/>
              <w:rPr>
                <w:sz w:val="8"/>
                <w:szCs w:val="8"/>
                <w:color w:val="auto"/>
              </w:rPr>
            </w:pPr>
          </w:p>
        </w:tc>
        <w:tc>
          <w:tcPr>
            <w:tcW w:w="57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20" w:type="dxa"/>
            <w:vAlign w:val="bottom"/>
            <w:tcBorders>
              <w:right w:val="single" w:sz="8" w:color="202020"/>
            </w:tcBorders>
          </w:tcPr>
          <w:p>
            <w:pPr>
              <w:spacing w:after="0"/>
              <w:rPr>
                <w:sz w:val="19"/>
                <w:szCs w:val="19"/>
                <w:color w:val="auto"/>
              </w:rPr>
            </w:pPr>
          </w:p>
        </w:tc>
        <w:tc>
          <w:tcPr>
            <w:tcW w:w="440" w:type="dxa"/>
            <w:vAlign w:val="bottom"/>
            <w:shd w:val="clear" w:color="auto" w:fill="202020"/>
          </w:tcPr>
          <w:p>
            <w:pPr>
              <w:spacing w:after="0"/>
              <w:rPr>
                <w:sz w:val="19"/>
                <w:szCs w:val="19"/>
                <w:color w:val="auto"/>
              </w:rPr>
            </w:pPr>
          </w:p>
        </w:tc>
        <w:tc>
          <w:tcPr>
            <w:tcW w:w="20" w:type="dxa"/>
            <w:vAlign w:val="bottom"/>
            <w:shd w:val="clear" w:color="auto" w:fill="202020"/>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our independent registered public accounting firm for the</w:t>
            </w:r>
          </w:p>
        </w:tc>
        <w:tc>
          <w:tcPr>
            <w:tcW w:w="2120" w:type="dxa"/>
            <w:vAlign w:val="bottom"/>
          </w:tcPr>
          <w:p>
            <w:pPr>
              <w:ind w:left="620"/>
              <w:spacing w:after="0"/>
              <w:rPr>
                <w:sz w:val="20"/>
                <w:szCs w:val="20"/>
                <w:color w:val="auto"/>
              </w:rPr>
            </w:pPr>
            <w:r>
              <w:rPr>
                <w:rFonts w:ascii="Arial" w:cs="Arial" w:eastAsia="Arial" w:hAnsi="Arial"/>
                <w:sz w:val="18"/>
                <w:szCs w:val="18"/>
                <w:b w:val="1"/>
                <w:bCs w:val="1"/>
                <w:color w:val="202020"/>
              </w:rPr>
              <w:t>FOR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202020"/>
                <w:w w:val="99"/>
              </w:rPr>
              <w:t>53</w:t>
            </w:r>
          </w:p>
        </w:tc>
        <w:tc>
          <w:tcPr>
            <w:tcW w:w="0" w:type="dxa"/>
            <w:vAlign w:val="bottom"/>
          </w:tcPr>
          <w:p>
            <w:pPr>
              <w:spacing w:after="0"/>
              <w:rPr>
                <w:sz w:val="1"/>
                <w:szCs w:val="1"/>
                <w:color w:val="auto"/>
              </w:rPr>
            </w:pPr>
          </w:p>
        </w:tc>
      </w:tr>
      <w:tr>
        <w:trPr>
          <w:trHeight w:val="150"/>
        </w:trPr>
        <w:tc>
          <w:tcPr>
            <w:tcW w:w="320" w:type="dxa"/>
            <w:vAlign w:val="bottom"/>
            <w:tcBorders>
              <w:right w:val="single" w:sz="8" w:color="202020"/>
            </w:tcBorders>
          </w:tcPr>
          <w:p>
            <w:pPr>
              <w:spacing w:after="0"/>
              <w:rPr>
                <w:sz w:val="13"/>
                <w:szCs w:val="13"/>
                <w:color w:val="auto"/>
              </w:rPr>
            </w:pPr>
          </w:p>
        </w:tc>
        <w:tc>
          <w:tcPr>
            <w:tcW w:w="440" w:type="dxa"/>
            <w:vAlign w:val="bottom"/>
            <w:shd w:val="clear" w:color="auto" w:fill="202020"/>
          </w:tcPr>
          <w:p>
            <w:pPr>
              <w:spacing w:after="0"/>
              <w:rPr>
                <w:sz w:val="13"/>
                <w:szCs w:val="13"/>
                <w:color w:val="auto"/>
              </w:rPr>
            </w:pPr>
          </w:p>
        </w:tc>
        <w:tc>
          <w:tcPr>
            <w:tcW w:w="20" w:type="dxa"/>
            <w:vAlign w:val="bottom"/>
            <w:shd w:val="clear" w:color="auto" w:fill="202020"/>
          </w:tcPr>
          <w:p>
            <w:pPr>
              <w:spacing w:after="0"/>
              <w:rPr>
                <w:sz w:val="13"/>
                <w:szCs w:val="13"/>
                <w:color w:val="auto"/>
              </w:rPr>
            </w:pPr>
          </w:p>
        </w:tc>
        <w:tc>
          <w:tcPr>
            <w:tcW w:w="20" w:type="dxa"/>
            <w:vAlign w:val="bottom"/>
            <w:vMerge w:val="restart"/>
          </w:tcPr>
          <w:p>
            <w:pPr>
              <w:spacing w:after="0"/>
              <w:rPr>
                <w:sz w:val="13"/>
                <w:szCs w:val="13"/>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year ending December 31, 2026;</w:t>
            </w: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57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320" w:type="dxa"/>
            <w:vAlign w:val="bottom"/>
            <w:tcBorders>
              <w:bottom w:val="single" w:sz="8" w:color="202020"/>
            </w:tcBorders>
          </w:tcPr>
          <w:p>
            <w:pPr>
              <w:spacing w:after="0"/>
              <w:rPr>
                <w:sz w:val="2"/>
                <w:szCs w:val="2"/>
                <w:color w:val="auto"/>
              </w:rPr>
            </w:pPr>
          </w:p>
        </w:tc>
        <w:tc>
          <w:tcPr>
            <w:tcW w:w="440" w:type="dxa"/>
            <w:vAlign w:val="bottom"/>
            <w:tcBorders>
              <w:bottom w:val="single" w:sz="8" w:color="202020"/>
            </w:tcBorders>
          </w:tcPr>
          <w:p>
            <w:pPr>
              <w:spacing w:after="0"/>
              <w:rPr>
                <w:sz w:val="2"/>
                <w:szCs w:val="2"/>
                <w:color w:val="auto"/>
              </w:rPr>
            </w:pPr>
          </w:p>
        </w:tc>
        <w:tc>
          <w:tcPr>
            <w:tcW w:w="20" w:type="dxa"/>
            <w:vAlign w:val="bottom"/>
            <w:tcBorders>
              <w:bottom w:val="single" w:sz="8" w:color="202020"/>
            </w:tcBorders>
          </w:tcPr>
          <w:p>
            <w:pPr>
              <w:spacing w:after="0"/>
              <w:rPr>
                <w:sz w:val="2"/>
                <w:szCs w:val="2"/>
                <w:color w:val="auto"/>
              </w:rPr>
            </w:pPr>
          </w:p>
        </w:tc>
        <w:tc>
          <w:tcPr>
            <w:tcW w:w="20" w:type="dxa"/>
            <w:vAlign w:val="bottom"/>
            <w:tcBorders>
              <w:bottom w:val="single" w:sz="8" w:color="202020"/>
            </w:tcBorders>
          </w:tcPr>
          <w:p>
            <w:pPr>
              <w:spacing w:after="0"/>
              <w:rPr>
                <w:sz w:val="2"/>
                <w:szCs w:val="2"/>
                <w:color w:val="auto"/>
              </w:rPr>
            </w:pPr>
          </w:p>
        </w:tc>
        <w:tc>
          <w:tcPr>
            <w:tcW w:w="5700" w:type="dxa"/>
            <w:vAlign w:val="bottom"/>
            <w:tcBorders>
              <w:bottom w:val="single" w:sz="8" w:color="202020"/>
            </w:tcBorders>
          </w:tcPr>
          <w:p>
            <w:pPr>
              <w:spacing w:after="0"/>
              <w:rPr>
                <w:sz w:val="2"/>
                <w:szCs w:val="2"/>
                <w:color w:val="auto"/>
              </w:rPr>
            </w:pPr>
          </w:p>
        </w:tc>
        <w:tc>
          <w:tcPr>
            <w:tcW w:w="2120" w:type="dxa"/>
            <w:vAlign w:val="bottom"/>
            <w:tcBorders>
              <w:bottom w:val="single" w:sz="8" w:color="202020"/>
            </w:tcBorders>
          </w:tcPr>
          <w:p>
            <w:pPr>
              <w:spacing w:after="0"/>
              <w:rPr>
                <w:sz w:val="2"/>
                <w:szCs w:val="2"/>
                <w:color w:val="auto"/>
              </w:rPr>
            </w:pPr>
          </w:p>
        </w:tc>
        <w:tc>
          <w:tcPr>
            <w:tcW w:w="1500" w:type="dxa"/>
            <w:vAlign w:val="bottom"/>
            <w:tcBorders>
              <w:bottom w:val="single" w:sz="8" w:color="202020"/>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Approve an amendment to our 2021 Omnibus Equity</w:t>
            </w:r>
          </w:p>
        </w:tc>
        <w:tc>
          <w:tcPr>
            <w:tcW w:w="2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Incentive Plan, including an increase in the number of the</w:t>
            </w:r>
          </w:p>
        </w:tc>
        <w:tc>
          <w:tcPr>
            <w:tcW w:w="2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Borders>
              <w:right w:val="single" w:sz="8" w:color="202020"/>
            </w:tcBorders>
          </w:tcPr>
          <w:p>
            <w:pPr>
              <w:spacing w:after="0"/>
              <w:rPr>
                <w:sz w:val="19"/>
                <w:szCs w:val="19"/>
                <w:color w:val="auto"/>
              </w:rPr>
            </w:pPr>
          </w:p>
        </w:tc>
        <w:tc>
          <w:tcPr>
            <w:tcW w:w="440" w:type="dxa"/>
            <w:vAlign w:val="bottom"/>
            <w:shd w:val="clear" w:color="auto" w:fill="202020"/>
          </w:tcPr>
          <w:p>
            <w:pPr>
              <w:spacing w:after="0"/>
              <w:rPr>
                <w:sz w:val="19"/>
                <w:szCs w:val="19"/>
                <w:color w:val="auto"/>
              </w:rPr>
            </w:pPr>
          </w:p>
        </w:tc>
        <w:tc>
          <w:tcPr>
            <w:tcW w:w="20" w:type="dxa"/>
            <w:vAlign w:val="bottom"/>
            <w:shd w:val="clear" w:color="auto" w:fill="202020"/>
          </w:tcPr>
          <w:p>
            <w:pPr>
              <w:spacing w:after="0"/>
              <w:rPr>
                <w:sz w:val="19"/>
                <w:szCs w:val="19"/>
                <w:color w:val="auto"/>
              </w:rPr>
            </w:pPr>
          </w:p>
        </w:tc>
        <w:tc>
          <w:tcPr>
            <w:tcW w:w="20" w:type="dxa"/>
            <w:vAlign w:val="bottom"/>
            <w:shd w:val="clear" w:color="auto" w:fill="202020"/>
          </w:tcPr>
          <w:p>
            <w:pPr>
              <w:spacing w:after="0"/>
              <w:rPr>
                <w:sz w:val="19"/>
                <w:szCs w:val="19"/>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shares reserved for issuance thereunder by 3,400,000 shares</w:t>
            </w:r>
          </w:p>
        </w:tc>
        <w:tc>
          <w:tcPr>
            <w:tcW w:w="2120" w:type="dxa"/>
            <w:vAlign w:val="bottom"/>
            <w:vMerge w:val="restart"/>
          </w:tcPr>
          <w:p>
            <w:pPr>
              <w:ind w:left="620"/>
              <w:spacing w:after="0"/>
              <w:rPr>
                <w:sz w:val="20"/>
                <w:szCs w:val="20"/>
                <w:color w:val="auto"/>
              </w:rPr>
            </w:pPr>
            <w:r>
              <w:rPr>
                <w:rFonts w:ascii="Arial" w:cs="Arial" w:eastAsia="Arial" w:hAnsi="Arial"/>
                <w:sz w:val="18"/>
                <w:szCs w:val="18"/>
                <w:b w:val="1"/>
                <w:bCs w:val="1"/>
                <w:color w:val="202020"/>
              </w:rPr>
              <w:t>FOR</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202020"/>
                <w:w w:val="99"/>
              </w:rPr>
              <w:t>55</w:t>
            </w:r>
          </w:p>
        </w:tc>
        <w:tc>
          <w:tcPr>
            <w:tcW w:w="0" w:type="dxa"/>
            <w:vAlign w:val="bottom"/>
          </w:tcPr>
          <w:p>
            <w:pPr>
              <w:spacing w:after="0"/>
              <w:rPr>
                <w:sz w:val="1"/>
                <w:szCs w:val="1"/>
                <w:color w:val="auto"/>
              </w:rPr>
            </w:pPr>
          </w:p>
        </w:tc>
      </w:tr>
      <w:tr>
        <w:trPr>
          <w:trHeight w:val="114"/>
        </w:trPr>
        <w:tc>
          <w:tcPr>
            <w:tcW w:w="320" w:type="dxa"/>
            <w:vAlign w:val="bottom"/>
            <w:tcBorders>
              <w:right w:val="single" w:sz="8" w:color="202020"/>
            </w:tcBorders>
          </w:tcPr>
          <w:p>
            <w:pPr>
              <w:spacing w:after="0"/>
              <w:rPr>
                <w:sz w:val="9"/>
                <w:szCs w:val="9"/>
                <w:color w:val="auto"/>
              </w:rPr>
            </w:pPr>
          </w:p>
        </w:tc>
        <w:tc>
          <w:tcPr>
            <w:tcW w:w="440" w:type="dxa"/>
            <w:vAlign w:val="bottom"/>
            <w:shd w:val="clear" w:color="auto" w:fill="202020"/>
          </w:tcPr>
          <w:p>
            <w:pPr>
              <w:spacing w:after="0"/>
              <w:rPr>
                <w:sz w:val="9"/>
                <w:szCs w:val="9"/>
                <w:color w:val="auto"/>
              </w:rPr>
            </w:pPr>
          </w:p>
        </w:tc>
        <w:tc>
          <w:tcPr>
            <w:tcW w:w="20" w:type="dxa"/>
            <w:vAlign w:val="bottom"/>
            <w:shd w:val="clear" w:color="auto" w:fill="202020"/>
          </w:tcPr>
          <w:p>
            <w:pPr>
              <w:spacing w:after="0"/>
              <w:rPr>
                <w:sz w:val="9"/>
                <w:szCs w:val="9"/>
                <w:color w:val="auto"/>
              </w:rPr>
            </w:pPr>
          </w:p>
        </w:tc>
        <w:tc>
          <w:tcPr>
            <w:tcW w:w="20" w:type="dxa"/>
            <w:vAlign w:val="bottom"/>
            <w:shd w:val="clear" w:color="auto" w:fill="202020"/>
          </w:tcPr>
          <w:p>
            <w:pPr>
              <w:spacing w:after="0"/>
              <w:rPr>
                <w:sz w:val="9"/>
                <w:szCs w:val="9"/>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to 12,900,000 shares and a clarification regarding the tax</w:t>
            </w:r>
          </w:p>
        </w:tc>
        <w:tc>
          <w:tcPr>
            <w:tcW w:w="21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20" w:type="dxa"/>
            <w:vAlign w:val="bottom"/>
            <w:tcBorders>
              <w:right w:val="single" w:sz="8" w:color="202020"/>
            </w:tcBorders>
          </w:tcPr>
          <w:p>
            <w:pPr>
              <w:spacing w:after="0"/>
              <w:rPr>
                <w:sz w:val="10"/>
                <w:szCs w:val="10"/>
                <w:color w:val="auto"/>
              </w:rPr>
            </w:pPr>
          </w:p>
        </w:tc>
        <w:tc>
          <w:tcPr>
            <w:tcW w:w="440" w:type="dxa"/>
            <w:vAlign w:val="bottom"/>
            <w:tcBorders>
              <w:bottom w:val="single" w:sz="8" w:color="202020"/>
            </w:tcBorders>
            <w:shd w:val="clear" w:color="auto" w:fill="202020"/>
          </w:tcPr>
          <w:p>
            <w:pPr>
              <w:spacing w:after="0"/>
              <w:rPr>
                <w:sz w:val="10"/>
                <w:szCs w:val="10"/>
                <w:color w:val="auto"/>
              </w:rPr>
            </w:pPr>
          </w:p>
        </w:tc>
        <w:tc>
          <w:tcPr>
            <w:tcW w:w="20" w:type="dxa"/>
            <w:vAlign w:val="bottom"/>
            <w:tcBorders>
              <w:bottom w:val="single" w:sz="8" w:color="202020"/>
            </w:tcBorders>
            <w:shd w:val="clear" w:color="auto" w:fill="202020"/>
          </w:tcPr>
          <w:p>
            <w:pPr>
              <w:spacing w:after="0"/>
              <w:rPr>
                <w:sz w:val="10"/>
                <w:szCs w:val="10"/>
                <w:color w:val="auto"/>
              </w:rPr>
            </w:pPr>
          </w:p>
        </w:tc>
        <w:tc>
          <w:tcPr>
            <w:tcW w:w="20" w:type="dxa"/>
            <w:vAlign w:val="bottom"/>
            <w:tcBorders>
              <w:bottom w:val="single" w:sz="8" w:color="202020"/>
            </w:tcBorders>
            <w:shd w:val="clear" w:color="auto" w:fill="202020"/>
          </w:tcPr>
          <w:p>
            <w:pPr>
              <w:spacing w:after="0"/>
              <w:rPr>
                <w:sz w:val="10"/>
                <w:szCs w:val="10"/>
                <w:color w:val="auto"/>
              </w:rPr>
            </w:pPr>
          </w:p>
        </w:tc>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00" w:type="dxa"/>
            <w:vAlign w:val="bottom"/>
          </w:tcPr>
          <w:p>
            <w:pPr>
              <w:ind w:left="400"/>
              <w:spacing w:after="0" w:line="180" w:lineRule="exact"/>
              <w:rPr>
                <w:sz w:val="20"/>
                <w:szCs w:val="20"/>
                <w:color w:val="auto"/>
              </w:rPr>
            </w:pPr>
            <w:r>
              <w:rPr>
                <w:rFonts w:ascii="Arial" w:cs="Arial" w:eastAsia="Arial" w:hAnsi="Arial"/>
                <w:sz w:val="18"/>
                <w:szCs w:val="18"/>
                <w:color w:val="202020"/>
              </w:rPr>
              <w:t>withholding provisions applicable to awards under the 2021</w:t>
            </w:r>
          </w:p>
        </w:tc>
        <w:tc>
          <w:tcPr>
            <w:tcW w:w="2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Incentive Plan;</w:t>
            </w:r>
          </w:p>
        </w:tc>
        <w:tc>
          <w:tcPr>
            <w:tcW w:w="2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320" w:type="dxa"/>
            <w:vAlign w:val="bottom"/>
            <w:tcBorders>
              <w:bottom w:val="single" w:sz="8" w:color="202020"/>
            </w:tcBorders>
          </w:tcPr>
          <w:p>
            <w:pPr>
              <w:spacing w:after="0"/>
              <w:rPr>
                <w:sz w:val="2"/>
                <w:szCs w:val="2"/>
                <w:color w:val="auto"/>
              </w:rPr>
            </w:pPr>
          </w:p>
        </w:tc>
        <w:tc>
          <w:tcPr>
            <w:tcW w:w="440" w:type="dxa"/>
            <w:vAlign w:val="bottom"/>
            <w:tcBorders>
              <w:bottom w:val="single" w:sz="8" w:color="202020"/>
            </w:tcBorders>
          </w:tcPr>
          <w:p>
            <w:pPr>
              <w:spacing w:after="0"/>
              <w:rPr>
                <w:sz w:val="2"/>
                <w:szCs w:val="2"/>
                <w:color w:val="auto"/>
              </w:rPr>
            </w:pPr>
          </w:p>
        </w:tc>
        <w:tc>
          <w:tcPr>
            <w:tcW w:w="20" w:type="dxa"/>
            <w:vAlign w:val="bottom"/>
            <w:tcBorders>
              <w:bottom w:val="single" w:sz="8" w:color="202020"/>
            </w:tcBorders>
          </w:tcPr>
          <w:p>
            <w:pPr>
              <w:spacing w:after="0"/>
              <w:rPr>
                <w:sz w:val="2"/>
                <w:szCs w:val="2"/>
                <w:color w:val="auto"/>
              </w:rPr>
            </w:pPr>
          </w:p>
        </w:tc>
        <w:tc>
          <w:tcPr>
            <w:tcW w:w="20" w:type="dxa"/>
            <w:vAlign w:val="bottom"/>
            <w:tcBorders>
              <w:bottom w:val="single" w:sz="8" w:color="202020"/>
            </w:tcBorders>
          </w:tcPr>
          <w:p>
            <w:pPr>
              <w:spacing w:after="0"/>
              <w:rPr>
                <w:sz w:val="2"/>
                <w:szCs w:val="2"/>
                <w:color w:val="auto"/>
              </w:rPr>
            </w:pPr>
          </w:p>
        </w:tc>
        <w:tc>
          <w:tcPr>
            <w:tcW w:w="5700" w:type="dxa"/>
            <w:vAlign w:val="bottom"/>
            <w:tcBorders>
              <w:bottom w:val="single" w:sz="8" w:color="202020"/>
            </w:tcBorders>
          </w:tcPr>
          <w:p>
            <w:pPr>
              <w:spacing w:after="0"/>
              <w:rPr>
                <w:sz w:val="2"/>
                <w:szCs w:val="2"/>
                <w:color w:val="auto"/>
              </w:rPr>
            </w:pPr>
          </w:p>
        </w:tc>
        <w:tc>
          <w:tcPr>
            <w:tcW w:w="2120" w:type="dxa"/>
            <w:vAlign w:val="bottom"/>
            <w:tcBorders>
              <w:bottom w:val="single" w:sz="8" w:color="202020"/>
            </w:tcBorders>
          </w:tcPr>
          <w:p>
            <w:pPr>
              <w:spacing w:after="0"/>
              <w:rPr>
                <w:sz w:val="2"/>
                <w:szCs w:val="2"/>
                <w:color w:val="auto"/>
              </w:rPr>
            </w:pPr>
          </w:p>
        </w:tc>
        <w:tc>
          <w:tcPr>
            <w:tcW w:w="1500" w:type="dxa"/>
            <w:vAlign w:val="bottom"/>
            <w:tcBorders>
              <w:bottom w:val="single" w:sz="8" w:color="202020"/>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Approve, on an advisory basis, the compensation of the</w:t>
            </w:r>
          </w:p>
        </w:tc>
        <w:tc>
          <w:tcPr>
            <w:tcW w:w="2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20" w:type="dxa"/>
            <w:vAlign w:val="bottom"/>
            <w:tcBorders>
              <w:right w:val="single" w:sz="8" w:color="202020"/>
            </w:tcBorders>
          </w:tcPr>
          <w:p>
            <w:pPr>
              <w:spacing w:after="0"/>
              <w:rPr>
                <w:sz w:val="8"/>
                <w:szCs w:val="8"/>
                <w:color w:val="auto"/>
              </w:rPr>
            </w:pPr>
          </w:p>
        </w:tc>
        <w:tc>
          <w:tcPr>
            <w:tcW w:w="440" w:type="dxa"/>
            <w:vAlign w:val="bottom"/>
            <w:shd w:val="clear" w:color="auto" w:fill="202020"/>
          </w:tcPr>
          <w:p>
            <w:pPr>
              <w:spacing w:after="0"/>
              <w:rPr>
                <w:sz w:val="8"/>
                <w:szCs w:val="8"/>
                <w:color w:val="auto"/>
              </w:rPr>
            </w:pPr>
          </w:p>
        </w:tc>
        <w:tc>
          <w:tcPr>
            <w:tcW w:w="20" w:type="dxa"/>
            <w:vAlign w:val="bottom"/>
            <w:shd w:val="clear" w:color="auto" w:fill="202020"/>
          </w:tcPr>
          <w:p>
            <w:pPr>
              <w:spacing w:after="0"/>
              <w:rPr>
                <w:sz w:val="8"/>
                <w:szCs w:val="8"/>
                <w:color w:val="auto"/>
              </w:rPr>
            </w:pPr>
          </w:p>
        </w:tc>
        <w:tc>
          <w:tcPr>
            <w:tcW w:w="20" w:type="dxa"/>
            <w:vAlign w:val="bottom"/>
            <w:shd w:val="clear" w:color="auto" w:fill="202020"/>
          </w:tcPr>
          <w:p>
            <w:pPr>
              <w:spacing w:after="0"/>
              <w:rPr>
                <w:sz w:val="8"/>
                <w:szCs w:val="8"/>
                <w:color w:val="auto"/>
              </w:rPr>
            </w:pPr>
          </w:p>
        </w:tc>
        <w:tc>
          <w:tcPr>
            <w:tcW w:w="57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20" w:type="dxa"/>
            <w:vAlign w:val="bottom"/>
            <w:tcBorders>
              <w:right w:val="single" w:sz="8" w:color="202020"/>
            </w:tcBorders>
          </w:tcPr>
          <w:p>
            <w:pPr>
              <w:spacing w:after="0"/>
              <w:rPr>
                <w:sz w:val="19"/>
                <w:szCs w:val="19"/>
                <w:color w:val="auto"/>
              </w:rPr>
            </w:pPr>
          </w:p>
        </w:tc>
        <w:tc>
          <w:tcPr>
            <w:tcW w:w="440" w:type="dxa"/>
            <w:vAlign w:val="bottom"/>
            <w:shd w:val="clear" w:color="auto" w:fill="202020"/>
          </w:tcPr>
          <w:p>
            <w:pPr>
              <w:spacing w:after="0"/>
              <w:rPr>
                <w:sz w:val="19"/>
                <w:szCs w:val="19"/>
                <w:color w:val="auto"/>
              </w:rPr>
            </w:pPr>
          </w:p>
        </w:tc>
        <w:tc>
          <w:tcPr>
            <w:tcW w:w="20" w:type="dxa"/>
            <w:vAlign w:val="bottom"/>
            <w:shd w:val="clear" w:color="auto" w:fill="202020"/>
          </w:tcPr>
          <w:p>
            <w:pPr>
              <w:spacing w:after="0"/>
              <w:rPr>
                <w:sz w:val="19"/>
                <w:szCs w:val="19"/>
                <w:color w:val="auto"/>
              </w:rPr>
            </w:pPr>
          </w:p>
        </w:tc>
        <w:tc>
          <w:tcPr>
            <w:tcW w:w="20" w:type="dxa"/>
            <w:vAlign w:val="bottom"/>
            <w:shd w:val="clear" w:color="auto" w:fill="202020"/>
          </w:tcPr>
          <w:p>
            <w:pPr>
              <w:spacing w:after="0"/>
              <w:rPr>
                <w:sz w:val="19"/>
                <w:szCs w:val="19"/>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202020"/>
              </w:rPr>
              <w:t>Company’s Named Executive Officers as disclosed in this</w:t>
            </w:r>
          </w:p>
        </w:tc>
        <w:tc>
          <w:tcPr>
            <w:tcW w:w="2120" w:type="dxa"/>
            <w:vAlign w:val="bottom"/>
          </w:tcPr>
          <w:p>
            <w:pPr>
              <w:ind w:left="620"/>
              <w:spacing w:after="0"/>
              <w:rPr>
                <w:sz w:val="20"/>
                <w:szCs w:val="20"/>
                <w:color w:val="auto"/>
              </w:rPr>
            </w:pPr>
            <w:r>
              <w:rPr>
                <w:rFonts w:ascii="Arial" w:cs="Arial" w:eastAsia="Arial" w:hAnsi="Arial"/>
                <w:sz w:val="18"/>
                <w:szCs w:val="18"/>
                <w:b w:val="1"/>
                <w:bCs w:val="1"/>
                <w:color w:val="202020"/>
              </w:rPr>
              <w:t>FOR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202020"/>
                <w:w w:val="99"/>
              </w:rPr>
              <w:t>62</w:t>
            </w:r>
          </w:p>
        </w:tc>
        <w:tc>
          <w:tcPr>
            <w:tcW w:w="0" w:type="dxa"/>
            <w:vAlign w:val="bottom"/>
          </w:tcPr>
          <w:p>
            <w:pPr>
              <w:spacing w:after="0"/>
              <w:rPr>
                <w:sz w:val="1"/>
                <w:szCs w:val="1"/>
                <w:color w:val="auto"/>
              </w:rPr>
            </w:pPr>
          </w:p>
        </w:tc>
      </w:tr>
      <w:tr>
        <w:trPr>
          <w:trHeight w:val="150"/>
        </w:trPr>
        <w:tc>
          <w:tcPr>
            <w:tcW w:w="320" w:type="dxa"/>
            <w:vAlign w:val="bottom"/>
            <w:tcBorders>
              <w:right w:val="single" w:sz="8" w:color="202020"/>
            </w:tcBorders>
          </w:tcPr>
          <w:p>
            <w:pPr>
              <w:spacing w:after="0"/>
              <w:rPr>
                <w:sz w:val="13"/>
                <w:szCs w:val="13"/>
                <w:color w:val="auto"/>
              </w:rPr>
            </w:pPr>
          </w:p>
        </w:tc>
        <w:tc>
          <w:tcPr>
            <w:tcW w:w="440" w:type="dxa"/>
            <w:vAlign w:val="bottom"/>
            <w:shd w:val="clear" w:color="auto" w:fill="202020"/>
          </w:tcPr>
          <w:p>
            <w:pPr>
              <w:spacing w:after="0"/>
              <w:rPr>
                <w:sz w:val="13"/>
                <w:szCs w:val="13"/>
                <w:color w:val="auto"/>
              </w:rPr>
            </w:pPr>
          </w:p>
        </w:tc>
        <w:tc>
          <w:tcPr>
            <w:tcW w:w="20" w:type="dxa"/>
            <w:vAlign w:val="bottom"/>
            <w:shd w:val="clear" w:color="auto" w:fill="202020"/>
          </w:tcPr>
          <w:p>
            <w:pPr>
              <w:spacing w:after="0"/>
              <w:rPr>
                <w:sz w:val="13"/>
                <w:szCs w:val="13"/>
                <w:color w:val="auto"/>
              </w:rPr>
            </w:pPr>
          </w:p>
        </w:tc>
        <w:tc>
          <w:tcPr>
            <w:tcW w:w="20" w:type="dxa"/>
            <w:vAlign w:val="bottom"/>
            <w:shd w:val="clear" w:color="auto" w:fill="202020"/>
          </w:tcPr>
          <w:p>
            <w:pPr>
              <w:spacing w:after="0"/>
              <w:rPr>
                <w:sz w:val="13"/>
                <w:szCs w:val="13"/>
                <w:color w:val="auto"/>
              </w:rPr>
            </w:pPr>
          </w:p>
        </w:tc>
        <w:tc>
          <w:tcPr>
            <w:tcW w:w="5700" w:type="dxa"/>
            <w:vAlign w:val="bottom"/>
            <w:vMerge w:val="restart"/>
          </w:tcPr>
          <w:p>
            <w:pPr>
              <w:ind w:left="400"/>
              <w:spacing w:after="0"/>
              <w:rPr>
                <w:sz w:val="20"/>
                <w:szCs w:val="20"/>
                <w:color w:val="auto"/>
              </w:rPr>
            </w:pPr>
            <w:r>
              <w:rPr>
                <w:rFonts w:ascii="Arial" w:cs="Arial" w:eastAsia="Arial" w:hAnsi="Arial"/>
                <w:sz w:val="18"/>
                <w:szCs w:val="18"/>
                <w:color w:val="202020"/>
              </w:rPr>
              <w:t>proxy statement; and</w:t>
            </w: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700" w:type="dxa"/>
            <w:vAlign w:val="bottom"/>
            <w:vMerge w:val="continue"/>
          </w:tcPr>
          <w:p>
            <w:pPr>
              <w:spacing w:after="0"/>
              <w:rPr>
                <w:sz w:val="8"/>
                <w:szCs w:val="8"/>
                <w:color w:val="auto"/>
              </w:rPr>
            </w:pPr>
          </w:p>
        </w:tc>
        <w:tc>
          <w:tcPr>
            <w:tcW w:w="2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22225</wp:posOffset>
                </wp:positionV>
                <wp:extent cx="642429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75pt" to="505.9pt,1.75pt" o:allowincell="f" strokecolor="#202020" strokeweight="0.748pt"/>
            </w:pict>
          </mc:Fallback>
        </mc:AlternateContent>
        <mc:AlternateContent>
          <mc:Choice Requires="wps">
            <w:drawing>
              <wp:anchor simplePos="0" relativeHeight="251657728" behindDoc="1" locked="0" layoutInCell="0" allowOverlap="1">
                <wp:simplePos x="0" y="0"/>
                <wp:positionH relativeFrom="column">
                  <wp:posOffset>684530</wp:posOffset>
                </wp:positionH>
                <wp:positionV relativeFrom="paragraph">
                  <wp:posOffset>-2583180</wp:posOffset>
                </wp:positionV>
                <wp:extent cx="0" cy="32956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9565"/>
                        </a:xfrm>
                        <a:prstGeom prst="line">
                          <a:avLst/>
                        </a:prstGeom>
                        <a:solidFill>
                          <a:srgbClr val="FFFFFF"/>
                        </a:solidFill>
                        <a:ln w="44348">
                          <a:solidFill>
                            <a:srgbClr val="FFFFFF"/>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pt,-203.3999pt" to="53.9pt,-177.4499pt" o:allowincell="f" strokecolor="#FFFFFF" strokeweight="3.492pt"/>
            </w:pict>
          </mc:Fallback>
        </mc:AlternateContent>
        <mc:AlternateContent>
          <mc:Choice Requires="wps">
            <w:drawing>
              <wp:anchor simplePos="0" relativeHeight="251657728" behindDoc="1" locked="0" layoutInCell="0" allowOverlap="1">
                <wp:simplePos x="0" y="0"/>
                <wp:positionH relativeFrom="column">
                  <wp:posOffset>4068445</wp:posOffset>
                </wp:positionH>
                <wp:positionV relativeFrom="paragraph">
                  <wp:posOffset>-2583180</wp:posOffset>
                </wp:positionV>
                <wp:extent cx="0" cy="32956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9565"/>
                        </a:xfrm>
                        <a:prstGeom prst="line">
                          <a:avLst/>
                        </a:prstGeom>
                        <a:solidFill>
                          <a:srgbClr val="FFFFFF"/>
                        </a:solidFill>
                        <a:ln w="44348">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35pt,-203.3999pt" to="320.35pt,-177.4499pt" o:allowincell="f" strokecolor="#FFFFFF" strokeweight="3.492pt"/>
            </w:pict>
          </mc:Fallback>
        </mc:AlternateContent>
        <mc:AlternateContent>
          <mc:Choice Requires="wps">
            <w:drawing>
              <wp:anchor simplePos="0" relativeHeight="251657728" behindDoc="1" locked="0" layoutInCell="0" allowOverlap="1">
                <wp:simplePos x="0" y="0"/>
                <wp:positionH relativeFrom="column">
                  <wp:posOffset>5487670</wp:posOffset>
                </wp:positionH>
                <wp:positionV relativeFrom="paragraph">
                  <wp:posOffset>-2583180</wp:posOffset>
                </wp:positionV>
                <wp:extent cx="0" cy="329565"/>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9565"/>
                        </a:xfrm>
                        <a:prstGeom prst="line">
                          <a:avLst/>
                        </a:prstGeom>
                        <a:solidFill>
                          <a:srgbClr val="FFFFFF"/>
                        </a:solidFill>
                        <a:ln w="44348">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1pt,-203.3999pt" to="432.1pt,-177.4499pt" o:allowincell="f" strokecolor="#FFFFFF" strokeweight="3.492pt"/>
            </w:pict>
          </mc:Fallback>
        </mc:AlternateContent>
        <w:drawing>
          <wp:anchor simplePos="0" relativeHeight="251657728" behindDoc="1" locked="0" layoutInCell="0" allowOverlap="1">
            <wp:simplePos x="0" y="0"/>
            <wp:positionH relativeFrom="column">
              <wp:posOffset>190500</wp:posOffset>
            </wp:positionH>
            <wp:positionV relativeFrom="paragraph">
              <wp:posOffset>-2169795</wp:posOffset>
            </wp:positionV>
            <wp:extent cx="297815" cy="297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297815" cy="297815"/>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-2160270</wp:posOffset>
            </wp:positionV>
            <wp:extent cx="285750" cy="280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285750" cy="28067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-1714500</wp:posOffset>
            </wp:positionV>
            <wp:extent cx="318770" cy="318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318770" cy="31877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-1694180</wp:posOffset>
            </wp:positionV>
            <wp:extent cx="285750" cy="280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285750" cy="28067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-1039495</wp:posOffset>
            </wp:positionV>
            <wp:extent cx="318770" cy="318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318770" cy="31877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-1019810</wp:posOffset>
            </wp:positionV>
            <wp:extent cx="285750" cy="280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285750" cy="28067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-365125</wp:posOffset>
            </wp:positionV>
            <wp:extent cx="318770" cy="318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318770" cy="318770"/>
                    </a:xfrm>
                    <a:prstGeom prst="rect">
                      <a:avLst/>
                    </a:prstGeom>
                    <a:noFill/>
                  </pic:spPr>
                </pic:pic>
              </a:graphicData>
            </a:graphic>
          </wp:anchor>
        </w:drawing>
        <w:drawing>
          <wp:anchor simplePos="0" relativeHeight="251657728" behindDoc="1" locked="0" layoutInCell="0" allowOverlap="1">
            <wp:simplePos x="0" y="0"/>
            <wp:positionH relativeFrom="column">
              <wp:posOffset>4803775</wp:posOffset>
            </wp:positionH>
            <wp:positionV relativeFrom="paragraph">
              <wp:posOffset>-344805</wp:posOffset>
            </wp:positionV>
            <wp:extent cx="285750" cy="280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285750" cy="280670"/>
                    </a:xfrm>
                    <a:prstGeom prst="rect">
                      <a:avLst/>
                    </a:prstGeom>
                    <a:noFill/>
                  </pic:spPr>
                </pic:pic>
              </a:graphicData>
            </a:graphic>
          </wp:anchor>
        </w:drawing>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8"/>
          <w:szCs w:val="18"/>
          <w:color w:val="202020"/>
        </w:rPr>
        <w:t>Address any other matters that may properly come before</w:t>
      </w:r>
    </w:p>
    <w:p>
      <w:pPr>
        <w:spacing w:after="0" w:line="12" w:lineRule="exact"/>
        <w:rPr>
          <w:sz w:val="20"/>
          <w:szCs w:val="20"/>
          <w:color w:val="auto"/>
        </w:rPr>
      </w:pPr>
    </w:p>
    <w:p>
      <w:pPr>
        <w:ind w:left="1200"/>
        <w:spacing w:after="0"/>
        <w:rPr>
          <w:sz w:val="20"/>
          <w:szCs w:val="20"/>
          <w:color w:val="auto"/>
        </w:rPr>
      </w:pPr>
      <w:r>
        <w:rPr>
          <w:rFonts w:ascii="Arial" w:cs="Arial" w:eastAsia="Arial" w:hAnsi="Arial"/>
          <w:sz w:val="18"/>
          <w:szCs w:val="18"/>
          <w:color w:val="202020"/>
        </w:rPr>
        <w:t>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45720</wp:posOffset>
                </wp:positionV>
                <wp:extent cx="642429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3.6pt" to="505.9pt,3.6pt" o:allowincell="f" strokecolor="#202020" strokeweight="0.748pt"/>
            </w:pict>
          </mc:Fallback>
        </mc:AlternateConten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YOUR VOTE IS IMPORTANT</w:t>
      </w:r>
    </w:p>
    <w:p>
      <w:pPr>
        <w:spacing w:after="0" w:line="180"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202020"/>
        </w:rPr>
        <w:t>Regardless of whether you plan to attend the live virtual meeting, we encourage you to vote as soon as possible in one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106045</wp:posOffset>
            </wp:positionV>
            <wp:extent cx="547370" cy="412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547370" cy="412750"/>
                    </a:xfrm>
                    <a:prstGeom prst="rect">
                      <a:avLst/>
                    </a:prstGeom>
                    <a:noFill/>
                  </pic:spPr>
                </pic:pic>
              </a:graphicData>
            </a:graphic>
          </wp:anchor>
        </w:drawing>
        <w:drawing>
          <wp:anchor simplePos="0" relativeHeight="251657728" behindDoc="1" locked="0" layoutInCell="0" allowOverlap="1">
            <wp:simplePos x="0" y="0"/>
            <wp:positionH relativeFrom="column">
              <wp:posOffset>1979295</wp:posOffset>
            </wp:positionH>
            <wp:positionV relativeFrom="paragraph">
              <wp:posOffset>102870</wp:posOffset>
            </wp:positionV>
            <wp:extent cx="440690" cy="441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440690" cy="441325"/>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108585</wp:posOffset>
            </wp:positionV>
            <wp:extent cx="481330" cy="435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481330" cy="43561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92710</wp:posOffset>
            </wp:positionV>
            <wp:extent cx="614045" cy="514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14045"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0" w:type="dxa"/>
            <w:vAlign w:val="bottom"/>
          </w:tcPr>
          <w:p>
            <w:pPr>
              <w:jc w:val="center"/>
              <w:spacing w:after="0"/>
              <w:rPr>
                <w:sz w:val="20"/>
                <w:szCs w:val="20"/>
                <w:color w:val="auto"/>
              </w:rPr>
            </w:pPr>
            <w:r>
              <w:rPr>
                <w:rFonts w:ascii="Arial" w:cs="Arial" w:eastAsia="Arial" w:hAnsi="Arial"/>
                <w:sz w:val="18"/>
                <w:szCs w:val="18"/>
                <w:b w:val="1"/>
                <w:bCs w:val="1"/>
                <w:color w:val="202020"/>
                <w:w w:val="97"/>
              </w:rPr>
              <w:t>BY MAIL</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202020"/>
                <w:w w:val="94"/>
              </w:rPr>
              <w:t>BY TELEPHONE</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202020"/>
                <w:w w:val="97"/>
              </w:rPr>
              <w:t>VIA INTERNET</w:t>
            </w:r>
          </w:p>
        </w:tc>
        <w:tc>
          <w:tcPr>
            <w:tcW w:w="100" w:type="dxa"/>
            <w:vAlign w:val="bottom"/>
          </w:tcPr>
          <w:p>
            <w:pPr>
              <w:spacing w:after="0"/>
              <w:rPr>
                <w:sz w:val="21"/>
                <w:szCs w:val="21"/>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202020"/>
                <w:w w:val="95"/>
              </w:rPr>
              <w:t>AT THE VIRTUAL MEETING</w:t>
            </w:r>
          </w:p>
        </w:tc>
      </w:tr>
      <w:tr>
        <w:trPr>
          <w:trHeight w:val="38"/>
        </w:trPr>
        <w:tc>
          <w:tcPr>
            <w:tcW w:w="2400" w:type="dxa"/>
            <w:vAlign w:val="bottom"/>
            <w:tcBorders>
              <w:bottom w:val="single" w:sz="8" w:color="202020"/>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202020"/>
            </w:tcBorders>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Borders>
              <w:bottom w:val="single" w:sz="8" w:color="202020"/>
            </w:tcBorders>
          </w:tcPr>
          <w:p>
            <w:pPr>
              <w:spacing w:after="0"/>
              <w:rPr>
                <w:sz w:val="3"/>
                <w:szCs w:val="3"/>
                <w:color w:val="auto"/>
              </w:rPr>
            </w:pPr>
          </w:p>
        </w:tc>
        <w:tc>
          <w:tcPr>
            <w:tcW w:w="100" w:type="dxa"/>
            <w:vAlign w:val="bottom"/>
          </w:tcPr>
          <w:p>
            <w:pPr>
              <w:spacing w:after="0"/>
              <w:rPr>
                <w:sz w:val="3"/>
                <w:szCs w:val="3"/>
                <w:color w:val="auto"/>
              </w:rPr>
            </w:pPr>
          </w:p>
        </w:tc>
        <w:tc>
          <w:tcPr>
            <w:tcW w:w="3540" w:type="dxa"/>
            <w:vAlign w:val="bottom"/>
            <w:tcBorders>
              <w:bottom w:val="single" w:sz="8" w:color="202020"/>
            </w:tcBorders>
          </w:tcPr>
          <w:p>
            <w:pPr>
              <w:spacing w:after="0"/>
              <w:rPr>
                <w:sz w:val="3"/>
                <w:szCs w:val="3"/>
                <w:color w:val="auto"/>
              </w:rPr>
            </w:pPr>
          </w:p>
        </w:tc>
      </w:tr>
      <w:tr>
        <w:trPr>
          <w:trHeight w:val="307"/>
        </w:trPr>
        <w:tc>
          <w:tcPr>
            <w:tcW w:w="2400" w:type="dxa"/>
            <w:vAlign w:val="bottom"/>
          </w:tcPr>
          <w:p>
            <w:pPr>
              <w:jc w:val="center"/>
              <w:spacing w:after="0"/>
              <w:rPr>
                <w:sz w:val="20"/>
                <w:szCs w:val="20"/>
                <w:color w:val="auto"/>
              </w:rPr>
            </w:pPr>
            <w:r>
              <w:rPr>
                <w:rFonts w:ascii="Arial" w:cs="Arial" w:eastAsia="Arial" w:hAnsi="Arial"/>
                <w:sz w:val="18"/>
                <w:szCs w:val="18"/>
                <w:color w:val="202020"/>
              </w:rPr>
              <w:t>Sign, date, and return your</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202020"/>
              </w:rPr>
              <w:t>submit your proxy</w:t>
            </w: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202020"/>
              </w:rPr>
              <w:t>submit your proxy by</w:t>
            </w: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202020"/>
              </w:rPr>
              <w:t>Attend the Annual Meeting online at</w:t>
            </w: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color w:val="202020"/>
              </w:rPr>
              <w:t>proxy card in the enclosed</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202020"/>
              </w:rPr>
              <w:t>by telephone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202020"/>
              </w:rPr>
              <w:t>via the Internet</w:t>
            </w:r>
          </w:p>
        </w:tc>
        <w:tc>
          <w:tcPr>
            <w:tcW w:w="3640" w:type="dxa"/>
            <w:vAlign w:val="bottom"/>
            <w:gridSpan w:val="2"/>
          </w:tcPr>
          <w:p>
            <w:pPr>
              <w:jc w:val="center"/>
              <w:ind w:left="10"/>
              <w:spacing w:after="0"/>
              <w:rPr>
                <w:sz w:val="20"/>
                <w:szCs w:val="20"/>
                <w:color w:val="auto"/>
              </w:rPr>
            </w:pPr>
            <w:r>
              <w:rPr>
                <w:rFonts w:ascii="Arial" w:cs="Arial" w:eastAsia="Arial" w:hAnsi="Arial"/>
                <w:sz w:val="18"/>
                <w:szCs w:val="18"/>
                <w:color w:val="202020"/>
              </w:rPr>
              <w:t>virtualshareholdermeeting.com/CLDX2026</w:t>
            </w:r>
          </w:p>
        </w:tc>
      </w:tr>
      <w:tr>
        <w:trPr>
          <w:trHeight w:val="232"/>
        </w:trPr>
        <w:tc>
          <w:tcPr>
            <w:tcW w:w="2400" w:type="dxa"/>
            <w:vAlign w:val="bottom"/>
          </w:tcPr>
          <w:p>
            <w:pPr>
              <w:jc w:val="center"/>
              <w:spacing w:after="0"/>
              <w:rPr>
                <w:sz w:val="20"/>
                <w:szCs w:val="20"/>
                <w:color w:val="auto"/>
              </w:rPr>
            </w:pPr>
            <w:r>
              <w:rPr>
                <w:rFonts w:ascii="Arial" w:cs="Arial" w:eastAsia="Arial" w:hAnsi="Arial"/>
                <w:sz w:val="18"/>
                <w:szCs w:val="18"/>
                <w:color w:val="202020"/>
              </w:rPr>
              <w:t>envelope</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Borders>
              <w:top w:val="single" w:sz="8" w:color="202020"/>
            </w:tcBorders>
          </w:tcPr>
          <w:p>
            <w:pPr>
              <w:spacing w:after="0"/>
              <w:rPr>
                <w:sz w:val="20"/>
                <w:szCs w:val="20"/>
                <w:color w:val="auto"/>
              </w:rPr>
            </w:pPr>
          </w:p>
        </w:tc>
      </w:tr>
      <w:tr>
        <w:trPr>
          <w:trHeight w:val="118"/>
        </w:trPr>
        <w:tc>
          <w:tcPr>
            <w:tcW w:w="2400" w:type="dxa"/>
            <w:vAlign w:val="bottom"/>
            <w:tcBorders>
              <w:bottom w:val="single" w:sz="8" w:color="202020"/>
            </w:tcBorders>
          </w:tcPr>
          <w:p>
            <w:pPr>
              <w:spacing w:after="0"/>
              <w:rPr>
                <w:sz w:val="10"/>
                <w:szCs w:val="10"/>
                <w:color w:val="auto"/>
              </w:rPr>
            </w:pPr>
          </w:p>
        </w:tc>
        <w:tc>
          <w:tcPr>
            <w:tcW w:w="100" w:type="dxa"/>
            <w:vAlign w:val="bottom"/>
            <w:tcBorders>
              <w:bottom w:val="single" w:sz="8" w:color="202020"/>
            </w:tcBorders>
          </w:tcPr>
          <w:p>
            <w:pPr>
              <w:spacing w:after="0"/>
              <w:rPr>
                <w:sz w:val="10"/>
                <w:szCs w:val="10"/>
                <w:color w:val="auto"/>
              </w:rPr>
            </w:pPr>
          </w:p>
        </w:tc>
        <w:tc>
          <w:tcPr>
            <w:tcW w:w="1940" w:type="dxa"/>
            <w:vAlign w:val="bottom"/>
            <w:tcBorders>
              <w:bottom w:val="single" w:sz="8" w:color="202020"/>
            </w:tcBorders>
          </w:tcPr>
          <w:p>
            <w:pPr>
              <w:spacing w:after="0"/>
              <w:rPr>
                <w:sz w:val="10"/>
                <w:szCs w:val="10"/>
                <w:color w:val="auto"/>
              </w:rPr>
            </w:pPr>
          </w:p>
        </w:tc>
        <w:tc>
          <w:tcPr>
            <w:tcW w:w="100" w:type="dxa"/>
            <w:vAlign w:val="bottom"/>
            <w:tcBorders>
              <w:bottom w:val="single" w:sz="8" w:color="202020"/>
            </w:tcBorders>
          </w:tcPr>
          <w:p>
            <w:pPr>
              <w:spacing w:after="0"/>
              <w:rPr>
                <w:sz w:val="10"/>
                <w:szCs w:val="10"/>
                <w:color w:val="auto"/>
              </w:rPr>
            </w:pPr>
          </w:p>
        </w:tc>
        <w:tc>
          <w:tcPr>
            <w:tcW w:w="2040" w:type="dxa"/>
            <w:vAlign w:val="bottom"/>
            <w:tcBorders>
              <w:bottom w:val="single" w:sz="8" w:color="202020"/>
            </w:tcBorders>
            <w:gridSpan w:val="2"/>
          </w:tcPr>
          <w:p>
            <w:pPr>
              <w:spacing w:after="0"/>
              <w:rPr>
                <w:sz w:val="10"/>
                <w:szCs w:val="10"/>
                <w:color w:val="auto"/>
              </w:rPr>
            </w:pPr>
          </w:p>
        </w:tc>
        <w:tc>
          <w:tcPr>
            <w:tcW w:w="3540" w:type="dxa"/>
            <w:vAlign w:val="bottom"/>
            <w:tcBorders>
              <w:bottom w:val="single" w:sz="8" w:color="202020"/>
            </w:tcBorders>
          </w:tcPr>
          <w:p>
            <w:pPr>
              <w:spacing w:after="0"/>
              <w:rPr>
                <w:sz w:val="10"/>
                <w:szCs w:val="10"/>
                <w:color w:val="auto"/>
              </w:rPr>
            </w:pPr>
          </w:p>
        </w:tc>
      </w:tr>
      <w:tr>
        <w:trPr>
          <w:trHeight w:val="531"/>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3"/>
          </w:tcPr>
          <w:p>
            <w:pPr>
              <w:ind w:left="640"/>
              <w:spacing w:after="0"/>
              <w:rPr>
                <w:sz w:val="20"/>
                <w:szCs w:val="20"/>
                <w:color w:val="auto"/>
              </w:rPr>
            </w:pPr>
            <w:r>
              <w:rPr>
                <w:rFonts w:ascii="Arial" w:cs="Arial" w:eastAsia="Arial" w:hAnsi="Arial"/>
                <w:sz w:val="18"/>
                <w:szCs w:val="18"/>
                <w:color w:val="202020"/>
              </w:rPr>
              <w:t>By Order of the Board of Directors</w:t>
            </w:r>
          </w:p>
        </w:tc>
      </w:tr>
      <w:tr>
        <w:trPr>
          <w:trHeight w:val="519"/>
        </w:trPr>
        <w:tc>
          <w:tcPr>
            <w:tcW w:w="2400" w:type="dxa"/>
            <w:vAlign w:val="bottom"/>
          </w:tcPr>
          <w:p>
            <w:pPr>
              <w:spacing w:after="0"/>
              <w:rPr>
                <w:sz w:val="20"/>
                <w:szCs w:val="20"/>
                <w:color w:val="auto"/>
              </w:rPr>
            </w:pPr>
            <w:r>
              <w:rPr>
                <w:rFonts w:ascii="Arial" w:cs="Arial" w:eastAsia="Arial" w:hAnsi="Arial"/>
                <w:sz w:val="18"/>
                <w:szCs w:val="18"/>
                <w:color w:val="202020"/>
              </w:rPr>
              <w:t>May 4, 2026</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ind w:left="640"/>
              <w:spacing w:after="0"/>
              <w:rPr>
                <w:sz w:val="20"/>
                <w:szCs w:val="20"/>
                <w:color w:val="auto"/>
              </w:rPr>
            </w:pPr>
            <w:r>
              <w:rPr>
                <w:rFonts w:ascii="Arial" w:cs="Arial" w:eastAsia="Arial" w:hAnsi="Arial"/>
                <w:sz w:val="18"/>
                <w:szCs w:val="18"/>
                <w:color w:val="202020"/>
              </w:rPr>
              <w:t>Sam Martin</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39"/>
        </w:trPr>
        <w:tc>
          <w:tcPr>
            <w:tcW w:w="2400" w:type="dxa"/>
            <w:vAlign w:val="bottom"/>
          </w:tcPr>
          <w:p>
            <w:pPr>
              <w:spacing w:after="0"/>
              <w:rPr>
                <w:sz w:val="20"/>
                <w:szCs w:val="20"/>
                <w:color w:val="auto"/>
              </w:rPr>
            </w:pPr>
            <w:r>
              <w:rPr>
                <w:rFonts w:ascii="Arial" w:cs="Arial" w:eastAsia="Arial" w:hAnsi="Arial"/>
                <w:sz w:val="18"/>
                <w:szCs w:val="18"/>
                <w:color w:val="202020"/>
              </w:rPr>
              <w:t>Hampton, NJ</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3"/>
          </w:tcPr>
          <w:p>
            <w:pPr>
              <w:ind w:left="640"/>
              <w:spacing w:after="0"/>
              <w:rPr>
                <w:sz w:val="20"/>
                <w:szCs w:val="20"/>
                <w:color w:val="auto"/>
              </w:rPr>
            </w:pPr>
            <w:r>
              <w:rPr>
                <w:rFonts w:ascii="Arial" w:cs="Arial" w:eastAsia="Arial" w:hAnsi="Arial"/>
                <w:sz w:val="18"/>
                <w:szCs w:val="18"/>
                <w:color w:val="202020"/>
              </w:rPr>
              <w:t>Chief Financial Officer and Secretary</w:t>
            </w:r>
          </w:p>
        </w:tc>
      </w:tr>
    </w:tbl>
    <w:p>
      <w:pPr>
        <w:sectPr>
          <w:pgSz w:w="11880" w:h="15480" w:orient="portrait"/>
          <w:cols w:equalWidth="0" w:num="1">
            <w:col w:w="10120"/>
          </w:cols>
          <w:pgMar w:left="880" w:top="870" w:right="880" w:bottom="981" w:gutter="0" w:footer="0" w:header="0"/>
          <w:type w:val="continuous"/>
        </w:sectPr>
      </w:pPr>
    </w:p>
    <w:bookmarkStart w:id="3" w:name="page4"/>
    <w:bookmarkEnd w:id="3"/>
    <w:p>
      <w:pPr>
        <w:spacing w:after="0"/>
        <w:rPr>
          <w:sz w:val="20"/>
          <w:szCs w:val="20"/>
          <w:color w:val="auto"/>
        </w:rPr>
      </w:pPr>
      <w:r>
        <w:rPr>
          <w:rFonts w:ascii="Arial" w:cs="Arial" w:eastAsia="Arial" w:hAnsi="Arial"/>
          <w:sz w:val="36"/>
          <w:szCs w:val="36"/>
          <w:b w:val="1"/>
          <w:bCs w:val="1"/>
          <w:color w:val="202020"/>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About Us</w:t>
            </w:r>
          </w:p>
        </w:tc>
        <w:tc>
          <w:tcPr>
            <w:tcW w:w="34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2</w:t>
            </w:r>
          </w:p>
        </w:tc>
      </w:tr>
      <w:tr>
        <w:trPr>
          <w:trHeight w:val="429"/>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About the Meeting</w:t>
            </w:r>
          </w:p>
        </w:tc>
        <w:tc>
          <w:tcPr>
            <w:tcW w:w="34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3</w:t>
            </w:r>
          </w:p>
        </w:tc>
      </w:tr>
      <w:tr>
        <w:trPr>
          <w:trHeight w:val="450"/>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Proposal 1: Election of Directors</w:t>
            </w:r>
          </w:p>
        </w:tc>
        <w:tc>
          <w:tcPr>
            <w:tcW w:w="34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7</w:t>
            </w:r>
          </w:p>
        </w:tc>
      </w:tr>
      <w:tr>
        <w:trPr>
          <w:trHeight w:val="245"/>
        </w:trPr>
        <w:tc>
          <w:tcPr>
            <w:tcW w:w="4360" w:type="dxa"/>
            <w:vAlign w:val="bottom"/>
          </w:tcPr>
          <w:p>
            <w:pPr>
              <w:ind w:left="160"/>
              <w:spacing w:after="0"/>
              <w:rPr>
                <w:sz w:val="20"/>
                <w:szCs w:val="20"/>
                <w:color w:val="auto"/>
              </w:rPr>
            </w:pPr>
            <w:r>
              <w:rPr>
                <w:rFonts w:ascii="Arial" w:cs="Arial" w:eastAsia="Arial" w:hAnsi="Arial"/>
                <w:sz w:val="18"/>
                <w:szCs w:val="18"/>
                <w:color w:val="202020"/>
              </w:rPr>
              <w:t>Nominees for Election</w:t>
            </w:r>
          </w:p>
        </w:tc>
        <w:tc>
          <w:tcPr>
            <w:tcW w:w="340" w:type="dxa"/>
            <w:vAlign w:val="bottom"/>
          </w:tcPr>
          <w:p>
            <w:pPr>
              <w:jc w:val="right"/>
              <w:spacing w:after="0"/>
              <w:rPr>
                <w:sz w:val="20"/>
                <w:szCs w:val="20"/>
                <w:color w:val="auto"/>
              </w:rPr>
            </w:pPr>
            <w:r>
              <w:rPr>
                <w:rFonts w:ascii="Arial" w:cs="Arial" w:eastAsia="Arial" w:hAnsi="Arial"/>
                <w:sz w:val="18"/>
                <w:szCs w:val="18"/>
                <w:color w:val="202020"/>
              </w:rPr>
              <w:t>7</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Director Nominees</w:t>
            </w:r>
          </w:p>
        </w:tc>
        <w:tc>
          <w:tcPr>
            <w:tcW w:w="340" w:type="dxa"/>
            <w:vAlign w:val="bottom"/>
          </w:tcPr>
          <w:p>
            <w:pPr>
              <w:jc w:val="right"/>
              <w:spacing w:after="0"/>
              <w:rPr>
                <w:sz w:val="20"/>
                <w:szCs w:val="20"/>
                <w:color w:val="auto"/>
              </w:rPr>
            </w:pPr>
            <w:r>
              <w:rPr>
                <w:rFonts w:ascii="Arial" w:cs="Arial" w:eastAsia="Arial" w:hAnsi="Arial"/>
                <w:sz w:val="18"/>
                <w:szCs w:val="18"/>
                <w:color w:val="202020"/>
              </w:rPr>
              <w:t>8</w:t>
            </w:r>
          </w:p>
        </w:tc>
      </w:tr>
      <w:tr>
        <w:trPr>
          <w:trHeight w:val="99"/>
        </w:trPr>
        <w:tc>
          <w:tcPr>
            <w:tcW w:w="436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332"/>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Information Regarding the Board of</w:t>
            </w:r>
          </w:p>
        </w:tc>
        <w:tc>
          <w:tcPr>
            <w:tcW w:w="340" w:type="dxa"/>
            <w:vAlign w:val="bottom"/>
            <w:shd w:val="clear" w:color="auto" w:fill="8F8F8F"/>
          </w:tcPr>
          <w:p>
            <w:pPr>
              <w:spacing w:after="0"/>
              <w:rPr>
                <w:sz w:val="24"/>
                <w:szCs w:val="24"/>
                <w:color w:val="auto"/>
              </w:rPr>
            </w:pPr>
          </w:p>
        </w:tc>
      </w:tr>
      <w:tr>
        <w:trPr>
          <w:trHeight w:val="301"/>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Directors and Corporate Governance</w:t>
            </w:r>
          </w:p>
        </w:tc>
        <w:tc>
          <w:tcPr>
            <w:tcW w:w="34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13</w:t>
            </w:r>
          </w:p>
        </w:tc>
      </w:tr>
      <w:tr>
        <w:trPr>
          <w:trHeight w:val="245"/>
        </w:trPr>
        <w:tc>
          <w:tcPr>
            <w:tcW w:w="4360" w:type="dxa"/>
            <w:vAlign w:val="bottom"/>
          </w:tcPr>
          <w:p>
            <w:pPr>
              <w:ind w:left="160"/>
              <w:spacing w:after="0"/>
              <w:rPr>
                <w:sz w:val="20"/>
                <w:szCs w:val="20"/>
                <w:color w:val="auto"/>
              </w:rPr>
            </w:pPr>
            <w:r>
              <w:rPr>
                <w:rFonts w:ascii="Arial" w:cs="Arial" w:eastAsia="Arial" w:hAnsi="Arial"/>
                <w:sz w:val="18"/>
                <w:szCs w:val="18"/>
                <w:color w:val="202020"/>
              </w:rPr>
              <w:t>Independence of the Board of Directors</w:t>
            </w:r>
          </w:p>
        </w:tc>
        <w:tc>
          <w:tcPr>
            <w:tcW w:w="340" w:type="dxa"/>
            <w:vAlign w:val="bottom"/>
          </w:tcPr>
          <w:p>
            <w:pPr>
              <w:jc w:val="right"/>
              <w:spacing w:after="0"/>
              <w:rPr>
                <w:sz w:val="20"/>
                <w:szCs w:val="20"/>
                <w:color w:val="auto"/>
              </w:rPr>
            </w:pPr>
            <w:r>
              <w:rPr>
                <w:rFonts w:ascii="Arial" w:cs="Arial" w:eastAsia="Arial" w:hAnsi="Arial"/>
                <w:sz w:val="18"/>
                <w:szCs w:val="18"/>
                <w:color w:val="202020"/>
              </w:rPr>
              <w:t>13</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Board Leadership Structure</w:t>
            </w:r>
          </w:p>
        </w:tc>
        <w:tc>
          <w:tcPr>
            <w:tcW w:w="340" w:type="dxa"/>
            <w:vAlign w:val="bottom"/>
          </w:tcPr>
          <w:p>
            <w:pPr>
              <w:jc w:val="right"/>
              <w:spacing w:after="0"/>
              <w:rPr>
                <w:sz w:val="20"/>
                <w:szCs w:val="20"/>
                <w:color w:val="auto"/>
              </w:rPr>
            </w:pPr>
            <w:r>
              <w:rPr>
                <w:rFonts w:ascii="Arial" w:cs="Arial" w:eastAsia="Arial" w:hAnsi="Arial"/>
                <w:sz w:val="18"/>
                <w:szCs w:val="18"/>
                <w:color w:val="202020"/>
              </w:rPr>
              <w:t>13</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Role of the Board in Risk Oversight</w:t>
            </w:r>
          </w:p>
        </w:tc>
        <w:tc>
          <w:tcPr>
            <w:tcW w:w="340" w:type="dxa"/>
            <w:vAlign w:val="bottom"/>
          </w:tcPr>
          <w:p>
            <w:pPr>
              <w:jc w:val="right"/>
              <w:spacing w:after="0"/>
              <w:rPr>
                <w:sz w:val="20"/>
                <w:szCs w:val="20"/>
                <w:color w:val="auto"/>
              </w:rPr>
            </w:pPr>
            <w:r>
              <w:rPr>
                <w:rFonts w:ascii="Arial" w:cs="Arial" w:eastAsia="Arial" w:hAnsi="Arial"/>
                <w:sz w:val="18"/>
                <w:szCs w:val="18"/>
                <w:color w:val="202020"/>
              </w:rPr>
              <w:t>14</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Audit Committee</w:t>
            </w:r>
          </w:p>
        </w:tc>
        <w:tc>
          <w:tcPr>
            <w:tcW w:w="340" w:type="dxa"/>
            <w:vAlign w:val="bottom"/>
          </w:tcPr>
          <w:p>
            <w:pPr>
              <w:jc w:val="right"/>
              <w:spacing w:after="0"/>
              <w:rPr>
                <w:sz w:val="20"/>
                <w:szCs w:val="20"/>
                <w:color w:val="auto"/>
              </w:rPr>
            </w:pPr>
            <w:r>
              <w:rPr>
                <w:rFonts w:ascii="Arial" w:cs="Arial" w:eastAsia="Arial" w:hAnsi="Arial"/>
                <w:sz w:val="18"/>
                <w:szCs w:val="18"/>
                <w:color w:val="202020"/>
              </w:rPr>
              <w:t>15</w:t>
            </w:r>
          </w:p>
        </w:tc>
      </w:tr>
      <w:tr>
        <w:trPr>
          <w:trHeight w:val="257"/>
        </w:trPr>
        <w:tc>
          <w:tcPr>
            <w:tcW w:w="4360" w:type="dxa"/>
            <w:vAlign w:val="bottom"/>
          </w:tcPr>
          <w:p>
            <w:pPr>
              <w:ind w:left="160"/>
              <w:spacing w:after="0"/>
              <w:rPr>
                <w:sz w:val="20"/>
                <w:szCs w:val="20"/>
                <w:color w:val="auto"/>
              </w:rPr>
            </w:pPr>
            <w:r>
              <w:rPr>
                <w:rFonts w:ascii="Arial" w:cs="Arial" w:eastAsia="Arial" w:hAnsi="Arial"/>
                <w:sz w:val="18"/>
                <w:szCs w:val="18"/>
                <w:color w:val="202020"/>
              </w:rPr>
              <w:t>Compensation and Organization Development</w:t>
            </w:r>
          </w:p>
        </w:tc>
        <w:tc>
          <w:tcPr>
            <w:tcW w:w="340" w:type="dxa"/>
            <w:vAlign w:val="bottom"/>
          </w:tcPr>
          <w:p>
            <w:pPr>
              <w:spacing w:after="0"/>
              <w:rPr>
                <w:sz w:val="22"/>
                <w:szCs w:val="22"/>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202020"/>
              </w:rPr>
              <w:t>Committee</w:t>
            </w:r>
          </w:p>
        </w:tc>
        <w:tc>
          <w:tcPr>
            <w:tcW w:w="340" w:type="dxa"/>
            <w:vAlign w:val="bottom"/>
          </w:tcPr>
          <w:p>
            <w:pPr>
              <w:jc w:val="right"/>
              <w:spacing w:after="0"/>
              <w:rPr>
                <w:sz w:val="20"/>
                <w:szCs w:val="20"/>
                <w:color w:val="auto"/>
              </w:rPr>
            </w:pPr>
            <w:r>
              <w:rPr>
                <w:rFonts w:ascii="Arial" w:cs="Arial" w:eastAsia="Arial" w:hAnsi="Arial"/>
                <w:sz w:val="18"/>
                <w:szCs w:val="18"/>
                <w:color w:val="202020"/>
              </w:rPr>
              <w:t>15</w:t>
            </w:r>
          </w:p>
        </w:tc>
      </w:tr>
      <w:tr>
        <w:trPr>
          <w:trHeight w:val="257"/>
        </w:trPr>
        <w:tc>
          <w:tcPr>
            <w:tcW w:w="4360" w:type="dxa"/>
            <w:vAlign w:val="bottom"/>
          </w:tcPr>
          <w:p>
            <w:pPr>
              <w:ind w:left="160"/>
              <w:spacing w:after="0"/>
              <w:rPr>
                <w:sz w:val="20"/>
                <w:szCs w:val="20"/>
                <w:color w:val="auto"/>
              </w:rPr>
            </w:pPr>
            <w:r>
              <w:rPr>
                <w:rFonts w:ascii="Arial" w:cs="Arial" w:eastAsia="Arial" w:hAnsi="Arial"/>
                <w:sz w:val="18"/>
                <w:szCs w:val="18"/>
                <w:color w:val="202020"/>
              </w:rPr>
              <w:t>Nominating and Corporate Governance</w:t>
            </w:r>
          </w:p>
        </w:tc>
        <w:tc>
          <w:tcPr>
            <w:tcW w:w="340" w:type="dxa"/>
            <w:vAlign w:val="bottom"/>
          </w:tcPr>
          <w:p>
            <w:pPr>
              <w:spacing w:after="0"/>
              <w:rPr>
                <w:sz w:val="22"/>
                <w:szCs w:val="22"/>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202020"/>
              </w:rPr>
              <w:t>Committee</w:t>
            </w:r>
          </w:p>
        </w:tc>
        <w:tc>
          <w:tcPr>
            <w:tcW w:w="340" w:type="dxa"/>
            <w:vAlign w:val="bottom"/>
          </w:tcPr>
          <w:p>
            <w:pPr>
              <w:jc w:val="right"/>
              <w:spacing w:after="0"/>
              <w:rPr>
                <w:sz w:val="20"/>
                <w:szCs w:val="20"/>
                <w:color w:val="auto"/>
              </w:rPr>
            </w:pPr>
            <w:r>
              <w:rPr>
                <w:rFonts w:ascii="Arial" w:cs="Arial" w:eastAsia="Arial" w:hAnsi="Arial"/>
                <w:sz w:val="18"/>
                <w:szCs w:val="18"/>
                <w:color w:val="202020"/>
              </w:rPr>
              <w:t>16</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Science and Regulatory Committee</w:t>
            </w:r>
          </w:p>
        </w:tc>
        <w:tc>
          <w:tcPr>
            <w:tcW w:w="340" w:type="dxa"/>
            <w:vAlign w:val="bottom"/>
          </w:tcPr>
          <w:p>
            <w:pPr>
              <w:jc w:val="right"/>
              <w:spacing w:after="0"/>
              <w:rPr>
                <w:sz w:val="20"/>
                <w:szCs w:val="20"/>
                <w:color w:val="auto"/>
              </w:rPr>
            </w:pPr>
            <w:r>
              <w:rPr>
                <w:rFonts w:ascii="Arial" w:cs="Arial" w:eastAsia="Arial" w:hAnsi="Arial"/>
                <w:sz w:val="18"/>
                <w:szCs w:val="18"/>
                <w:color w:val="202020"/>
              </w:rPr>
              <w:t>16</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Director Selection Criteria</w:t>
            </w:r>
          </w:p>
        </w:tc>
        <w:tc>
          <w:tcPr>
            <w:tcW w:w="340" w:type="dxa"/>
            <w:vAlign w:val="bottom"/>
          </w:tcPr>
          <w:p>
            <w:pPr>
              <w:jc w:val="right"/>
              <w:spacing w:after="0"/>
              <w:rPr>
                <w:sz w:val="20"/>
                <w:szCs w:val="20"/>
                <w:color w:val="auto"/>
              </w:rPr>
            </w:pPr>
            <w:r>
              <w:rPr>
                <w:rFonts w:ascii="Arial" w:cs="Arial" w:eastAsia="Arial" w:hAnsi="Arial"/>
                <w:sz w:val="18"/>
                <w:szCs w:val="18"/>
                <w:color w:val="202020"/>
              </w:rPr>
              <w:t>16</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Stockholder Nominations for Directorships</w:t>
            </w:r>
          </w:p>
        </w:tc>
        <w:tc>
          <w:tcPr>
            <w:tcW w:w="340" w:type="dxa"/>
            <w:vAlign w:val="bottom"/>
          </w:tcPr>
          <w:p>
            <w:pPr>
              <w:jc w:val="right"/>
              <w:spacing w:after="0"/>
              <w:rPr>
                <w:sz w:val="20"/>
                <w:szCs w:val="20"/>
                <w:color w:val="auto"/>
              </w:rPr>
            </w:pPr>
            <w:r>
              <w:rPr>
                <w:rFonts w:ascii="Arial" w:cs="Arial" w:eastAsia="Arial" w:hAnsi="Arial"/>
                <w:sz w:val="18"/>
                <w:szCs w:val="18"/>
                <w:color w:val="202020"/>
              </w:rPr>
              <w:t>17</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Stockholder Communications</w:t>
            </w:r>
          </w:p>
        </w:tc>
        <w:tc>
          <w:tcPr>
            <w:tcW w:w="340" w:type="dxa"/>
            <w:vAlign w:val="bottom"/>
          </w:tcPr>
          <w:p>
            <w:pPr>
              <w:jc w:val="right"/>
              <w:spacing w:after="0"/>
              <w:rPr>
                <w:sz w:val="20"/>
                <w:szCs w:val="20"/>
                <w:color w:val="auto"/>
              </w:rPr>
            </w:pPr>
            <w:r>
              <w:rPr>
                <w:rFonts w:ascii="Arial" w:cs="Arial" w:eastAsia="Arial" w:hAnsi="Arial"/>
                <w:sz w:val="18"/>
                <w:szCs w:val="18"/>
                <w:color w:val="202020"/>
              </w:rPr>
              <w:t>18</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Code of Business Conduct and Ethics</w:t>
            </w:r>
          </w:p>
        </w:tc>
        <w:tc>
          <w:tcPr>
            <w:tcW w:w="340" w:type="dxa"/>
            <w:vAlign w:val="bottom"/>
          </w:tcPr>
          <w:p>
            <w:pPr>
              <w:jc w:val="right"/>
              <w:spacing w:after="0"/>
              <w:rPr>
                <w:sz w:val="20"/>
                <w:szCs w:val="20"/>
                <w:color w:val="auto"/>
              </w:rPr>
            </w:pPr>
            <w:r>
              <w:rPr>
                <w:rFonts w:ascii="Arial" w:cs="Arial" w:eastAsia="Arial" w:hAnsi="Arial"/>
                <w:sz w:val="18"/>
                <w:szCs w:val="18"/>
                <w:color w:val="202020"/>
              </w:rPr>
              <w:t>18</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Corporate Governance Matters</w:t>
            </w:r>
          </w:p>
        </w:tc>
        <w:tc>
          <w:tcPr>
            <w:tcW w:w="340" w:type="dxa"/>
            <w:vAlign w:val="bottom"/>
          </w:tcPr>
          <w:p>
            <w:pPr>
              <w:jc w:val="right"/>
              <w:spacing w:after="0"/>
              <w:rPr>
                <w:sz w:val="20"/>
                <w:szCs w:val="20"/>
                <w:color w:val="auto"/>
              </w:rPr>
            </w:pPr>
            <w:r>
              <w:rPr>
                <w:rFonts w:ascii="Arial" w:cs="Arial" w:eastAsia="Arial" w:hAnsi="Arial"/>
                <w:sz w:val="18"/>
                <w:szCs w:val="18"/>
                <w:color w:val="202020"/>
              </w:rPr>
              <w:t>18</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Compliance Program</w:t>
            </w:r>
          </w:p>
        </w:tc>
        <w:tc>
          <w:tcPr>
            <w:tcW w:w="340" w:type="dxa"/>
            <w:vAlign w:val="bottom"/>
          </w:tcPr>
          <w:p>
            <w:pPr>
              <w:jc w:val="right"/>
              <w:spacing w:after="0"/>
              <w:rPr>
                <w:sz w:val="20"/>
                <w:szCs w:val="20"/>
                <w:color w:val="auto"/>
              </w:rPr>
            </w:pPr>
            <w:r>
              <w:rPr>
                <w:rFonts w:ascii="Arial" w:cs="Arial" w:eastAsia="Arial" w:hAnsi="Arial"/>
                <w:sz w:val="18"/>
                <w:szCs w:val="18"/>
                <w:color w:val="202020"/>
              </w:rPr>
              <w:t>19</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Stock Ownership Guidelines</w:t>
            </w:r>
          </w:p>
        </w:tc>
        <w:tc>
          <w:tcPr>
            <w:tcW w:w="340" w:type="dxa"/>
            <w:vAlign w:val="bottom"/>
          </w:tcPr>
          <w:p>
            <w:pPr>
              <w:jc w:val="right"/>
              <w:spacing w:after="0"/>
              <w:rPr>
                <w:sz w:val="20"/>
                <w:szCs w:val="20"/>
                <w:color w:val="auto"/>
              </w:rPr>
            </w:pPr>
            <w:r>
              <w:rPr>
                <w:rFonts w:ascii="Arial" w:cs="Arial" w:eastAsia="Arial" w:hAnsi="Arial"/>
                <w:sz w:val="18"/>
                <w:szCs w:val="18"/>
                <w:color w:val="202020"/>
              </w:rPr>
              <w:t>19</w:t>
            </w:r>
          </w:p>
        </w:tc>
      </w:tr>
      <w:tr>
        <w:trPr>
          <w:trHeight w:val="257"/>
        </w:trPr>
        <w:tc>
          <w:tcPr>
            <w:tcW w:w="4360" w:type="dxa"/>
            <w:vAlign w:val="bottom"/>
          </w:tcPr>
          <w:p>
            <w:pPr>
              <w:ind w:left="160"/>
              <w:spacing w:after="0"/>
              <w:rPr>
                <w:sz w:val="20"/>
                <w:szCs w:val="20"/>
                <w:color w:val="auto"/>
              </w:rPr>
            </w:pPr>
            <w:r>
              <w:rPr>
                <w:rFonts w:ascii="Arial" w:cs="Arial" w:eastAsia="Arial" w:hAnsi="Arial"/>
                <w:sz w:val="18"/>
                <w:szCs w:val="18"/>
                <w:color w:val="202020"/>
              </w:rPr>
              <w:t>Insider Trading Policy (including Anti-Hedging and</w:t>
            </w:r>
          </w:p>
        </w:tc>
        <w:tc>
          <w:tcPr>
            <w:tcW w:w="340" w:type="dxa"/>
            <w:vAlign w:val="bottom"/>
          </w:tcPr>
          <w:p>
            <w:pPr>
              <w:spacing w:after="0"/>
              <w:rPr>
                <w:sz w:val="22"/>
                <w:szCs w:val="22"/>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202020"/>
              </w:rPr>
              <w:t>Anti-Pledging)</w:t>
            </w:r>
          </w:p>
        </w:tc>
        <w:tc>
          <w:tcPr>
            <w:tcW w:w="340" w:type="dxa"/>
            <w:vAlign w:val="bottom"/>
          </w:tcPr>
          <w:p>
            <w:pPr>
              <w:jc w:val="right"/>
              <w:spacing w:after="0"/>
              <w:rPr>
                <w:sz w:val="20"/>
                <w:szCs w:val="20"/>
                <w:color w:val="auto"/>
              </w:rPr>
            </w:pPr>
            <w:r>
              <w:rPr>
                <w:rFonts w:ascii="Arial" w:cs="Arial" w:eastAsia="Arial" w:hAnsi="Arial"/>
                <w:sz w:val="18"/>
                <w:szCs w:val="18"/>
                <w:color w:val="202020"/>
              </w:rPr>
              <w:t>19</w:t>
            </w:r>
          </w:p>
        </w:tc>
      </w:tr>
      <w:tr>
        <w:trPr>
          <w:trHeight w:val="99"/>
        </w:trPr>
        <w:tc>
          <w:tcPr>
            <w:tcW w:w="4700" w:type="dxa"/>
            <w:vAlign w:val="bottom"/>
            <w:gridSpan w:val="2"/>
          </w:tcPr>
          <w:p>
            <w:pPr>
              <w:spacing w:after="0"/>
              <w:rPr>
                <w:sz w:val="8"/>
                <w:szCs w:val="8"/>
                <w:color w:val="auto"/>
              </w:rPr>
            </w:pPr>
          </w:p>
        </w:tc>
      </w:tr>
      <w:tr>
        <w:trPr>
          <w:trHeight w:val="346"/>
        </w:trPr>
        <w:tc>
          <w:tcPr>
            <w:tcW w:w="4700" w:type="dxa"/>
            <w:vAlign w:val="bottom"/>
            <w:gridSpan w:val="2"/>
            <w:shd w:val="clear" w:color="auto" w:fill="8F8F8F"/>
          </w:tcPr>
          <w:p>
            <w:pPr>
              <w:ind w:left="60"/>
              <w:spacing w:after="0"/>
              <w:rPr>
                <w:sz w:val="20"/>
                <w:szCs w:val="20"/>
                <w:color w:val="auto"/>
              </w:rPr>
            </w:pPr>
            <w:r>
              <w:rPr>
                <w:rFonts w:ascii="Arial" w:cs="Arial" w:eastAsia="Arial" w:hAnsi="Arial"/>
                <w:sz w:val="21"/>
                <w:szCs w:val="21"/>
                <w:b w:val="1"/>
                <w:bCs w:val="1"/>
                <w:color w:val="FFFFFF"/>
              </w:rPr>
              <w:t xml:space="preserve">Sustainability &amp; Corporate Responsibility </w:t>
            </w:r>
            <w:r>
              <w:rPr>
                <w:rFonts w:ascii="Arial" w:cs="Arial" w:eastAsia="Arial" w:hAnsi="Arial"/>
                <w:sz w:val="17"/>
                <w:szCs w:val="17"/>
                <w:b w:val="1"/>
                <w:bCs w:val="1"/>
                <w:color w:val="FFFFFF"/>
              </w:rPr>
              <w:t>20</w:t>
            </w:r>
          </w:p>
        </w:tc>
      </w:tr>
      <w:tr>
        <w:trPr>
          <w:trHeight w:val="433"/>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Executive Officers</w:t>
            </w:r>
          </w:p>
        </w:tc>
        <w:tc>
          <w:tcPr>
            <w:tcW w:w="34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25</w:t>
            </w:r>
          </w:p>
        </w:tc>
      </w:tr>
      <w:tr>
        <w:trPr>
          <w:trHeight w:val="450"/>
        </w:trPr>
        <w:tc>
          <w:tcPr>
            <w:tcW w:w="436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Executive Compensation</w:t>
            </w:r>
          </w:p>
        </w:tc>
        <w:tc>
          <w:tcPr>
            <w:tcW w:w="34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26</w:t>
            </w:r>
          </w:p>
        </w:tc>
      </w:tr>
      <w:tr>
        <w:trPr>
          <w:trHeight w:val="245"/>
        </w:trPr>
        <w:tc>
          <w:tcPr>
            <w:tcW w:w="4360" w:type="dxa"/>
            <w:vAlign w:val="bottom"/>
          </w:tcPr>
          <w:p>
            <w:pPr>
              <w:ind w:left="160"/>
              <w:spacing w:after="0"/>
              <w:rPr>
                <w:sz w:val="20"/>
                <w:szCs w:val="20"/>
                <w:color w:val="auto"/>
              </w:rPr>
            </w:pPr>
            <w:r>
              <w:rPr>
                <w:rFonts w:ascii="Arial" w:cs="Arial" w:eastAsia="Arial" w:hAnsi="Arial"/>
                <w:sz w:val="18"/>
                <w:szCs w:val="18"/>
                <w:color w:val="202020"/>
              </w:rPr>
              <w:t>Compensation Discussion and Analysis</w:t>
            </w:r>
          </w:p>
        </w:tc>
        <w:tc>
          <w:tcPr>
            <w:tcW w:w="340" w:type="dxa"/>
            <w:vAlign w:val="bottom"/>
          </w:tcPr>
          <w:p>
            <w:pPr>
              <w:jc w:val="right"/>
              <w:spacing w:after="0"/>
              <w:rPr>
                <w:sz w:val="20"/>
                <w:szCs w:val="20"/>
                <w:color w:val="auto"/>
              </w:rPr>
            </w:pPr>
            <w:r>
              <w:rPr>
                <w:rFonts w:ascii="Arial" w:cs="Arial" w:eastAsia="Arial" w:hAnsi="Arial"/>
                <w:sz w:val="18"/>
                <w:szCs w:val="18"/>
                <w:color w:val="202020"/>
              </w:rPr>
              <w:t>26</w:t>
            </w:r>
          </w:p>
        </w:tc>
      </w:tr>
      <w:tr>
        <w:trPr>
          <w:trHeight w:val="257"/>
        </w:trPr>
        <w:tc>
          <w:tcPr>
            <w:tcW w:w="4360" w:type="dxa"/>
            <w:vAlign w:val="bottom"/>
          </w:tcPr>
          <w:p>
            <w:pPr>
              <w:ind w:left="160"/>
              <w:spacing w:after="0"/>
              <w:rPr>
                <w:sz w:val="20"/>
                <w:szCs w:val="20"/>
                <w:color w:val="auto"/>
              </w:rPr>
            </w:pPr>
            <w:r>
              <w:rPr>
                <w:rFonts w:ascii="Arial" w:cs="Arial" w:eastAsia="Arial" w:hAnsi="Arial"/>
                <w:sz w:val="18"/>
                <w:szCs w:val="18"/>
                <w:color w:val="202020"/>
              </w:rPr>
              <w:t>Compensation And Organization Development</w:t>
            </w:r>
          </w:p>
        </w:tc>
        <w:tc>
          <w:tcPr>
            <w:tcW w:w="340" w:type="dxa"/>
            <w:vAlign w:val="bottom"/>
          </w:tcPr>
          <w:p>
            <w:pPr>
              <w:spacing w:after="0"/>
              <w:rPr>
                <w:sz w:val="22"/>
                <w:szCs w:val="22"/>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202020"/>
              </w:rPr>
              <w:t>Committee Report</w:t>
            </w:r>
          </w:p>
        </w:tc>
        <w:tc>
          <w:tcPr>
            <w:tcW w:w="340" w:type="dxa"/>
            <w:vAlign w:val="bottom"/>
          </w:tcPr>
          <w:p>
            <w:pPr>
              <w:jc w:val="right"/>
              <w:spacing w:after="0"/>
              <w:rPr>
                <w:sz w:val="20"/>
                <w:szCs w:val="20"/>
                <w:color w:val="auto"/>
              </w:rPr>
            </w:pPr>
            <w:r>
              <w:rPr>
                <w:rFonts w:ascii="Arial" w:cs="Arial" w:eastAsia="Arial" w:hAnsi="Arial"/>
                <w:sz w:val="18"/>
                <w:szCs w:val="18"/>
                <w:color w:val="202020"/>
              </w:rPr>
              <w:t>37</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Summary Compensation Table</w:t>
            </w:r>
          </w:p>
        </w:tc>
        <w:tc>
          <w:tcPr>
            <w:tcW w:w="340" w:type="dxa"/>
            <w:vAlign w:val="bottom"/>
          </w:tcPr>
          <w:p>
            <w:pPr>
              <w:jc w:val="right"/>
              <w:spacing w:after="0"/>
              <w:rPr>
                <w:sz w:val="20"/>
                <w:szCs w:val="20"/>
                <w:color w:val="auto"/>
              </w:rPr>
            </w:pPr>
            <w:r>
              <w:rPr>
                <w:rFonts w:ascii="Arial" w:cs="Arial" w:eastAsia="Arial" w:hAnsi="Arial"/>
                <w:sz w:val="18"/>
                <w:szCs w:val="18"/>
                <w:color w:val="202020"/>
              </w:rPr>
              <w:t>38</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Grants of Plan-Based Awards</w:t>
            </w:r>
          </w:p>
        </w:tc>
        <w:tc>
          <w:tcPr>
            <w:tcW w:w="340" w:type="dxa"/>
            <w:vAlign w:val="bottom"/>
          </w:tcPr>
          <w:p>
            <w:pPr>
              <w:jc w:val="right"/>
              <w:spacing w:after="0"/>
              <w:rPr>
                <w:sz w:val="20"/>
                <w:szCs w:val="20"/>
                <w:color w:val="auto"/>
              </w:rPr>
            </w:pPr>
            <w:r>
              <w:rPr>
                <w:rFonts w:ascii="Arial" w:cs="Arial" w:eastAsia="Arial" w:hAnsi="Arial"/>
                <w:sz w:val="18"/>
                <w:szCs w:val="18"/>
                <w:color w:val="202020"/>
              </w:rPr>
              <w:t>39</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Outstanding Equity Awards at Fiscal Year-End</w:t>
            </w:r>
          </w:p>
        </w:tc>
        <w:tc>
          <w:tcPr>
            <w:tcW w:w="340" w:type="dxa"/>
            <w:vAlign w:val="bottom"/>
          </w:tcPr>
          <w:p>
            <w:pPr>
              <w:jc w:val="right"/>
              <w:spacing w:after="0"/>
              <w:rPr>
                <w:sz w:val="20"/>
                <w:szCs w:val="20"/>
                <w:color w:val="auto"/>
              </w:rPr>
            </w:pPr>
            <w:r>
              <w:rPr>
                <w:rFonts w:ascii="Arial" w:cs="Arial" w:eastAsia="Arial" w:hAnsi="Arial"/>
                <w:sz w:val="18"/>
                <w:szCs w:val="18"/>
                <w:color w:val="202020"/>
              </w:rPr>
              <w:t>39</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Option Exercises and Stock Vested</w:t>
            </w:r>
          </w:p>
        </w:tc>
        <w:tc>
          <w:tcPr>
            <w:tcW w:w="340" w:type="dxa"/>
            <w:vAlign w:val="bottom"/>
          </w:tcPr>
          <w:p>
            <w:pPr>
              <w:jc w:val="right"/>
              <w:spacing w:after="0"/>
              <w:rPr>
                <w:sz w:val="20"/>
                <w:szCs w:val="20"/>
                <w:color w:val="auto"/>
              </w:rPr>
            </w:pPr>
            <w:r>
              <w:rPr>
                <w:rFonts w:ascii="Arial" w:cs="Arial" w:eastAsia="Arial" w:hAnsi="Arial"/>
                <w:sz w:val="18"/>
                <w:szCs w:val="18"/>
                <w:color w:val="202020"/>
              </w:rPr>
              <w:t>41</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Pension Benefits</w:t>
            </w:r>
          </w:p>
        </w:tc>
        <w:tc>
          <w:tcPr>
            <w:tcW w:w="340" w:type="dxa"/>
            <w:vAlign w:val="bottom"/>
          </w:tcPr>
          <w:p>
            <w:pPr>
              <w:jc w:val="right"/>
              <w:spacing w:after="0"/>
              <w:rPr>
                <w:sz w:val="20"/>
                <w:szCs w:val="20"/>
                <w:color w:val="auto"/>
              </w:rPr>
            </w:pPr>
            <w:r>
              <w:rPr>
                <w:rFonts w:ascii="Arial" w:cs="Arial" w:eastAsia="Arial" w:hAnsi="Arial"/>
                <w:sz w:val="18"/>
                <w:szCs w:val="18"/>
                <w:color w:val="202020"/>
              </w:rPr>
              <w:t>41</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Nonqualified Deferred Compensation</w:t>
            </w:r>
          </w:p>
        </w:tc>
        <w:tc>
          <w:tcPr>
            <w:tcW w:w="340" w:type="dxa"/>
            <w:vAlign w:val="bottom"/>
          </w:tcPr>
          <w:p>
            <w:pPr>
              <w:jc w:val="right"/>
              <w:spacing w:after="0"/>
              <w:rPr>
                <w:sz w:val="20"/>
                <w:szCs w:val="20"/>
                <w:color w:val="auto"/>
              </w:rPr>
            </w:pPr>
            <w:r>
              <w:rPr>
                <w:rFonts w:ascii="Arial" w:cs="Arial" w:eastAsia="Arial" w:hAnsi="Arial"/>
                <w:sz w:val="18"/>
                <w:szCs w:val="18"/>
                <w:color w:val="202020"/>
              </w:rPr>
              <w:t>42</w:t>
            </w:r>
          </w:p>
        </w:tc>
      </w:tr>
      <w:tr>
        <w:trPr>
          <w:trHeight w:val="257"/>
        </w:trPr>
        <w:tc>
          <w:tcPr>
            <w:tcW w:w="4360" w:type="dxa"/>
            <w:vAlign w:val="bottom"/>
          </w:tcPr>
          <w:p>
            <w:pPr>
              <w:ind w:left="160"/>
              <w:spacing w:after="0"/>
              <w:rPr>
                <w:sz w:val="20"/>
                <w:szCs w:val="20"/>
                <w:color w:val="auto"/>
              </w:rPr>
            </w:pPr>
            <w:r>
              <w:rPr>
                <w:rFonts w:ascii="Arial" w:cs="Arial" w:eastAsia="Arial" w:hAnsi="Arial"/>
                <w:sz w:val="18"/>
                <w:szCs w:val="18"/>
                <w:color w:val="202020"/>
              </w:rPr>
              <w:t>Potential Payments Upon Termination of</w:t>
            </w:r>
          </w:p>
        </w:tc>
        <w:tc>
          <w:tcPr>
            <w:tcW w:w="340" w:type="dxa"/>
            <w:vAlign w:val="bottom"/>
          </w:tcPr>
          <w:p>
            <w:pPr>
              <w:spacing w:after="0"/>
              <w:rPr>
                <w:sz w:val="22"/>
                <w:szCs w:val="22"/>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202020"/>
              </w:rPr>
              <w:t>Employment or Change in Control</w:t>
            </w:r>
          </w:p>
        </w:tc>
        <w:tc>
          <w:tcPr>
            <w:tcW w:w="340" w:type="dxa"/>
            <w:vAlign w:val="bottom"/>
          </w:tcPr>
          <w:p>
            <w:pPr>
              <w:jc w:val="right"/>
              <w:spacing w:after="0"/>
              <w:rPr>
                <w:sz w:val="20"/>
                <w:szCs w:val="20"/>
                <w:color w:val="auto"/>
              </w:rPr>
            </w:pPr>
            <w:r>
              <w:rPr>
                <w:rFonts w:ascii="Arial" w:cs="Arial" w:eastAsia="Arial" w:hAnsi="Arial"/>
                <w:sz w:val="18"/>
                <w:szCs w:val="18"/>
                <w:color w:val="202020"/>
              </w:rPr>
              <w:t>42</w:t>
            </w:r>
          </w:p>
        </w:tc>
      </w:tr>
      <w:tr>
        <w:trPr>
          <w:trHeight w:val="257"/>
        </w:trPr>
        <w:tc>
          <w:tcPr>
            <w:tcW w:w="4360" w:type="dxa"/>
            <w:vAlign w:val="bottom"/>
          </w:tcPr>
          <w:p>
            <w:pPr>
              <w:ind w:left="160"/>
              <w:spacing w:after="0"/>
              <w:rPr>
                <w:sz w:val="20"/>
                <w:szCs w:val="20"/>
                <w:color w:val="auto"/>
              </w:rPr>
            </w:pPr>
            <w:r>
              <w:rPr>
                <w:rFonts w:ascii="Arial" w:cs="Arial" w:eastAsia="Arial" w:hAnsi="Arial"/>
                <w:sz w:val="18"/>
                <w:szCs w:val="18"/>
                <w:color w:val="202020"/>
              </w:rPr>
              <w:t>Securities Authorized For Issuance Under Equity</w:t>
            </w:r>
          </w:p>
        </w:tc>
        <w:tc>
          <w:tcPr>
            <w:tcW w:w="340" w:type="dxa"/>
            <w:vAlign w:val="bottom"/>
          </w:tcPr>
          <w:p>
            <w:pPr>
              <w:spacing w:after="0"/>
              <w:rPr>
                <w:sz w:val="22"/>
                <w:szCs w:val="22"/>
                <w:color w:val="auto"/>
              </w:rPr>
            </w:pPr>
          </w:p>
        </w:tc>
      </w:tr>
      <w:tr>
        <w:trPr>
          <w:trHeight w:val="236"/>
        </w:trPr>
        <w:tc>
          <w:tcPr>
            <w:tcW w:w="4360" w:type="dxa"/>
            <w:vAlign w:val="bottom"/>
          </w:tcPr>
          <w:p>
            <w:pPr>
              <w:ind w:left="160"/>
              <w:spacing w:after="0"/>
              <w:rPr>
                <w:sz w:val="20"/>
                <w:szCs w:val="20"/>
                <w:color w:val="auto"/>
              </w:rPr>
            </w:pPr>
            <w:r>
              <w:rPr>
                <w:rFonts w:ascii="Arial" w:cs="Arial" w:eastAsia="Arial" w:hAnsi="Arial"/>
                <w:sz w:val="18"/>
                <w:szCs w:val="18"/>
                <w:color w:val="202020"/>
              </w:rPr>
              <w:t>Compensation Plans</w:t>
            </w:r>
          </w:p>
        </w:tc>
        <w:tc>
          <w:tcPr>
            <w:tcW w:w="340" w:type="dxa"/>
            <w:vAlign w:val="bottom"/>
          </w:tcPr>
          <w:p>
            <w:pPr>
              <w:jc w:val="right"/>
              <w:spacing w:after="0"/>
              <w:rPr>
                <w:sz w:val="20"/>
                <w:szCs w:val="20"/>
                <w:color w:val="auto"/>
              </w:rPr>
            </w:pPr>
            <w:r>
              <w:rPr>
                <w:rFonts w:ascii="Arial" w:cs="Arial" w:eastAsia="Arial" w:hAnsi="Arial"/>
                <w:sz w:val="18"/>
                <w:szCs w:val="18"/>
                <w:color w:val="202020"/>
              </w:rPr>
              <w:t>43</w:t>
            </w:r>
          </w:p>
        </w:tc>
      </w:tr>
      <w:tr>
        <w:trPr>
          <w:trHeight w:val="273"/>
        </w:trPr>
        <w:tc>
          <w:tcPr>
            <w:tcW w:w="4360" w:type="dxa"/>
            <w:vAlign w:val="bottom"/>
          </w:tcPr>
          <w:p>
            <w:pPr>
              <w:ind w:left="160"/>
              <w:spacing w:after="0"/>
              <w:rPr>
                <w:sz w:val="20"/>
                <w:szCs w:val="20"/>
                <w:color w:val="auto"/>
              </w:rPr>
            </w:pPr>
            <w:r>
              <w:rPr>
                <w:rFonts w:ascii="Arial" w:cs="Arial" w:eastAsia="Arial" w:hAnsi="Arial"/>
                <w:sz w:val="18"/>
                <w:szCs w:val="18"/>
                <w:color w:val="202020"/>
              </w:rPr>
              <w:t>CEO Pay Ratio</w:t>
            </w:r>
          </w:p>
        </w:tc>
        <w:tc>
          <w:tcPr>
            <w:tcW w:w="340" w:type="dxa"/>
            <w:vAlign w:val="bottom"/>
          </w:tcPr>
          <w:p>
            <w:pPr>
              <w:jc w:val="right"/>
              <w:spacing w:after="0"/>
              <w:rPr>
                <w:sz w:val="20"/>
                <w:szCs w:val="20"/>
                <w:color w:val="auto"/>
              </w:rPr>
            </w:pPr>
            <w:r>
              <w:rPr>
                <w:rFonts w:ascii="Arial" w:cs="Arial" w:eastAsia="Arial" w:hAnsi="Arial"/>
                <w:sz w:val="18"/>
                <w:szCs w:val="18"/>
                <w:color w:val="202020"/>
              </w:rPr>
              <w:t>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-7454900</wp:posOffset>
                </wp:positionV>
                <wp:extent cx="298386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865"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87pt" to="235pt,-587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-7179945</wp:posOffset>
                </wp:positionV>
                <wp:extent cx="298386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865"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65.3499pt" to="235pt,-565.3499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-6557645</wp:posOffset>
                </wp:positionV>
                <wp:extent cx="298386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865"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16.3499pt" to="235pt,-516.3499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-3089275</wp:posOffset>
                </wp:positionV>
                <wp:extent cx="298386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865"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43.2499pt" to="235pt,-243.2499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-2814320</wp:posOffset>
                </wp:positionV>
                <wp:extent cx="298386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865"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21.5999pt" to="235pt,-221.5999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-2539365</wp:posOffset>
                </wp:positionV>
                <wp:extent cx="298386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865"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99.9499pt" to="235pt,-199.9499pt" o:allowincell="f" strokecolor="#FFFFFF" strokeweight="6.98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6"/>
        </w:trPr>
        <w:tc>
          <w:tcPr>
            <w:tcW w:w="4160" w:type="dxa"/>
            <w:vAlign w:val="bottom"/>
          </w:tcPr>
          <w:p>
            <w:pPr>
              <w:spacing w:after="0"/>
              <w:rPr>
                <w:sz w:val="20"/>
                <w:szCs w:val="20"/>
                <w:color w:val="auto"/>
              </w:rPr>
            </w:pPr>
            <w:r>
              <w:rPr>
                <w:rFonts w:ascii="Arial" w:cs="Arial" w:eastAsia="Arial" w:hAnsi="Arial"/>
                <w:sz w:val="18"/>
                <w:szCs w:val="18"/>
                <w:color w:val="202020"/>
              </w:rPr>
              <w:t>Pay Versus Performance Table</w:t>
            </w:r>
          </w:p>
        </w:tc>
        <w:tc>
          <w:tcPr>
            <w:tcW w:w="320" w:type="dxa"/>
            <w:vAlign w:val="bottom"/>
          </w:tcPr>
          <w:p>
            <w:pPr>
              <w:jc w:val="right"/>
              <w:spacing w:after="0"/>
              <w:rPr>
                <w:sz w:val="20"/>
                <w:szCs w:val="20"/>
                <w:color w:val="auto"/>
              </w:rPr>
            </w:pPr>
            <w:r>
              <w:rPr>
                <w:rFonts w:ascii="Arial" w:cs="Arial" w:eastAsia="Arial" w:hAnsi="Arial"/>
                <w:sz w:val="18"/>
                <w:szCs w:val="18"/>
                <w:color w:val="202020"/>
              </w:rPr>
              <w:t>44</w:t>
            </w:r>
          </w:p>
        </w:tc>
      </w:tr>
      <w:tr>
        <w:trPr>
          <w:trHeight w:val="273"/>
        </w:trPr>
        <w:tc>
          <w:tcPr>
            <w:tcW w:w="4160" w:type="dxa"/>
            <w:vAlign w:val="bottom"/>
          </w:tcPr>
          <w:p>
            <w:pPr>
              <w:spacing w:after="0"/>
              <w:rPr>
                <w:sz w:val="20"/>
                <w:szCs w:val="20"/>
                <w:color w:val="auto"/>
              </w:rPr>
            </w:pPr>
            <w:r>
              <w:rPr>
                <w:rFonts w:ascii="Arial" w:cs="Arial" w:eastAsia="Arial" w:hAnsi="Arial"/>
                <w:sz w:val="18"/>
                <w:szCs w:val="18"/>
                <w:color w:val="202020"/>
              </w:rPr>
              <w:t>Director Compensation</w:t>
            </w:r>
          </w:p>
        </w:tc>
        <w:tc>
          <w:tcPr>
            <w:tcW w:w="320" w:type="dxa"/>
            <w:vAlign w:val="bottom"/>
          </w:tcPr>
          <w:p>
            <w:pPr>
              <w:jc w:val="right"/>
              <w:spacing w:after="0"/>
              <w:rPr>
                <w:sz w:val="20"/>
                <w:szCs w:val="20"/>
                <w:color w:val="auto"/>
              </w:rPr>
            </w:pPr>
            <w:r>
              <w:rPr>
                <w:rFonts w:ascii="Arial" w:cs="Arial" w:eastAsia="Arial" w:hAnsi="Arial"/>
                <w:sz w:val="18"/>
                <w:szCs w:val="18"/>
                <w:color w:val="202020"/>
              </w:rPr>
              <w:t>47</w:t>
            </w: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202020"/>
              </w:rPr>
              <w:t>Compensation and Organization Development</w:t>
            </w:r>
          </w:p>
        </w:tc>
        <w:tc>
          <w:tcPr>
            <w:tcW w:w="320" w:type="dxa"/>
            <w:vAlign w:val="bottom"/>
          </w:tcPr>
          <w:p>
            <w:pPr>
              <w:spacing w:after="0"/>
              <w:rPr>
                <w:sz w:val="22"/>
                <w:szCs w:val="22"/>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202020"/>
              </w:rPr>
              <w:t>Committee Interlocks and Insider Participation</w:t>
            </w:r>
          </w:p>
        </w:tc>
        <w:tc>
          <w:tcPr>
            <w:tcW w:w="320" w:type="dxa"/>
            <w:vAlign w:val="bottom"/>
          </w:tcPr>
          <w:p>
            <w:pPr>
              <w:jc w:val="right"/>
              <w:spacing w:after="0"/>
              <w:rPr>
                <w:sz w:val="20"/>
                <w:szCs w:val="20"/>
                <w:color w:val="auto"/>
              </w:rPr>
            </w:pPr>
            <w:r>
              <w:rPr>
                <w:rFonts w:ascii="Arial" w:cs="Arial" w:eastAsia="Arial" w:hAnsi="Arial"/>
                <w:sz w:val="18"/>
                <w:szCs w:val="18"/>
                <w:color w:val="202020"/>
              </w:rPr>
              <w:t>48</w:t>
            </w:r>
          </w:p>
        </w:tc>
      </w:tr>
      <w:tr>
        <w:trPr>
          <w:trHeight w:val="273"/>
        </w:trPr>
        <w:tc>
          <w:tcPr>
            <w:tcW w:w="4160" w:type="dxa"/>
            <w:vAlign w:val="bottom"/>
          </w:tcPr>
          <w:p>
            <w:pPr>
              <w:spacing w:after="0"/>
              <w:rPr>
                <w:sz w:val="20"/>
                <w:szCs w:val="20"/>
                <w:color w:val="auto"/>
              </w:rPr>
            </w:pPr>
            <w:r>
              <w:rPr>
                <w:rFonts w:ascii="Arial" w:cs="Arial" w:eastAsia="Arial" w:hAnsi="Arial"/>
                <w:sz w:val="18"/>
                <w:szCs w:val="18"/>
                <w:color w:val="202020"/>
              </w:rPr>
              <w:t>Risk Considerations</w:t>
            </w:r>
          </w:p>
        </w:tc>
        <w:tc>
          <w:tcPr>
            <w:tcW w:w="320" w:type="dxa"/>
            <w:vAlign w:val="bottom"/>
          </w:tcPr>
          <w:p>
            <w:pPr>
              <w:jc w:val="right"/>
              <w:spacing w:after="0"/>
              <w:rPr>
                <w:sz w:val="20"/>
                <w:szCs w:val="20"/>
                <w:color w:val="auto"/>
              </w:rPr>
            </w:pPr>
            <w:r>
              <w:rPr>
                <w:rFonts w:ascii="Arial" w:cs="Arial" w:eastAsia="Arial" w:hAnsi="Arial"/>
                <w:sz w:val="18"/>
                <w:szCs w:val="18"/>
                <w:color w:val="202020"/>
              </w:rPr>
              <w:t>48</w:t>
            </w: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202020"/>
              </w:rPr>
              <w:t>Stock Ownership Policy — Non-Employee</w:t>
            </w:r>
          </w:p>
        </w:tc>
        <w:tc>
          <w:tcPr>
            <w:tcW w:w="320" w:type="dxa"/>
            <w:vAlign w:val="bottom"/>
          </w:tcPr>
          <w:p>
            <w:pPr>
              <w:spacing w:after="0"/>
              <w:rPr>
                <w:sz w:val="22"/>
                <w:szCs w:val="22"/>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202020"/>
              </w:rPr>
              <w:t>Directors</w:t>
            </w:r>
          </w:p>
        </w:tc>
        <w:tc>
          <w:tcPr>
            <w:tcW w:w="320" w:type="dxa"/>
            <w:vAlign w:val="bottom"/>
          </w:tcPr>
          <w:p>
            <w:pPr>
              <w:jc w:val="right"/>
              <w:spacing w:after="0"/>
              <w:rPr>
                <w:sz w:val="20"/>
                <w:szCs w:val="20"/>
                <w:color w:val="auto"/>
              </w:rPr>
            </w:pPr>
            <w:r>
              <w:rPr>
                <w:rFonts w:ascii="Arial" w:cs="Arial" w:eastAsia="Arial" w:hAnsi="Arial"/>
                <w:sz w:val="18"/>
                <w:szCs w:val="18"/>
                <w:color w:val="202020"/>
              </w:rPr>
              <w:t>48</w:t>
            </w:r>
          </w:p>
        </w:tc>
      </w:tr>
      <w:tr>
        <w:trPr>
          <w:trHeight w:val="273"/>
        </w:trPr>
        <w:tc>
          <w:tcPr>
            <w:tcW w:w="4160" w:type="dxa"/>
            <w:vAlign w:val="bottom"/>
          </w:tcPr>
          <w:p>
            <w:pPr>
              <w:spacing w:after="0"/>
              <w:rPr>
                <w:sz w:val="20"/>
                <w:szCs w:val="20"/>
                <w:color w:val="auto"/>
              </w:rPr>
            </w:pPr>
            <w:r>
              <w:rPr>
                <w:rFonts w:ascii="Arial" w:cs="Arial" w:eastAsia="Arial" w:hAnsi="Arial"/>
                <w:sz w:val="18"/>
                <w:szCs w:val="18"/>
                <w:color w:val="202020"/>
              </w:rPr>
              <w:t>Report of The Audit Committee</w:t>
            </w:r>
          </w:p>
        </w:tc>
        <w:tc>
          <w:tcPr>
            <w:tcW w:w="320" w:type="dxa"/>
            <w:vAlign w:val="bottom"/>
          </w:tcPr>
          <w:p>
            <w:pPr>
              <w:jc w:val="right"/>
              <w:spacing w:after="0"/>
              <w:rPr>
                <w:sz w:val="20"/>
                <w:szCs w:val="20"/>
                <w:color w:val="auto"/>
              </w:rPr>
            </w:pPr>
            <w:r>
              <w:rPr>
                <w:rFonts w:ascii="Arial" w:cs="Arial" w:eastAsia="Arial" w:hAnsi="Arial"/>
                <w:sz w:val="18"/>
                <w:szCs w:val="18"/>
                <w:color w:val="202020"/>
              </w:rPr>
              <w:t>49</w:t>
            </w:r>
          </w:p>
        </w:tc>
      </w:tr>
      <w:tr>
        <w:trPr>
          <w:trHeight w:val="257"/>
        </w:trPr>
        <w:tc>
          <w:tcPr>
            <w:tcW w:w="4160" w:type="dxa"/>
            <w:vAlign w:val="bottom"/>
          </w:tcPr>
          <w:p>
            <w:pPr>
              <w:spacing w:after="0"/>
              <w:rPr>
                <w:sz w:val="20"/>
                <w:szCs w:val="20"/>
                <w:color w:val="auto"/>
              </w:rPr>
            </w:pPr>
            <w:r>
              <w:rPr>
                <w:rFonts w:ascii="Arial" w:cs="Arial" w:eastAsia="Arial" w:hAnsi="Arial"/>
                <w:sz w:val="18"/>
                <w:szCs w:val="18"/>
                <w:color w:val="202020"/>
              </w:rPr>
              <w:t>Security Ownership of Certain Beneficial Owners</w:t>
            </w:r>
          </w:p>
        </w:tc>
        <w:tc>
          <w:tcPr>
            <w:tcW w:w="320" w:type="dxa"/>
            <w:vAlign w:val="bottom"/>
          </w:tcPr>
          <w:p>
            <w:pPr>
              <w:spacing w:after="0"/>
              <w:rPr>
                <w:sz w:val="22"/>
                <w:szCs w:val="22"/>
                <w:color w:val="auto"/>
              </w:rPr>
            </w:pPr>
          </w:p>
        </w:tc>
      </w:tr>
      <w:tr>
        <w:trPr>
          <w:trHeight w:val="236"/>
        </w:trPr>
        <w:tc>
          <w:tcPr>
            <w:tcW w:w="4160" w:type="dxa"/>
            <w:vAlign w:val="bottom"/>
          </w:tcPr>
          <w:p>
            <w:pPr>
              <w:spacing w:after="0"/>
              <w:rPr>
                <w:sz w:val="20"/>
                <w:szCs w:val="20"/>
                <w:color w:val="auto"/>
              </w:rPr>
            </w:pPr>
            <w:r>
              <w:rPr>
                <w:rFonts w:ascii="Arial" w:cs="Arial" w:eastAsia="Arial" w:hAnsi="Arial"/>
                <w:sz w:val="18"/>
                <w:szCs w:val="18"/>
                <w:color w:val="202020"/>
              </w:rPr>
              <w:t>and Management</w:t>
            </w:r>
          </w:p>
        </w:tc>
        <w:tc>
          <w:tcPr>
            <w:tcW w:w="320" w:type="dxa"/>
            <w:vAlign w:val="bottom"/>
          </w:tcPr>
          <w:p>
            <w:pPr>
              <w:jc w:val="right"/>
              <w:spacing w:after="0"/>
              <w:rPr>
                <w:sz w:val="20"/>
                <w:szCs w:val="20"/>
                <w:color w:val="auto"/>
              </w:rPr>
            </w:pPr>
            <w:r>
              <w:rPr>
                <w:rFonts w:ascii="Arial" w:cs="Arial" w:eastAsia="Arial" w:hAnsi="Arial"/>
                <w:sz w:val="18"/>
                <w:szCs w:val="18"/>
                <w:color w:val="202020"/>
              </w:rPr>
              <w:t>50</w:t>
            </w:r>
          </w:p>
        </w:tc>
      </w:tr>
      <w:tr>
        <w:trPr>
          <w:trHeight w:val="273"/>
        </w:trPr>
        <w:tc>
          <w:tcPr>
            <w:tcW w:w="4160" w:type="dxa"/>
            <w:vAlign w:val="bottom"/>
          </w:tcPr>
          <w:p>
            <w:pPr>
              <w:spacing w:after="0"/>
              <w:rPr>
                <w:sz w:val="20"/>
                <w:szCs w:val="20"/>
                <w:color w:val="auto"/>
              </w:rPr>
            </w:pPr>
            <w:r>
              <w:rPr>
                <w:rFonts w:ascii="Arial" w:cs="Arial" w:eastAsia="Arial" w:hAnsi="Arial"/>
                <w:sz w:val="18"/>
                <w:szCs w:val="18"/>
                <w:color w:val="202020"/>
              </w:rPr>
              <w:t>Transactions with Related Persons</w:t>
            </w:r>
          </w:p>
        </w:tc>
        <w:tc>
          <w:tcPr>
            <w:tcW w:w="320" w:type="dxa"/>
            <w:vAlign w:val="bottom"/>
          </w:tcPr>
          <w:p>
            <w:pPr>
              <w:jc w:val="right"/>
              <w:spacing w:after="0"/>
              <w:rPr>
                <w:sz w:val="20"/>
                <w:szCs w:val="20"/>
                <w:color w:val="auto"/>
              </w:rPr>
            </w:pPr>
            <w:r>
              <w:rPr>
                <w:rFonts w:ascii="Arial" w:cs="Arial" w:eastAsia="Arial" w:hAnsi="Arial"/>
                <w:sz w:val="18"/>
                <w:szCs w:val="18"/>
                <w:color w:val="202020"/>
              </w:rPr>
              <w:t>52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62230</wp:posOffset>
                </wp:positionV>
                <wp:extent cx="298323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230"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pt" to="234.9pt,4.9pt" o:allowincell="f" strokecolor="#FFFFFF" strokeweight="6.985pt"/>
            </w:pict>
          </mc:Fallback>
        </mc:AlternateConten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Proposal 2: Ratification of Independent</w:t>
            </w:r>
          </w:p>
        </w:tc>
        <w:tc>
          <w:tcPr>
            <w:tcW w:w="420" w:type="dxa"/>
            <w:vAlign w:val="bottom"/>
            <w:shd w:val="clear" w:color="auto" w:fill="8F8F8F"/>
          </w:tcPr>
          <w:p>
            <w:pPr>
              <w:spacing w:after="0"/>
              <w:rPr>
                <w:sz w:val="24"/>
                <w:szCs w:val="24"/>
                <w:color w:val="auto"/>
              </w:rPr>
            </w:pPr>
          </w:p>
        </w:tc>
      </w:tr>
      <w:tr>
        <w:trPr>
          <w:trHeight w:val="301"/>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Public Accounting Firm</w:t>
            </w:r>
          </w:p>
        </w:tc>
        <w:tc>
          <w:tcPr>
            <w:tcW w:w="42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53</w:t>
            </w:r>
          </w:p>
        </w:tc>
      </w:tr>
      <w:tr>
        <w:trPr>
          <w:trHeight w:val="245"/>
        </w:trPr>
        <w:tc>
          <w:tcPr>
            <w:tcW w:w="4280" w:type="dxa"/>
            <w:vAlign w:val="bottom"/>
          </w:tcPr>
          <w:p>
            <w:pPr>
              <w:ind w:left="160"/>
              <w:spacing w:after="0"/>
              <w:rPr>
                <w:sz w:val="20"/>
                <w:szCs w:val="20"/>
                <w:color w:val="auto"/>
              </w:rPr>
            </w:pPr>
            <w:r>
              <w:rPr>
                <w:rFonts w:ascii="Arial" w:cs="Arial" w:eastAsia="Arial" w:hAnsi="Arial"/>
                <w:sz w:val="18"/>
                <w:szCs w:val="18"/>
                <w:color w:val="202020"/>
              </w:rPr>
              <w:t>Principal Accountant Fees and Services</w:t>
            </w:r>
          </w:p>
        </w:tc>
        <w:tc>
          <w:tcPr>
            <w:tcW w:w="420" w:type="dxa"/>
            <w:vAlign w:val="bottom"/>
          </w:tcPr>
          <w:p>
            <w:pPr>
              <w:jc w:val="right"/>
              <w:spacing w:after="0"/>
              <w:rPr>
                <w:sz w:val="20"/>
                <w:szCs w:val="20"/>
                <w:color w:val="auto"/>
              </w:rPr>
            </w:pPr>
            <w:r>
              <w:rPr>
                <w:rFonts w:ascii="Arial" w:cs="Arial" w:eastAsia="Arial" w:hAnsi="Arial"/>
                <w:sz w:val="18"/>
                <w:szCs w:val="18"/>
                <w:color w:val="202020"/>
              </w:rPr>
              <w:t>53</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Audit Fees</w:t>
            </w:r>
          </w:p>
        </w:tc>
        <w:tc>
          <w:tcPr>
            <w:tcW w:w="420" w:type="dxa"/>
            <w:vAlign w:val="bottom"/>
          </w:tcPr>
          <w:p>
            <w:pPr>
              <w:jc w:val="right"/>
              <w:spacing w:after="0"/>
              <w:rPr>
                <w:sz w:val="20"/>
                <w:szCs w:val="20"/>
                <w:color w:val="auto"/>
              </w:rPr>
            </w:pPr>
            <w:r>
              <w:rPr>
                <w:rFonts w:ascii="Arial" w:cs="Arial" w:eastAsia="Arial" w:hAnsi="Arial"/>
                <w:sz w:val="18"/>
                <w:szCs w:val="18"/>
                <w:color w:val="202020"/>
              </w:rPr>
              <w:t>53</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All Other Fees</w:t>
            </w:r>
          </w:p>
        </w:tc>
        <w:tc>
          <w:tcPr>
            <w:tcW w:w="420" w:type="dxa"/>
            <w:vAlign w:val="bottom"/>
          </w:tcPr>
          <w:p>
            <w:pPr>
              <w:jc w:val="right"/>
              <w:spacing w:after="0"/>
              <w:rPr>
                <w:sz w:val="20"/>
                <w:szCs w:val="20"/>
                <w:color w:val="auto"/>
              </w:rPr>
            </w:pPr>
            <w:r>
              <w:rPr>
                <w:rFonts w:ascii="Arial" w:cs="Arial" w:eastAsia="Arial" w:hAnsi="Arial"/>
                <w:sz w:val="18"/>
                <w:szCs w:val="18"/>
                <w:color w:val="202020"/>
              </w:rPr>
              <w:t>53</w:t>
            </w:r>
          </w:p>
        </w:tc>
      </w:tr>
      <w:tr>
        <w:trPr>
          <w:trHeight w:val="99"/>
        </w:trPr>
        <w:tc>
          <w:tcPr>
            <w:tcW w:w="42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332"/>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Proposal 3: Approval of an Amendment</w:t>
            </w:r>
          </w:p>
        </w:tc>
        <w:tc>
          <w:tcPr>
            <w:tcW w:w="420" w:type="dxa"/>
            <w:vAlign w:val="bottom"/>
            <w:shd w:val="clear" w:color="auto" w:fill="8F8F8F"/>
          </w:tcPr>
          <w:p>
            <w:pPr>
              <w:spacing w:after="0"/>
              <w:rPr>
                <w:sz w:val="24"/>
                <w:szCs w:val="24"/>
                <w:color w:val="auto"/>
              </w:rPr>
            </w:pPr>
          </w:p>
        </w:tc>
      </w:tr>
      <w:tr>
        <w:trPr>
          <w:trHeight w:val="269"/>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to the 2021 Omnibus Equity Incentive</w:t>
            </w:r>
          </w:p>
        </w:tc>
        <w:tc>
          <w:tcPr>
            <w:tcW w:w="420" w:type="dxa"/>
            <w:vAlign w:val="bottom"/>
            <w:shd w:val="clear" w:color="auto" w:fill="8F8F8F"/>
          </w:tcPr>
          <w:p>
            <w:pPr>
              <w:spacing w:after="0"/>
              <w:rPr>
                <w:sz w:val="23"/>
                <w:szCs w:val="23"/>
                <w:color w:val="auto"/>
              </w:rPr>
            </w:pPr>
          </w:p>
        </w:tc>
      </w:tr>
      <w:tr>
        <w:trPr>
          <w:trHeight w:val="301"/>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Plan</w:t>
            </w:r>
          </w:p>
        </w:tc>
        <w:tc>
          <w:tcPr>
            <w:tcW w:w="42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55</w:t>
            </w:r>
          </w:p>
        </w:tc>
      </w:tr>
      <w:tr>
        <w:trPr>
          <w:trHeight w:val="245"/>
        </w:trPr>
        <w:tc>
          <w:tcPr>
            <w:tcW w:w="4280" w:type="dxa"/>
            <w:vAlign w:val="bottom"/>
          </w:tcPr>
          <w:p>
            <w:pPr>
              <w:ind w:left="160"/>
              <w:spacing w:after="0"/>
              <w:rPr>
                <w:sz w:val="20"/>
                <w:szCs w:val="20"/>
                <w:color w:val="auto"/>
              </w:rPr>
            </w:pPr>
            <w:r>
              <w:rPr>
                <w:rFonts w:ascii="Arial" w:cs="Arial" w:eastAsia="Arial" w:hAnsi="Arial"/>
                <w:sz w:val="18"/>
                <w:szCs w:val="18"/>
                <w:color w:val="202020"/>
              </w:rPr>
              <w:t>General</w:t>
            </w:r>
          </w:p>
        </w:tc>
        <w:tc>
          <w:tcPr>
            <w:tcW w:w="420" w:type="dxa"/>
            <w:vAlign w:val="bottom"/>
          </w:tcPr>
          <w:p>
            <w:pPr>
              <w:jc w:val="right"/>
              <w:spacing w:after="0"/>
              <w:rPr>
                <w:sz w:val="20"/>
                <w:szCs w:val="20"/>
                <w:color w:val="auto"/>
              </w:rPr>
            </w:pPr>
            <w:r>
              <w:rPr>
                <w:rFonts w:ascii="Arial" w:cs="Arial" w:eastAsia="Arial" w:hAnsi="Arial"/>
                <w:sz w:val="18"/>
                <w:szCs w:val="18"/>
                <w:color w:val="202020"/>
              </w:rPr>
              <w:t>55</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Description of the 2021 Incentive Plan</w:t>
            </w:r>
          </w:p>
        </w:tc>
        <w:tc>
          <w:tcPr>
            <w:tcW w:w="420" w:type="dxa"/>
            <w:vAlign w:val="bottom"/>
          </w:tcPr>
          <w:p>
            <w:pPr>
              <w:jc w:val="right"/>
              <w:spacing w:after="0"/>
              <w:rPr>
                <w:sz w:val="20"/>
                <w:szCs w:val="20"/>
                <w:color w:val="auto"/>
              </w:rPr>
            </w:pPr>
            <w:r>
              <w:rPr>
                <w:rFonts w:ascii="Arial" w:cs="Arial" w:eastAsia="Arial" w:hAnsi="Arial"/>
                <w:sz w:val="18"/>
                <w:szCs w:val="18"/>
                <w:color w:val="202020"/>
              </w:rPr>
              <w:t>56</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Other Information</w:t>
            </w:r>
          </w:p>
        </w:tc>
        <w:tc>
          <w:tcPr>
            <w:tcW w:w="420" w:type="dxa"/>
            <w:vAlign w:val="bottom"/>
          </w:tcPr>
          <w:p>
            <w:pPr>
              <w:jc w:val="right"/>
              <w:spacing w:after="0"/>
              <w:rPr>
                <w:sz w:val="20"/>
                <w:szCs w:val="20"/>
                <w:color w:val="auto"/>
              </w:rPr>
            </w:pPr>
            <w:r>
              <w:rPr>
                <w:rFonts w:ascii="Arial" w:cs="Arial" w:eastAsia="Arial" w:hAnsi="Arial"/>
                <w:sz w:val="18"/>
                <w:szCs w:val="18"/>
                <w:color w:val="202020"/>
              </w:rPr>
              <w:t>58</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Material Federal Income Tax Consequences</w:t>
            </w:r>
          </w:p>
        </w:tc>
        <w:tc>
          <w:tcPr>
            <w:tcW w:w="420" w:type="dxa"/>
            <w:vAlign w:val="bottom"/>
          </w:tcPr>
          <w:p>
            <w:pPr>
              <w:jc w:val="right"/>
              <w:spacing w:after="0"/>
              <w:rPr>
                <w:sz w:val="20"/>
                <w:szCs w:val="20"/>
                <w:color w:val="auto"/>
              </w:rPr>
            </w:pPr>
            <w:r>
              <w:rPr>
                <w:rFonts w:ascii="Arial" w:cs="Arial" w:eastAsia="Arial" w:hAnsi="Arial"/>
                <w:sz w:val="18"/>
                <w:szCs w:val="18"/>
                <w:color w:val="202020"/>
              </w:rPr>
              <w:t>58</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Treatment of Options</w:t>
            </w:r>
          </w:p>
        </w:tc>
        <w:tc>
          <w:tcPr>
            <w:tcW w:w="420" w:type="dxa"/>
            <w:vAlign w:val="bottom"/>
          </w:tcPr>
          <w:p>
            <w:pPr>
              <w:jc w:val="right"/>
              <w:spacing w:after="0"/>
              <w:rPr>
                <w:sz w:val="20"/>
                <w:szCs w:val="20"/>
                <w:color w:val="auto"/>
              </w:rPr>
            </w:pPr>
            <w:r>
              <w:rPr>
                <w:rFonts w:ascii="Arial" w:cs="Arial" w:eastAsia="Arial" w:hAnsi="Arial"/>
                <w:sz w:val="18"/>
                <w:szCs w:val="18"/>
                <w:color w:val="202020"/>
              </w:rPr>
              <w:t>58</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Treatment of Stock Appreciation Rights</w:t>
            </w:r>
          </w:p>
        </w:tc>
        <w:tc>
          <w:tcPr>
            <w:tcW w:w="420" w:type="dxa"/>
            <w:vAlign w:val="bottom"/>
          </w:tcPr>
          <w:p>
            <w:pPr>
              <w:jc w:val="right"/>
              <w:spacing w:after="0"/>
              <w:rPr>
                <w:sz w:val="20"/>
                <w:szCs w:val="20"/>
                <w:color w:val="auto"/>
              </w:rPr>
            </w:pPr>
            <w:r>
              <w:rPr>
                <w:rFonts w:ascii="Arial" w:cs="Arial" w:eastAsia="Arial" w:hAnsi="Arial"/>
                <w:sz w:val="18"/>
                <w:szCs w:val="18"/>
                <w:color w:val="202020"/>
              </w:rPr>
              <w:t>59</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Treatment of Stock Awards</w:t>
            </w:r>
          </w:p>
        </w:tc>
        <w:tc>
          <w:tcPr>
            <w:tcW w:w="420" w:type="dxa"/>
            <w:vAlign w:val="bottom"/>
          </w:tcPr>
          <w:p>
            <w:pPr>
              <w:jc w:val="right"/>
              <w:spacing w:after="0"/>
              <w:rPr>
                <w:sz w:val="20"/>
                <w:szCs w:val="20"/>
                <w:color w:val="auto"/>
              </w:rPr>
            </w:pPr>
            <w:r>
              <w:rPr>
                <w:rFonts w:ascii="Arial" w:cs="Arial" w:eastAsia="Arial" w:hAnsi="Arial"/>
                <w:sz w:val="18"/>
                <w:szCs w:val="18"/>
                <w:color w:val="202020"/>
              </w:rPr>
              <w:t>59</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Section 409A</w:t>
            </w:r>
          </w:p>
        </w:tc>
        <w:tc>
          <w:tcPr>
            <w:tcW w:w="420" w:type="dxa"/>
            <w:vAlign w:val="bottom"/>
          </w:tcPr>
          <w:p>
            <w:pPr>
              <w:jc w:val="right"/>
              <w:spacing w:after="0"/>
              <w:rPr>
                <w:sz w:val="20"/>
                <w:szCs w:val="20"/>
                <w:color w:val="auto"/>
              </w:rPr>
            </w:pPr>
            <w:r>
              <w:rPr>
                <w:rFonts w:ascii="Arial" w:cs="Arial" w:eastAsia="Arial" w:hAnsi="Arial"/>
                <w:sz w:val="18"/>
                <w:szCs w:val="18"/>
                <w:color w:val="202020"/>
              </w:rPr>
              <w:t>60</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Potential Limitation on Company Deductions</w:t>
            </w:r>
          </w:p>
        </w:tc>
        <w:tc>
          <w:tcPr>
            <w:tcW w:w="420" w:type="dxa"/>
            <w:vAlign w:val="bottom"/>
          </w:tcPr>
          <w:p>
            <w:pPr>
              <w:jc w:val="right"/>
              <w:spacing w:after="0"/>
              <w:rPr>
                <w:sz w:val="20"/>
                <w:szCs w:val="20"/>
                <w:color w:val="auto"/>
              </w:rPr>
            </w:pPr>
            <w:r>
              <w:rPr>
                <w:rFonts w:ascii="Arial" w:cs="Arial" w:eastAsia="Arial" w:hAnsi="Arial"/>
                <w:sz w:val="18"/>
                <w:szCs w:val="18"/>
                <w:color w:val="202020"/>
              </w:rPr>
              <w:t>60</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Restrictions on Resale</w:t>
            </w:r>
          </w:p>
        </w:tc>
        <w:tc>
          <w:tcPr>
            <w:tcW w:w="420" w:type="dxa"/>
            <w:vAlign w:val="bottom"/>
          </w:tcPr>
          <w:p>
            <w:pPr>
              <w:jc w:val="right"/>
              <w:spacing w:after="0"/>
              <w:rPr>
                <w:sz w:val="20"/>
                <w:szCs w:val="20"/>
                <w:color w:val="auto"/>
              </w:rPr>
            </w:pPr>
            <w:r>
              <w:rPr>
                <w:rFonts w:ascii="Arial" w:cs="Arial" w:eastAsia="Arial" w:hAnsi="Arial"/>
                <w:sz w:val="18"/>
                <w:szCs w:val="18"/>
                <w:color w:val="202020"/>
              </w:rPr>
              <w:t>60</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Tax Withholding</w:t>
            </w:r>
          </w:p>
        </w:tc>
        <w:tc>
          <w:tcPr>
            <w:tcW w:w="420" w:type="dxa"/>
            <w:vAlign w:val="bottom"/>
          </w:tcPr>
          <w:p>
            <w:pPr>
              <w:jc w:val="right"/>
              <w:spacing w:after="0"/>
              <w:rPr>
                <w:sz w:val="20"/>
                <w:szCs w:val="20"/>
                <w:color w:val="auto"/>
              </w:rPr>
            </w:pPr>
            <w:r>
              <w:rPr>
                <w:rFonts w:ascii="Arial" w:cs="Arial" w:eastAsia="Arial" w:hAnsi="Arial"/>
                <w:sz w:val="18"/>
                <w:szCs w:val="18"/>
                <w:color w:val="202020"/>
              </w:rPr>
              <w:t>60</w:t>
            </w:r>
          </w:p>
        </w:tc>
      </w:tr>
      <w:tr>
        <w:trPr>
          <w:trHeight w:val="273"/>
        </w:trPr>
        <w:tc>
          <w:tcPr>
            <w:tcW w:w="4280" w:type="dxa"/>
            <w:vAlign w:val="bottom"/>
          </w:tcPr>
          <w:p>
            <w:pPr>
              <w:ind w:left="160"/>
              <w:spacing w:after="0"/>
              <w:rPr>
                <w:sz w:val="20"/>
                <w:szCs w:val="20"/>
                <w:color w:val="auto"/>
              </w:rPr>
            </w:pPr>
            <w:r>
              <w:rPr>
                <w:rFonts w:ascii="Arial" w:cs="Arial" w:eastAsia="Arial" w:hAnsi="Arial"/>
                <w:sz w:val="18"/>
                <w:szCs w:val="18"/>
                <w:color w:val="202020"/>
              </w:rPr>
              <w:t>New Plan Benefits</w:t>
            </w:r>
          </w:p>
        </w:tc>
        <w:tc>
          <w:tcPr>
            <w:tcW w:w="420" w:type="dxa"/>
            <w:vAlign w:val="bottom"/>
          </w:tcPr>
          <w:p>
            <w:pPr>
              <w:jc w:val="right"/>
              <w:spacing w:after="0"/>
              <w:rPr>
                <w:sz w:val="20"/>
                <w:szCs w:val="20"/>
                <w:color w:val="auto"/>
              </w:rPr>
            </w:pPr>
            <w:r>
              <w:rPr>
                <w:rFonts w:ascii="Arial" w:cs="Arial" w:eastAsia="Arial" w:hAnsi="Arial"/>
                <w:sz w:val="18"/>
                <w:szCs w:val="18"/>
                <w:color w:val="202020"/>
              </w:rPr>
              <w:t>60</w:t>
            </w:r>
          </w:p>
        </w:tc>
      </w:tr>
      <w:tr>
        <w:trPr>
          <w:trHeight w:val="257"/>
        </w:trPr>
        <w:tc>
          <w:tcPr>
            <w:tcW w:w="4280" w:type="dxa"/>
            <w:vAlign w:val="bottom"/>
          </w:tcPr>
          <w:p>
            <w:pPr>
              <w:ind w:left="160"/>
              <w:spacing w:after="0"/>
              <w:rPr>
                <w:sz w:val="20"/>
                <w:szCs w:val="20"/>
                <w:color w:val="auto"/>
              </w:rPr>
            </w:pPr>
            <w:r>
              <w:rPr>
                <w:rFonts w:ascii="Arial" w:cs="Arial" w:eastAsia="Arial" w:hAnsi="Arial"/>
                <w:sz w:val="18"/>
                <w:szCs w:val="18"/>
                <w:color w:val="202020"/>
              </w:rPr>
              <w:t>Options outstanding under the 2021 Incentive</w:t>
            </w:r>
          </w:p>
        </w:tc>
        <w:tc>
          <w:tcPr>
            <w:tcW w:w="420" w:type="dxa"/>
            <w:vAlign w:val="bottom"/>
          </w:tcPr>
          <w:p>
            <w:pPr>
              <w:spacing w:after="0"/>
              <w:rPr>
                <w:sz w:val="22"/>
                <w:szCs w:val="22"/>
                <w:color w:val="auto"/>
              </w:rPr>
            </w:pPr>
          </w:p>
        </w:tc>
      </w:tr>
      <w:tr>
        <w:trPr>
          <w:trHeight w:val="236"/>
        </w:trPr>
        <w:tc>
          <w:tcPr>
            <w:tcW w:w="4280" w:type="dxa"/>
            <w:vAlign w:val="bottom"/>
          </w:tcPr>
          <w:p>
            <w:pPr>
              <w:ind w:left="160"/>
              <w:spacing w:after="0"/>
              <w:rPr>
                <w:sz w:val="20"/>
                <w:szCs w:val="20"/>
                <w:color w:val="auto"/>
              </w:rPr>
            </w:pPr>
            <w:r>
              <w:rPr>
                <w:rFonts w:ascii="Arial" w:cs="Arial" w:eastAsia="Arial" w:hAnsi="Arial"/>
                <w:sz w:val="18"/>
                <w:szCs w:val="18"/>
                <w:color w:val="202020"/>
              </w:rPr>
              <w:t>Plan as of March 31, 2026</w:t>
            </w:r>
          </w:p>
        </w:tc>
        <w:tc>
          <w:tcPr>
            <w:tcW w:w="420" w:type="dxa"/>
            <w:vAlign w:val="bottom"/>
          </w:tcPr>
          <w:p>
            <w:pPr>
              <w:jc w:val="right"/>
              <w:spacing w:after="0"/>
              <w:rPr>
                <w:sz w:val="20"/>
                <w:szCs w:val="20"/>
                <w:color w:val="auto"/>
              </w:rPr>
            </w:pPr>
            <w:r>
              <w:rPr>
                <w:rFonts w:ascii="Arial" w:cs="Arial" w:eastAsia="Arial" w:hAnsi="Arial"/>
                <w:sz w:val="18"/>
                <w:szCs w:val="18"/>
                <w:color w:val="202020"/>
              </w:rPr>
              <w:t>60</w:t>
            </w:r>
          </w:p>
        </w:tc>
      </w:tr>
      <w:tr>
        <w:trPr>
          <w:trHeight w:val="99"/>
        </w:trPr>
        <w:tc>
          <w:tcPr>
            <w:tcW w:w="428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332"/>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Proposal 4: Advisory Vote on Executive</w:t>
            </w:r>
          </w:p>
        </w:tc>
        <w:tc>
          <w:tcPr>
            <w:tcW w:w="420" w:type="dxa"/>
            <w:vAlign w:val="bottom"/>
            <w:shd w:val="clear" w:color="auto" w:fill="8F8F8F"/>
          </w:tcPr>
          <w:p>
            <w:pPr>
              <w:spacing w:after="0"/>
              <w:rPr>
                <w:sz w:val="24"/>
                <w:szCs w:val="24"/>
                <w:color w:val="auto"/>
              </w:rPr>
            </w:pPr>
          </w:p>
        </w:tc>
      </w:tr>
      <w:tr>
        <w:trPr>
          <w:trHeight w:val="284"/>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Compensation</w:t>
            </w:r>
          </w:p>
        </w:tc>
        <w:tc>
          <w:tcPr>
            <w:tcW w:w="42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62</w:t>
            </w:r>
          </w:p>
        </w:tc>
      </w:tr>
      <w:tr>
        <w:trPr>
          <w:trHeight w:val="450"/>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Stockholder Proposals</w:t>
            </w:r>
          </w:p>
        </w:tc>
        <w:tc>
          <w:tcPr>
            <w:tcW w:w="42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63</w:t>
            </w:r>
          </w:p>
        </w:tc>
      </w:tr>
      <w:tr>
        <w:trPr>
          <w:trHeight w:val="228"/>
        </w:trPr>
        <w:tc>
          <w:tcPr>
            <w:tcW w:w="4280" w:type="dxa"/>
            <w:vAlign w:val="bottom"/>
          </w:tcPr>
          <w:p>
            <w:pPr>
              <w:ind w:left="160"/>
              <w:spacing w:after="0"/>
              <w:rPr>
                <w:sz w:val="20"/>
                <w:szCs w:val="20"/>
                <w:color w:val="auto"/>
              </w:rPr>
            </w:pPr>
            <w:r>
              <w:rPr>
                <w:rFonts w:ascii="Arial" w:cs="Arial" w:eastAsia="Arial" w:hAnsi="Arial"/>
                <w:sz w:val="18"/>
                <w:szCs w:val="18"/>
                <w:color w:val="202020"/>
              </w:rPr>
              <w:t>Submitting Proxy Proposals and Director</w:t>
            </w:r>
          </w:p>
        </w:tc>
        <w:tc>
          <w:tcPr>
            <w:tcW w:w="420" w:type="dxa"/>
            <w:vAlign w:val="bottom"/>
          </w:tcPr>
          <w:p>
            <w:pPr>
              <w:spacing w:after="0"/>
              <w:rPr>
                <w:sz w:val="19"/>
                <w:szCs w:val="19"/>
                <w:color w:val="auto"/>
              </w:rPr>
            </w:pPr>
          </w:p>
        </w:tc>
      </w:tr>
      <w:tr>
        <w:trPr>
          <w:trHeight w:val="236"/>
        </w:trPr>
        <w:tc>
          <w:tcPr>
            <w:tcW w:w="4280" w:type="dxa"/>
            <w:vAlign w:val="bottom"/>
          </w:tcPr>
          <w:p>
            <w:pPr>
              <w:ind w:left="160"/>
              <w:spacing w:after="0"/>
              <w:rPr>
                <w:sz w:val="20"/>
                <w:szCs w:val="20"/>
                <w:color w:val="auto"/>
              </w:rPr>
            </w:pPr>
            <w:r>
              <w:rPr>
                <w:rFonts w:ascii="Arial" w:cs="Arial" w:eastAsia="Arial" w:hAnsi="Arial"/>
                <w:sz w:val="18"/>
                <w:szCs w:val="18"/>
                <w:color w:val="202020"/>
              </w:rPr>
              <w:t>Nominations for the 2027 Annual Meeting</w:t>
            </w:r>
          </w:p>
        </w:tc>
        <w:tc>
          <w:tcPr>
            <w:tcW w:w="420" w:type="dxa"/>
            <w:vAlign w:val="bottom"/>
          </w:tcPr>
          <w:p>
            <w:pPr>
              <w:jc w:val="right"/>
              <w:spacing w:after="0"/>
              <w:rPr>
                <w:sz w:val="20"/>
                <w:szCs w:val="20"/>
                <w:color w:val="auto"/>
              </w:rPr>
            </w:pPr>
            <w:r>
              <w:rPr>
                <w:rFonts w:ascii="Arial" w:cs="Arial" w:eastAsia="Arial" w:hAnsi="Arial"/>
                <w:sz w:val="18"/>
                <w:szCs w:val="18"/>
                <w:color w:val="202020"/>
              </w:rPr>
              <w:t>63</w:t>
            </w:r>
          </w:p>
        </w:tc>
      </w:tr>
      <w:tr>
        <w:trPr>
          <w:trHeight w:val="431"/>
        </w:trPr>
        <w:tc>
          <w:tcPr>
            <w:tcW w:w="4280" w:type="dxa"/>
            <w:vAlign w:val="bottom"/>
          </w:tcPr>
          <w:p>
            <w:pPr>
              <w:ind w:left="60"/>
              <w:spacing w:after="0"/>
              <w:rPr>
                <w:sz w:val="20"/>
                <w:szCs w:val="20"/>
                <w:color w:val="auto"/>
              </w:rPr>
            </w:pPr>
            <w:r>
              <w:rPr>
                <w:rFonts w:ascii="Arial" w:cs="Arial" w:eastAsia="Arial" w:hAnsi="Arial"/>
                <w:sz w:val="21"/>
                <w:szCs w:val="21"/>
                <w:b w:val="1"/>
                <w:bCs w:val="1"/>
                <w:color w:val="FFFFFF"/>
              </w:rPr>
              <w:t>Where You Can Find Additional</w:t>
            </w:r>
          </w:p>
        </w:tc>
        <w:tc>
          <w:tcPr>
            <w:tcW w:w="420" w:type="dxa"/>
            <w:vAlign w:val="bottom"/>
          </w:tcPr>
          <w:p>
            <w:pPr>
              <w:spacing w:after="0"/>
              <w:rPr>
                <w:sz w:val="24"/>
                <w:szCs w:val="24"/>
                <w:color w:val="auto"/>
              </w:rPr>
            </w:pPr>
          </w:p>
        </w:tc>
      </w:tr>
      <w:tr>
        <w:trPr>
          <w:trHeight w:val="284"/>
        </w:trPr>
        <w:tc>
          <w:tcPr>
            <w:tcW w:w="4280" w:type="dxa"/>
            <w:vAlign w:val="bottom"/>
          </w:tcPr>
          <w:p>
            <w:pPr>
              <w:ind w:left="60"/>
              <w:spacing w:after="0"/>
              <w:rPr>
                <w:sz w:val="20"/>
                <w:szCs w:val="20"/>
                <w:color w:val="auto"/>
              </w:rPr>
            </w:pPr>
            <w:r>
              <w:rPr>
                <w:rFonts w:ascii="Arial" w:cs="Arial" w:eastAsia="Arial" w:hAnsi="Arial"/>
                <w:sz w:val="21"/>
                <w:szCs w:val="21"/>
                <w:b w:val="1"/>
                <w:bCs w:val="1"/>
                <w:color w:val="FFFFFF"/>
              </w:rPr>
              <w:t>Information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FFFFFF"/>
              </w:rPr>
              <w:t>64</w:t>
            </w:r>
          </w:p>
        </w:tc>
      </w:tr>
      <w:tr>
        <w:trPr>
          <w:trHeight w:val="87"/>
        </w:trPr>
        <w:tc>
          <w:tcPr>
            <w:tcW w:w="428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346"/>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Other Matters</w:t>
            </w:r>
          </w:p>
        </w:tc>
        <w:tc>
          <w:tcPr>
            <w:tcW w:w="42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65</w:t>
            </w:r>
          </w:p>
        </w:tc>
      </w:tr>
      <w:tr>
        <w:trPr>
          <w:trHeight w:val="433"/>
        </w:trPr>
        <w:tc>
          <w:tcPr>
            <w:tcW w:w="4280" w:type="dxa"/>
            <w:vAlign w:val="bottom"/>
            <w:shd w:val="clear" w:color="auto" w:fill="8F8F8F"/>
          </w:tcPr>
          <w:p>
            <w:pPr>
              <w:ind w:left="60"/>
              <w:spacing w:after="0"/>
              <w:rPr>
                <w:sz w:val="20"/>
                <w:szCs w:val="20"/>
                <w:color w:val="auto"/>
              </w:rPr>
            </w:pPr>
            <w:r>
              <w:rPr>
                <w:rFonts w:ascii="Arial" w:cs="Arial" w:eastAsia="Arial" w:hAnsi="Arial"/>
                <w:sz w:val="21"/>
                <w:szCs w:val="21"/>
                <w:b w:val="1"/>
                <w:bCs w:val="1"/>
                <w:color w:val="FFFFFF"/>
              </w:rPr>
              <w:t>Annex A</w:t>
            </w:r>
          </w:p>
        </w:tc>
        <w:tc>
          <w:tcPr>
            <w:tcW w:w="420" w:type="dxa"/>
            <w:vAlign w:val="bottom"/>
            <w:shd w:val="clear" w:color="auto" w:fill="8F8F8F"/>
          </w:tcPr>
          <w:p>
            <w:pPr>
              <w:jc w:val="right"/>
              <w:spacing w:after="0"/>
              <w:rPr>
                <w:sz w:val="20"/>
                <w:szCs w:val="20"/>
                <w:color w:val="auto"/>
              </w:rPr>
            </w:pPr>
            <w:r>
              <w:rPr>
                <w:rFonts w:ascii="Arial" w:cs="Arial" w:eastAsia="Arial" w:hAnsi="Arial"/>
                <w:sz w:val="18"/>
                <w:szCs w:val="18"/>
                <w:b w:val="1"/>
                <w:bCs w:val="1"/>
                <w:color w:val="FFFFFF"/>
              </w:rPr>
              <w:t>66</w:t>
            </w:r>
          </w:p>
        </w:tc>
      </w:tr>
      <w:tr>
        <w:trPr>
          <w:trHeight w:val="60"/>
        </w:trPr>
        <w:tc>
          <w:tcPr>
            <w:tcW w:w="4280" w:type="dxa"/>
            <w:vAlign w:val="bottom"/>
            <w:shd w:val="clear" w:color="auto" w:fill="8F8F8F"/>
          </w:tcPr>
          <w:p>
            <w:pPr>
              <w:spacing w:after="0"/>
              <w:rPr>
                <w:sz w:val="5"/>
                <w:szCs w:val="5"/>
                <w:color w:val="auto"/>
              </w:rPr>
            </w:pPr>
          </w:p>
        </w:tc>
        <w:tc>
          <w:tcPr>
            <w:tcW w:w="420" w:type="dxa"/>
            <w:vAlign w:val="bottom"/>
            <w:shd w:val="clear" w:color="auto" w:fill="8F8F8F"/>
          </w:tcPr>
          <w:p>
            <w:pPr>
              <w:spacing w:after="0"/>
              <w:rPr>
                <w:sz w:val="5"/>
                <w:szCs w:val="5"/>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-5026025</wp:posOffset>
                </wp:positionV>
                <wp:extent cx="298323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230"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5.7499pt" to="234.9pt,-395.7499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-2012315</wp:posOffset>
                </wp:positionV>
                <wp:extent cx="298323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230"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8.4499pt" to="234.9pt,-158.4499pt" o:allowincell="f" strokecolor="#FFFFFF" strokeweight="6.98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-1566545</wp:posOffset>
                </wp:positionV>
                <wp:extent cx="298323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230"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3499pt" to="234.9pt,-123.3499pt" o:allowincell="f" strokecolor="#FFFFFF" strokeweight="6.985pt"/>
            </w:pict>
          </mc:Fallback>
        </mc:AlternateContent>
        <w:drawing>
          <wp:anchor simplePos="0" relativeHeight="251657728" behindDoc="1" locked="0" layoutInCell="0" allowOverlap="1">
            <wp:simplePos x="0" y="0"/>
            <wp:positionH relativeFrom="column">
              <wp:posOffset>-12700</wp:posOffset>
            </wp:positionH>
            <wp:positionV relativeFrom="paragraph">
              <wp:posOffset>-1022350</wp:posOffset>
            </wp:positionV>
            <wp:extent cx="3009900" cy="534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extLst>
                    </a:blip>
                    <a:srcRect/>
                    <a:stretch>
                      <a:fillRect/>
                    </a:stretch>
                  </pic:blipFill>
                  <pic:spPr bwMode="auto">
                    <a:xfrm>
                      <a:off x="0" y="0"/>
                      <a:ext cx="3009900" cy="5346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-257810</wp:posOffset>
                </wp:positionV>
                <wp:extent cx="298323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3230" cy="4763"/>
                        </a:xfrm>
                        <a:prstGeom prst="line">
                          <a:avLst/>
                        </a:prstGeom>
                        <a:solidFill>
                          <a:srgbClr val="FFFFFF"/>
                        </a:solidFill>
                        <a:ln w="88709">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2999pt" to="234.9pt,-20.2999pt" o:allowincell="f" strokecolor="#FFFFFF" strokeweight="6.985pt"/>
            </w:pict>
          </mc:Fallback>
        </mc:AlternateContent>
      </w:r>
    </w:p>
    <w:p>
      <w:pPr>
        <w:sectPr>
          <w:pgSz w:w="11880" w:h="15480" w:orient="portrait"/>
          <w:cols w:equalWidth="0" w:num="2">
            <w:col w:w="4700" w:space="720"/>
            <w:col w:w="4700"/>
          </w:cols>
          <w:pgMar w:left="880" w:top="870" w:right="880" w:bottom="1026" w:gutter="0" w:footer="0" w:header="0"/>
        </w:sectPr>
      </w:pPr>
    </w:p>
    <w:bookmarkStart w:id="4" w:name="page5"/>
    <w:bookmarkEnd w:id="4"/>
    <w:p>
      <w:pPr>
        <w:jc w:val="right"/>
        <w:spacing w:after="0"/>
        <w:rPr>
          <w:sz w:val="20"/>
          <w:szCs w:val="20"/>
          <w:color w:val="auto"/>
        </w:rPr>
      </w:pPr>
      <w:r>
        <w:rPr>
          <w:rFonts w:ascii="Arial" w:cs="Arial" w:eastAsia="Arial" w:hAnsi="Arial"/>
          <w:sz w:val="16"/>
          <w:szCs w:val="16"/>
          <w:color w:val="202020"/>
        </w:rPr>
        <w:t>About Us</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About Us</w:t>
      </w:r>
    </w:p>
    <w:p>
      <w:pPr>
        <w:spacing w:after="0" w:line="217" w:lineRule="exact"/>
        <w:rPr>
          <w:sz w:val="20"/>
          <w:szCs w:val="20"/>
          <w:color w:val="auto"/>
        </w:rPr>
      </w:pPr>
    </w:p>
    <w:p>
      <w:pPr>
        <w:ind w:right="680"/>
        <w:spacing w:after="0" w:line="297" w:lineRule="auto"/>
        <w:rPr>
          <w:sz w:val="20"/>
          <w:szCs w:val="20"/>
          <w:color w:val="auto"/>
        </w:rPr>
      </w:pPr>
      <w:r>
        <w:rPr>
          <w:rFonts w:ascii="Arial" w:cs="Arial" w:eastAsia="Arial" w:hAnsi="Arial"/>
          <w:sz w:val="18"/>
          <w:szCs w:val="18"/>
          <w:color w:val="202020"/>
        </w:rPr>
        <w:t>Celldex is a clinical stage biotechnology company pioneering new horizons in immunology to deliver life-changing therapies.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37465</wp:posOffset>
                </wp:positionV>
                <wp:extent cx="6424930" cy="24066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40665"/>
                        </a:xfrm>
                        <a:prstGeom prst="rect">
                          <a:avLst/>
                        </a:prstGeom>
                        <a:solidFill>
                          <a:srgbClr val="8F8F8F"/>
                        </a:solidFill>
                      </wps:spPr>
                      <wps:bodyPr/>
                    </wps:wsp>
                  </a:graphicData>
                </a:graphic>
              </wp:anchor>
            </w:drawing>
          </mc:Choice>
          <mc:Fallback>
            <w:pict>
              <v:rect id="Shape 32" o:spid="_x0000_s1057" style="position:absolute;margin-left:0.05pt;margin-top:2.95pt;width:505.9pt;height:1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w:r>
    </w:p>
    <w:p>
      <w:pPr>
        <w:spacing w:after="0" w:line="74"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FFFFFF"/>
        </w:rPr>
        <w:t>Our Pipeline</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202020"/>
        </w:rPr>
        <w:t>Our pipeline includes antibody-based therapeutics which have the ability to engage the human immune system and/or directly affect critical pathways to improve the lives of patients with severe allergic, inflammatory and autoimmune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252095</wp:posOffset>
            </wp:positionV>
            <wp:extent cx="5367020" cy="2419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extLst>
                    </a:blip>
                    <a:srcRect/>
                    <a:stretch>
                      <a:fillRect/>
                    </a:stretch>
                  </pic:blipFill>
                  <pic:spPr bwMode="auto">
                    <a:xfrm>
                      <a:off x="0" y="0"/>
                      <a:ext cx="5367020" cy="2419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ind w:left="60"/>
              <w:spacing w:after="0"/>
              <w:rPr>
                <w:sz w:val="20"/>
                <w:szCs w:val="20"/>
                <w:color w:val="auto"/>
              </w:rPr>
            </w:pPr>
            <w:r>
              <w:rPr>
                <w:rFonts w:ascii="Arial" w:cs="Arial" w:eastAsia="Arial" w:hAnsi="Arial"/>
                <w:sz w:val="15"/>
                <w:szCs w:val="15"/>
                <w:b w:val="1"/>
                <w:bCs w:val="1"/>
                <w:color w:val="202020"/>
              </w:rPr>
              <w:t>Program</w:t>
            </w:r>
          </w:p>
        </w:tc>
        <w:tc>
          <w:tcPr>
            <w:tcW w:w="1920" w:type="dxa"/>
            <w:vAlign w:val="bottom"/>
          </w:tcPr>
          <w:p>
            <w:pPr>
              <w:ind w:left="740"/>
              <w:spacing w:after="0"/>
              <w:rPr>
                <w:sz w:val="20"/>
                <w:szCs w:val="20"/>
                <w:color w:val="auto"/>
              </w:rPr>
            </w:pPr>
            <w:r>
              <w:rPr>
                <w:rFonts w:ascii="Arial" w:cs="Arial" w:eastAsia="Arial" w:hAnsi="Arial"/>
                <w:sz w:val="14"/>
                <w:szCs w:val="14"/>
                <w:color w:val="202020"/>
              </w:rPr>
              <w:t>Preclinical</w:t>
            </w:r>
          </w:p>
        </w:tc>
        <w:tc>
          <w:tcPr>
            <w:tcW w:w="1800" w:type="dxa"/>
            <w:vAlign w:val="bottom"/>
          </w:tcPr>
          <w:p>
            <w:pPr>
              <w:ind w:left="540"/>
              <w:spacing w:after="0"/>
              <w:rPr>
                <w:sz w:val="20"/>
                <w:szCs w:val="20"/>
                <w:color w:val="auto"/>
              </w:rPr>
            </w:pPr>
            <w:r>
              <w:rPr>
                <w:rFonts w:ascii="Arial" w:cs="Arial" w:eastAsia="Arial" w:hAnsi="Arial"/>
                <w:sz w:val="14"/>
                <w:szCs w:val="14"/>
                <w:color w:val="202020"/>
              </w:rPr>
              <w:t>Phase 1</w:t>
            </w:r>
          </w:p>
        </w:tc>
        <w:tc>
          <w:tcPr>
            <w:tcW w:w="1680" w:type="dxa"/>
            <w:vAlign w:val="bottom"/>
          </w:tcPr>
          <w:p>
            <w:pPr>
              <w:ind w:left="460"/>
              <w:spacing w:after="0"/>
              <w:rPr>
                <w:sz w:val="20"/>
                <w:szCs w:val="20"/>
                <w:color w:val="auto"/>
              </w:rPr>
            </w:pPr>
            <w:r>
              <w:rPr>
                <w:rFonts w:ascii="Arial" w:cs="Arial" w:eastAsia="Arial" w:hAnsi="Arial"/>
                <w:sz w:val="14"/>
                <w:szCs w:val="14"/>
                <w:color w:val="202020"/>
              </w:rPr>
              <w:t>Phase 2</w:t>
            </w:r>
          </w:p>
        </w:tc>
        <w:tc>
          <w:tcPr>
            <w:tcW w:w="1660" w:type="dxa"/>
            <w:vAlign w:val="bottom"/>
          </w:tcPr>
          <w:p>
            <w:pPr>
              <w:ind w:left="540"/>
              <w:spacing w:after="0"/>
              <w:rPr>
                <w:sz w:val="20"/>
                <w:szCs w:val="20"/>
                <w:color w:val="auto"/>
              </w:rPr>
            </w:pPr>
            <w:r>
              <w:rPr>
                <w:rFonts w:ascii="Arial" w:cs="Arial" w:eastAsia="Arial" w:hAnsi="Arial"/>
                <w:sz w:val="14"/>
                <w:szCs w:val="14"/>
                <w:color w:val="202020"/>
              </w:rPr>
              <w:t>Phase 3</w:t>
            </w:r>
          </w:p>
        </w:tc>
      </w:tr>
      <w:tr>
        <w:trPr>
          <w:trHeight w:val="123"/>
        </w:trPr>
        <w:tc>
          <w:tcPr>
            <w:tcW w:w="1400" w:type="dxa"/>
            <w:vAlign w:val="bottom"/>
            <w:tcBorders>
              <w:bottom w:val="single" w:sz="8" w:color="969696"/>
            </w:tcBorders>
          </w:tcPr>
          <w:p>
            <w:pPr>
              <w:spacing w:after="0"/>
              <w:rPr>
                <w:sz w:val="10"/>
                <w:szCs w:val="10"/>
                <w:color w:val="auto"/>
              </w:rPr>
            </w:pPr>
          </w:p>
        </w:tc>
        <w:tc>
          <w:tcPr>
            <w:tcW w:w="5400" w:type="dxa"/>
            <w:vAlign w:val="bottom"/>
            <w:tcBorders>
              <w:bottom w:val="single" w:sz="8" w:color="969696"/>
            </w:tcBorders>
            <w:gridSpan w:val="3"/>
          </w:tcPr>
          <w:p>
            <w:pPr>
              <w:spacing w:after="0"/>
              <w:rPr>
                <w:sz w:val="10"/>
                <w:szCs w:val="10"/>
                <w:color w:val="auto"/>
              </w:rPr>
            </w:pPr>
          </w:p>
        </w:tc>
        <w:tc>
          <w:tcPr>
            <w:tcW w:w="1660" w:type="dxa"/>
            <w:vAlign w:val="bottom"/>
            <w:tcBorders>
              <w:bottom w:val="single" w:sz="8" w:color="969696"/>
            </w:tcBorders>
          </w:tcPr>
          <w:p>
            <w:pPr>
              <w:spacing w:after="0"/>
              <w:rPr>
                <w:sz w:val="10"/>
                <w:szCs w:val="10"/>
                <w:color w:val="auto"/>
              </w:rPr>
            </w:pPr>
          </w:p>
        </w:tc>
      </w:tr>
      <w:tr>
        <w:trPr>
          <w:trHeight w:val="344"/>
        </w:trPr>
        <w:tc>
          <w:tcPr>
            <w:tcW w:w="1400" w:type="dxa"/>
            <w:vAlign w:val="bottom"/>
          </w:tcPr>
          <w:p>
            <w:pPr>
              <w:spacing w:after="0"/>
              <w:rPr>
                <w:sz w:val="24"/>
                <w:szCs w:val="24"/>
                <w:color w:val="auto"/>
              </w:rPr>
            </w:pPr>
          </w:p>
        </w:tc>
        <w:tc>
          <w:tcPr>
            <w:tcW w:w="5400" w:type="dxa"/>
            <w:vAlign w:val="bottom"/>
            <w:gridSpan w:val="3"/>
          </w:tcPr>
          <w:p>
            <w:pPr>
              <w:ind w:left="320"/>
              <w:spacing w:after="0"/>
              <w:rPr>
                <w:sz w:val="20"/>
                <w:szCs w:val="20"/>
                <w:color w:val="auto"/>
              </w:rPr>
            </w:pPr>
            <w:r>
              <w:rPr>
                <w:rFonts w:ascii="Arial" w:cs="Arial" w:eastAsia="Arial" w:hAnsi="Arial"/>
                <w:sz w:val="13"/>
                <w:szCs w:val="13"/>
                <w:color w:val="FFFFFF"/>
              </w:rPr>
              <w:t>Chronic spontaneous urticaria (CSU) - EMBARQ-CSU1 and EMBARQ-CSU2</w:t>
            </w:r>
          </w:p>
        </w:tc>
        <w:tc>
          <w:tcPr>
            <w:tcW w:w="1660" w:type="dxa"/>
            <w:vAlign w:val="bottom"/>
          </w:tcPr>
          <w:p>
            <w:pPr>
              <w:spacing w:after="0"/>
              <w:rPr>
                <w:sz w:val="24"/>
                <w:szCs w:val="24"/>
                <w:color w:val="auto"/>
              </w:rPr>
            </w:pPr>
          </w:p>
        </w:tc>
      </w:tr>
      <w:tr>
        <w:trPr>
          <w:trHeight w:val="464"/>
        </w:trPr>
        <w:tc>
          <w:tcPr>
            <w:tcW w:w="1400" w:type="dxa"/>
            <w:vAlign w:val="bottom"/>
          </w:tcPr>
          <w:p>
            <w:pPr>
              <w:ind w:left="20"/>
              <w:spacing w:after="0"/>
              <w:rPr>
                <w:sz w:val="20"/>
                <w:szCs w:val="20"/>
                <w:color w:val="auto"/>
              </w:rPr>
            </w:pPr>
            <w:r>
              <w:rPr>
                <w:rFonts w:ascii="Arial" w:cs="Arial" w:eastAsia="Arial" w:hAnsi="Arial"/>
                <w:sz w:val="15"/>
                <w:szCs w:val="15"/>
                <w:b w:val="1"/>
                <w:bCs w:val="1"/>
                <w:color w:val="C1C1C1"/>
              </w:rPr>
              <w:t>Barzolvolimab</w:t>
            </w:r>
          </w:p>
        </w:tc>
        <w:tc>
          <w:tcPr>
            <w:tcW w:w="3720" w:type="dxa"/>
            <w:vAlign w:val="bottom"/>
            <w:gridSpan w:val="2"/>
          </w:tcPr>
          <w:p>
            <w:pPr>
              <w:ind w:left="320"/>
              <w:spacing w:after="0"/>
              <w:rPr>
                <w:sz w:val="20"/>
                <w:szCs w:val="20"/>
                <w:color w:val="auto"/>
              </w:rPr>
            </w:pPr>
            <w:r>
              <w:rPr>
                <w:rFonts w:ascii="Arial" w:cs="Arial" w:eastAsia="Arial" w:hAnsi="Arial"/>
                <w:sz w:val="13"/>
                <w:szCs w:val="13"/>
                <w:color w:val="FFFFFF"/>
              </w:rPr>
              <w:t>Cold Urticaria (ColdU)* - EMBARQ-ColdU and SD</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ind w:left="20"/>
        <w:spacing w:after="0" w:line="222" w:lineRule="auto"/>
        <w:rPr>
          <w:sz w:val="20"/>
          <w:szCs w:val="20"/>
          <w:color w:val="auto"/>
        </w:rPr>
      </w:pPr>
      <w:r>
        <w:rPr>
          <w:rFonts w:ascii="Arial" w:cs="Arial" w:eastAsia="Arial" w:hAnsi="Arial"/>
          <w:sz w:val="15"/>
          <w:szCs w:val="15"/>
          <w:color w:val="C1C1C1"/>
        </w:rPr>
        <w:t>(CDX-0159)</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C1C1C1"/>
        </w:rPr>
        <w:t>KIT Antagonist mAb</w:t>
      </w:r>
    </w:p>
    <w:p>
      <w:pPr>
        <w:ind w:left="1720"/>
        <w:spacing w:after="0" w:line="228" w:lineRule="auto"/>
        <w:rPr>
          <w:sz w:val="20"/>
          <w:szCs w:val="20"/>
          <w:color w:val="auto"/>
        </w:rPr>
      </w:pPr>
      <w:r>
        <w:rPr>
          <w:rFonts w:ascii="Arial" w:cs="Arial" w:eastAsia="Arial" w:hAnsi="Arial"/>
          <w:sz w:val="13"/>
          <w:szCs w:val="13"/>
          <w:color w:val="FFFFFF"/>
        </w:rPr>
        <w:t>Symptomatic Dermographism (SD)* - EMBARQ-ColdU and SD</w:t>
      </w:r>
    </w:p>
    <w:p>
      <w:pPr>
        <w:spacing w:after="0" w:line="291" w:lineRule="exact"/>
        <w:rPr>
          <w:sz w:val="20"/>
          <w:szCs w:val="20"/>
          <w:color w:val="auto"/>
        </w:rPr>
      </w:pPr>
    </w:p>
    <w:p>
      <w:pPr>
        <w:ind w:left="1720"/>
        <w:spacing w:after="0"/>
        <w:rPr>
          <w:sz w:val="20"/>
          <w:szCs w:val="20"/>
          <w:color w:val="auto"/>
        </w:rPr>
      </w:pPr>
      <w:r>
        <w:rPr>
          <w:rFonts w:ascii="Arial" w:cs="Arial" w:eastAsia="Arial" w:hAnsi="Arial"/>
          <w:sz w:val="13"/>
          <w:szCs w:val="13"/>
          <w:color w:val="FFFFFF"/>
        </w:rPr>
        <w:t>Prurigo nodularis (PN)</w:t>
      </w:r>
    </w:p>
    <w:p>
      <w:pPr>
        <w:spacing w:after="0" w:line="310" w:lineRule="exact"/>
        <w:rPr>
          <w:sz w:val="20"/>
          <w:szCs w:val="20"/>
          <w:color w:val="auto"/>
        </w:rPr>
      </w:pPr>
    </w:p>
    <w:p>
      <w:pPr>
        <w:ind w:left="1720"/>
        <w:spacing w:after="0"/>
        <w:rPr>
          <w:sz w:val="20"/>
          <w:szCs w:val="20"/>
          <w:color w:val="auto"/>
        </w:rPr>
      </w:pPr>
      <w:r>
        <w:rPr>
          <w:rFonts w:ascii="Arial" w:cs="Arial" w:eastAsia="Arial" w:hAnsi="Arial"/>
          <w:sz w:val="13"/>
          <w:szCs w:val="13"/>
          <w:color w:val="FFFFFF"/>
        </w:rPr>
        <w:t>Atopic dermatitis (AD)</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02020"/>
        </w:rPr>
        <w:t>CDX-622</w:t>
      </w:r>
    </w:p>
    <w:p>
      <w:pPr>
        <w:ind w:left="20"/>
        <w:spacing w:after="0"/>
        <w:tabs>
          <w:tab w:leader="none" w:pos="1700" w:val="left"/>
        </w:tabs>
        <w:rPr>
          <w:sz w:val="20"/>
          <w:szCs w:val="20"/>
          <w:color w:val="auto"/>
        </w:rPr>
      </w:pPr>
      <w:r>
        <w:rPr>
          <w:rFonts w:ascii="Arial" w:cs="Arial" w:eastAsia="Arial" w:hAnsi="Arial"/>
          <w:sz w:val="22"/>
          <w:szCs w:val="22"/>
          <w:color w:val="202020"/>
          <w:vertAlign w:val="subscript"/>
        </w:rPr>
        <w:t>TSLP &amp; SCF</w:t>
      </w:r>
      <w:r>
        <w:rPr>
          <w:sz w:val="20"/>
          <w:szCs w:val="20"/>
          <w:color w:val="auto"/>
        </w:rPr>
        <w:tab/>
      </w:r>
      <w:r>
        <w:rPr>
          <w:rFonts w:ascii="Arial" w:cs="Arial" w:eastAsia="Arial" w:hAnsi="Arial"/>
          <w:sz w:val="13"/>
          <w:szCs w:val="13"/>
          <w:color w:val="FFFFFF"/>
        </w:rPr>
        <w:t>Phase 1 HV study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2"/>
          <w:szCs w:val="12"/>
          <w:color w:val="202020"/>
        </w:rPr>
        <w:t>Opportunities in allergic,</w:t>
      </w:r>
    </w:p>
    <w:p>
      <w:pPr>
        <w:ind w:left="40"/>
        <w:spacing w:after="0" w:line="192" w:lineRule="auto"/>
        <w:rPr>
          <w:sz w:val="20"/>
          <w:szCs w:val="20"/>
          <w:color w:val="auto"/>
        </w:rPr>
      </w:pPr>
      <w:r>
        <w:rPr>
          <w:rFonts w:ascii="Arial" w:cs="Arial" w:eastAsia="Arial" w:hAnsi="Arial"/>
          <w:sz w:val="11"/>
          <w:szCs w:val="11"/>
          <w:color w:val="202020"/>
        </w:rPr>
        <w:t>inflammatory and fibrotic</w:t>
      </w:r>
    </w:p>
    <w:p>
      <w:pPr>
        <w:ind w:left="1720"/>
        <w:spacing w:after="0" w:line="195" w:lineRule="auto"/>
        <w:rPr>
          <w:sz w:val="20"/>
          <w:szCs w:val="20"/>
          <w:color w:val="auto"/>
        </w:rPr>
      </w:pPr>
      <w:r>
        <w:rPr>
          <w:rFonts w:ascii="Arial" w:cs="Arial" w:eastAsia="Arial" w:hAnsi="Arial"/>
          <w:sz w:val="8"/>
          <w:szCs w:val="8"/>
          <w:color w:val="FFFFFF"/>
        </w:rPr>
        <w:t>Phase 1 Proof of Mechanism (Asthma)</w:t>
      </w:r>
    </w:p>
    <w:p>
      <w:pPr>
        <w:ind w:left="40"/>
        <w:spacing w:after="0" w:line="214" w:lineRule="auto"/>
        <w:rPr>
          <w:sz w:val="20"/>
          <w:szCs w:val="20"/>
          <w:color w:val="auto"/>
        </w:rPr>
      </w:pPr>
      <w:r>
        <w:rPr>
          <w:rFonts w:ascii="Arial" w:cs="Arial" w:eastAsia="Arial" w:hAnsi="Arial"/>
          <w:sz w:val="12"/>
          <w:szCs w:val="12"/>
          <w:color w:val="202020"/>
        </w:rPr>
        <w:t>disorders</w:t>
      </w:r>
    </w:p>
    <w:p>
      <w:pPr>
        <w:spacing w:after="0" w:line="233" w:lineRule="exact"/>
        <w:rPr>
          <w:sz w:val="20"/>
          <w:szCs w:val="20"/>
          <w:color w:val="auto"/>
        </w:rPr>
      </w:pPr>
    </w:p>
    <w:p>
      <w:pPr>
        <w:ind w:left="400" w:hanging="399"/>
        <w:spacing w:after="0"/>
        <w:tabs>
          <w:tab w:leader="none" w:pos="400" w:val="left"/>
        </w:tabs>
        <w:numPr>
          <w:ilvl w:val="0"/>
          <w:numId w:val="1"/>
        </w:numPr>
        <w:rPr>
          <w:rFonts w:ascii="Arial" w:cs="Arial" w:eastAsia="Arial" w:hAnsi="Arial"/>
          <w:sz w:val="16"/>
          <w:szCs w:val="16"/>
          <w:color w:val="202020"/>
        </w:rPr>
      </w:pPr>
      <w:r>
        <w:rPr>
          <w:rFonts w:ascii="Arial" w:cs="Arial" w:eastAsia="Arial" w:hAnsi="Arial"/>
          <w:sz w:val="16"/>
          <w:szCs w:val="16"/>
          <w:color w:val="202020"/>
        </w:rPr>
        <w:t>ColdU and SD are subtypes under the global Phase 3 CIndU (Chronic Inducible Urticaria) program</w:t>
      </w:r>
    </w:p>
    <w:p>
      <w:pPr>
        <w:sectPr>
          <w:pgSz w:w="11880" w:h="15480" w:orient="portrait"/>
          <w:cols w:equalWidth="0" w:num="1">
            <w:col w:w="10120"/>
          </w:cols>
          <w:pgMar w:left="880" w:top="544" w:right="880" w:bottom="96" w:gutter="0" w:footer="0" w:header="0"/>
        </w:sect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Barzolvolimab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-159385</wp:posOffset>
                </wp:positionV>
                <wp:extent cx="6424930" cy="17272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172720"/>
                        </a:xfrm>
                        <a:prstGeom prst="rect">
                          <a:avLst/>
                        </a:prstGeom>
                        <a:solidFill>
                          <a:srgbClr val="8F8F8F"/>
                        </a:solidFill>
                      </wps:spPr>
                      <wps:bodyPr/>
                    </wps:wsp>
                  </a:graphicData>
                </a:graphic>
              </wp:anchor>
            </w:drawing>
          </mc:Choice>
          <mc:Fallback>
            <w:pict>
              <v:rect id="Shape 34" o:spid="_x0000_s1059" style="position:absolute;margin-left:0.05pt;margin-top:-12.5499pt;width:505.9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13335</wp:posOffset>
                </wp:positionV>
                <wp:extent cx="6424930" cy="282638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826385"/>
                        </a:xfrm>
                        <a:prstGeom prst="rect">
                          <a:avLst/>
                        </a:prstGeom>
                        <a:solidFill>
                          <a:srgbClr val="E9E9E9"/>
                        </a:solidFill>
                      </wps:spPr>
                      <wps:bodyPr/>
                    </wps:wsp>
                  </a:graphicData>
                </a:graphic>
              </wp:anchor>
            </w:drawing>
          </mc:Choice>
          <mc:Fallback>
            <w:pict>
              <v:rect id="Shape 35" o:spid="_x0000_s1060" style="position:absolute;margin-left:0.05pt;margin-top:1.05pt;width:505.9pt;height:22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9"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color w:val="202020"/>
        </w:rPr>
        <w:t>Barzolvolimab is a humanized monoclonal antibody with a novel mechanism of action that targets mast cells by binding with high specificity to a unique part of the KIT receptor and potently inhibiting its activity. The KIT receptor is abundantly expressed by mast cells and critical for their function and survival. Mast cells are drivers of inflammatory responses such as hypersensitivity and allergic reactions and, in certain inflammatory diseases, such as chronic urticarias, mast cell activation plays a central role in the onset and progression of the disease. Based on data from robust, randomized, placebo controlled Phase 2 studies, barzolvolimab has significant potential as a first-in-class and best-in-disease treatment option for patients with chronic spontaneous urticaria (CSU), cold urticaria (ColdU) and symptomatic dermographism (SD). Barzolvolimab is currently being studied in Phase 3 studies in CSU and ColdU/SD and Phase 2 studies in prurigo nodularis (PN) and atopic dermatitis (AD), with additional indications planned for the future.</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CDX-622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-159385</wp:posOffset>
                </wp:positionV>
                <wp:extent cx="0" cy="299847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98470"/>
                        </a:xfrm>
                        <a:prstGeom prst="line">
                          <a:avLst/>
                        </a:prstGeom>
                        <a:solidFill>
                          <a:srgbClr val="FFFFFF"/>
                        </a:solidFill>
                        <a:ln w="304126">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999pt,-12.5499pt" to="-17.4999pt,223.55pt" o:allowincell="f" strokecolor="#FFFFFF" strokeweight="23.9469pt"/>
            </w:pict>
          </mc:Fallback>
        </mc:AlternateContent>
      </w:r>
    </w:p>
    <w:p>
      <w:pPr>
        <w:spacing w:after="0" w:line="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02020"/>
        </w:rPr>
        <w:t>CDX-622 is a bispecific antibody that targets two complementary, clinically validated pathways that drive chronic inflammation, potently neutralizing the alarmin thymic stromal lymphopoietin (TSLP) and depleting mast cells via stem cell factor (SCF) starvation. SCF activation of the KIT receptor is required for mast cell survival and plays a key role in their activation, maturation and tissue recruitment. Combined neutralization of SCF and TSLP with CDX-622 is expected to simultaneously reduce tissue mast cells and inhibit Type 2 inflammatory responses to potentially offer enhanced therapeutic benefit in inflammatory and fibrotic disorders. CDX-622 is currently being studied in a Phase 1 proof of mechanism study in adults with mild to moderate asthma.</w:t>
      </w:r>
    </w:p>
    <w:p>
      <w:pPr>
        <w:spacing w:after="0" w:line="1070" w:lineRule="exact"/>
        <w:rPr>
          <w:sz w:val="20"/>
          <w:szCs w:val="20"/>
          <w:color w:val="auto"/>
        </w:rPr>
      </w:pPr>
    </w:p>
    <w:p>
      <w:pPr>
        <w:sectPr>
          <w:pgSz w:w="11880" w:h="15480" w:orient="portrait"/>
          <w:cols w:equalWidth="0" w:num="2">
            <w:col w:w="4900" w:space="720"/>
            <w:col w:w="4500"/>
          </w:cols>
          <w:pgMar w:left="880" w:top="544" w:right="88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980"/>
        <w:spacing w:after="0"/>
        <w:tabs>
          <w:tab w:leader="none" w:pos="9860" w:val="left"/>
        </w:tabs>
        <w:rPr>
          <w:sz w:val="20"/>
          <w:szCs w:val="20"/>
          <w:color w:val="auto"/>
        </w:rPr>
      </w:pPr>
      <w:r>
        <w:rPr>
          <w:rFonts w:ascii="Arial" w:cs="Arial" w:eastAsia="Arial" w:hAnsi="Arial"/>
          <w:sz w:val="18"/>
          <w:szCs w:val="18"/>
          <w:color w:val="202020"/>
        </w:rPr>
        <w:t>Celldex Therapeutics</w:t>
        <w:tab/>
        <w:t>| 1</w:t>
      </w:r>
    </w:p>
    <w:p>
      <w:pPr>
        <w:sectPr>
          <w:pgSz w:w="11880" w:h="15480" w:orient="portrait"/>
          <w:cols w:equalWidth="0" w:num="1">
            <w:col w:w="10120"/>
          </w:cols>
          <w:pgMar w:left="880" w:top="544" w:right="880" w:bottom="96"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202020"/>
        </w:rPr>
        <w:t>About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181610</wp:posOffset>
                </wp:positionV>
                <wp:extent cx="6424930" cy="2406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40665"/>
                        </a:xfrm>
                        <a:prstGeom prst="rect">
                          <a:avLst/>
                        </a:prstGeom>
                        <a:solidFill>
                          <a:srgbClr val="8F8F8F"/>
                        </a:solidFill>
                      </wps:spPr>
                      <wps:bodyPr/>
                    </wps:wsp>
                  </a:graphicData>
                </a:graphic>
              </wp:anchor>
            </w:drawing>
          </mc:Choice>
          <mc:Fallback>
            <w:pict>
              <v:rect id="Shape 37" o:spid="_x0000_s1062" style="position:absolute;margin-left:0.05pt;margin-top:14.3pt;width:505.9pt;height:1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FFFFFF"/>
        </w:rPr>
        <w:t>Our Science</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8"/>
          <w:szCs w:val="18"/>
          <w:color w:val="202020"/>
        </w:rPr>
        <w:t>Driven by our deep and longstanding experience developing antibody-based immunotherapies, Celldex’s proprietary antibody programs and technologies are supported by robust in-house capabilities, enabling the optimized discovery and development of innovative scientific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424930" cy="1424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extLst>
                        <a:ext uri="{28A0092B-C50C-407E-A947-70E740481C1C}"/>
                      </a:extLst>
                    </a:blip>
                    <a:srcRect/>
                    <a:stretch>
                      <a:fillRect/>
                    </a:stretch>
                  </pic:blipFill>
                  <pic:spPr bwMode="auto">
                    <a:xfrm>
                      <a:off x="0" y="0"/>
                      <a:ext cx="6424930" cy="142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202020"/>
              </w:rPr>
              <w:t>Deep and</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202020"/>
              </w:rPr>
              <w:t>Cutting edge science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202020"/>
              </w:rPr>
              <w:t>Proprietary</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202020"/>
              </w:rPr>
              <w:t>Next generation</w:t>
            </w:r>
          </w:p>
        </w:tc>
        <w:tc>
          <w:tcPr>
            <w:tcW w:w="1880" w:type="dxa"/>
            <w:vAlign w:val="bottom"/>
          </w:tcPr>
          <w:p>
            <w:pPr>
              <w:jc w:val="center"/>
              <w:ind w:left="110"/>
              <w:spacing w:after="0"/>
              <w:rPr>
                <w:sz w:val="20"/>
                <w:szCs w:val="20"/>
                <w:color w:val="auto"/>
              </w:rPr>
            </w:pPr>
            <w:r>
              <w:rPr>
                <w:rFonts w:ascii="Arial" w:cs="Arial" w:eastAsia="Arial" w:hAnsi="Arial"/>
                <w:sz w:val="18"/>
                <w:szCs w:val="18"/>
                <w:b w:val="1"/>
                <w:bCs w:val="1"/>
                <w:color w:val="202020"/>
              </w:rPr>
              <w:t>Robust in-house</w:t>
            </w:r>
          </w:p>
        </w:tc>
      </w:tr>
      <w:tr>
        <w:trPr>
          <w:trHeight w:val="219"/>
        </w:trPr>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202020"/>
              </w:rPr>
              <w:t>longstanding</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202020"/>
              </w:rPr>
              <w:t>with patient-</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202020"/>
              </w:rPr>
              <w:t>antibody programs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202020"/>
              </w:rPr>
              <w:t>bispecific antibody</w:t>
            </w:r>
          </w:p>
        </w:tc>
        <w:tc>
          <w:tcPr>
            <w:tcW w:w="1880" w:type="dxa"/>
            <w:vAlign w:val="bottom"/>
          </w:tcPr>
          <w:p>
            <w:pPr>
              <w:jc w:val="center"/>
              <w:ind w:left="110"/>
              <w:spacing w:after="0"/>
              <w:rPr>
                <w:sz w:val="20"/>
                <w:szCs w:val="20"/>
                <w:color w:val="auto"/>
              </w:rPr>
            </w:pPr>
            <w:r>
              <w:rPr>
                <w:rFonts w:ascii="Arial" w:cs="Arial" w:eastAsia="Arial" w:hAnsi="Arial"/>
                <w:sz w:val="18"/>
                <w:szCs w:val="18"/>
                <w:b w:val="1"/>
                <w:bCs w:val="1"/>
                <w:color w:val="202020"/>
              </w:rPr>
              <w:t>capabilities enable</w:t>
            </w:r>
          </w:p>
        </w:tc>
      </w:tr>
      <w:tr>
        <w:trPr>
          <w:trHeight w:val="219"/>
        </w:trPr>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202020"/>
              </w:rPr>
              <w:t>experience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202020"/>
              </w:rPr>
              <w:t>focused approach</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202020"/>
              </w:rPr>
              <w:t>using validated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202020"/>
              </w:rPr>
              <w:t>platform</w:t>
            </w:r>
          </w:p>
        </w:tc>
        <w:tc>
          <w:tcPr>
            <w:tcW w:w="1880" w:type="dxa"/>
            <w:vAlign w:val="bottom"/>
          </w:tcPr>
          <w:p>
            <w:pPr>
              <w:jc w:val="center"/>
              <w:ind w:left="130"/>
              <w:spacing w:after="0"/>
              <w:rPr>
                <w:sz w:val="20"/>
                <w:szCs w:val="20"/>
                <w:color w:val="auto"/>
              </w:rPr>
            </w:pPr>
            <w:r>
              <w:rPr>
                <w:rFonts w:ascii="Arial" w:cs="Arial" w:eastAsia="Arial" w:hAnsi="Arial"/>
                <w:sz w:val="18"/>
                <w:szCs w:val="18"/>
                <w:b w:val="1"/>
                <w:bCs w:val="1"/>
                <w:color w:val="202020"/>
              </w:rPr>
              <w:t>optimized</w:t>
            </w:r>
          </w:p>
        </w:tc>
      </w:tr>
      <w:tr>
        <w:trPr>
          <w:trHeight w:val="219"/>
        </w:trPr>
        <w:tc>
          <w:tcPr>
            <w:tcW w:w="1620" w:type="dxa"/>
            <w:vAlign w:val="bottom"/>
          </w:tcPr>
          <w:p>
            <w:pPr>
              <w:jc w:val="center"/>
              <w:ind w:right="150"/>
              <w:spacing w:after="0"/>
              <w:rPr>
                <w:sz w:val="20"/>
                <w:szCs w:val="20"/>
                <w:color w:val="auto"/>
              </w:rPr>
            </w:pPr>
            <w:r>
              <w:rPr>
                <w:rFonts w:ascii="Arial" w:cs="Arial" w:eastAsia="Arial" w:hAnsi="Arial"/>
                <w:sz w:val="18"/>
                <w:szCs w:val="18"/>
                <w:b w:val="1"/>
                <w:bCs w:val="1"/>
                <w:color w:val="202020"/>
              </w:rPr>
              <w:t>developing</w:t>
            </w:r>
          </w:p>
        </w:tc>
        <w:tc>
          <w:tcPr>
            <w:tcW w:w="22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202020"/>
              </w:rPr>
              <w:t>technologies drive</w:t>
            </w:r>
          </w:p>
        </w:tc>
        <w:tc>
          <w:tcPr>
            <w:tcW w:w="2060" w:type="dxa"/>
            <w:vAlign w:val="bottom"/>
          </w:tcPr>
          <w:p>
            <w:pPr>
              <w:spacing w:after="0"/>
              <w:rPr>
                <w:sz w:val="19"/>
                <w:szCs w:val="19"/>
                <w:color w:val="auto"/>
              </w:rPr>
            </w:pPr>
          </w:p>
        </w:tc>
        <w:tc>
          <w:tcPr>
            <w:tcW w:w="1880" w:type="dxa"/>
            <w:vAlign w:val="bottom"/>
          </w:tcPr>
          <w:p>
            <w:pPr>
              <w:jc w:val="center"/>
              <w:ind w:left="130"/>
              <w:spacing w:after="0"/>
              <w:rPr>
                <w:sz w:val="20"/>
                <w:szCs w:val="20"/>
                <w:color w:val="auto"/>
              </w:rPr>
            </w:pPr>
            <w:r>
              <w:rPr>
                <w:rFonts w:ascii="Arial" w:cs="Arial" w:eastAsia="Arial" w:hAnsi="Arial"/>
                <w:sz w:val="18"/>
                <w:szCs w:val="18"/>
                <w:b w:val="1"/>
                <w:bCs w:val="1"/>
                <w:color w:val="202020"/>
              </w:rPr>
              <w:t>development</w:t>
            </w:r>
          </w:p>
        </w:tc>
      </w:tr>
      <w:tr>
        <w:trPr>
          <w:trHeight w:val="220"/>
        </w:trPr>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202020"/>
              </w:rPr>
              <w:t>antibody-based</w:t>
            </w:r>
          </w:p>
        </w:tc>
        <w:tc>
          <w:tcPr>
            <w:tcW w:w="22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202020"/>
              </w:rPr>
              <w:t>innovation</w:t>
            </w:r>
          </w:p>
        </w:tc>
        <w:tc>
          <w:tcPr>
            <w:tcW w:w="2060" w:type="dxa"/>
            <w:vAlign w:val="bottom"/>
          </w:tcPr>
          <w:p>
            <w:pPr>
              <w:spacing w:after="0"/>
              <w:rPr>
                <w:sz w:val="19"/>
                <w:szCs w:val="19"/>
                <w:color w:val="auto"/>
              </w:rPr>
            </w:pPr>
          </w:p>
        </w:tc>
        <w:tc>
          <w:tcPr>
            <w:tcW w:w="1880" w:type="dxa"/>
            <w:vAlign w:val="bottom"/>
          </w:tcPr>
          <w:p>
            <w:pPr>
              <w:jc w:val="center"/>
              <w:ind w:left="110"/>
              <w:spacing w:after="0"/>
              <w:rPr>
                <w:sz w:val="20"/>
                <w:szCs w:val="20"/>
                <w:color w:val="auto"/>
              </w:rPr>
            </w:pPr>
            <w:r>
              <w:rPr>
                <w:rFonts w:ascii="Arial" w:cs="Arial" w:eastAsia="Arial" w:hAnsi="Arial"/>
                <w:sz w:val="18"/>
                <w:szCs w:val="18"/>
                <w:b w:val="1"/>
                <w:bCs w:val="1"/>
                <w:color w:val="202020"/>
                <w:w w:val="98"/>
              </w:rPr>
              <w:t>process</w:t>
            </w:r>
          </w:p>
        </w:tc>
      </w:tr>
    </w:tbl>
    <w:p>
      <w:pPr>
        <w:ind w:left="120"/>
        <w:spacing w:after="0"/>
        <w:rPr>
          <w:sz w:val="20"/>
          <w:szCs w:val="20"/>
          <w:color w:val="auto"/>
        </w:rPr>
      </w:pPr>
      <w:r>
        <w:rPr>
          <w:rFonts w:ascii="Arial" w:cs="Arial" w:eastAsia="Arial" w:hAnsi="Arial"/>
          <w:sz w:val="18"/>
          <w:szCs w:val="18"/>
          <w:b w:val="1"/>
          <w:bCs w:val="1"/>
          <w:color w:val="202020"/>
        </w:rPr>
        <w:t>immunotherapies</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202020"/>
        </w:rPr>
        <w:t>2 |</w:t>
        <w:tab/>
        <w:t>Celldex Therapeutics</w:t>
      </w:r>
    </w:p>
    <w:p>
      <w:pPr>
        <w:sectPr>
          <w:pgSz w:w="11880" w:h="15480" w:orient="portrait"/>
          <w:cols w:equalWidth="0" w:num="1">
            <w:col w:w="10120"/>
          </w:cols>
          <w:pgMar w:left="880" w:top="544" w:right="880" w:bottom="96" w:gutter="0" w:footer="0" w:header="0"/>
          <w:type w:val="continuous"/>
        </w:sectPr>
      </w:pPr>
    </w:p>
    <w:bookmarkStart w:id="6" w:name="page7"/>
    <w:bookmarkEnd w:id="6"/>
    <w:p>
      <w:pPr>
        <w:ind w:left="8900"/>
        <w:spacing w:after="0"/>
        <w:rPr>
          <w:sz w:val="20"/>
          <w:szCs w:val="20"/>
          <w:color w:val="auto"/>
        </w:rPr>
      </w:pPr>
      <w:r>
        <w:rPr>
          <w:rFonts w:ascii="Arial" w:cs="Arial" w:eastAsia="Arial" w:hAnsi="Arial"/>
          <w:sz w:val="16"/>
          <w:szCs w:val="16"/>
          <w:color w:val="202020"/>
        </w:rPr>
        <w:t>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Proxy Statement</w:t>
      </w:r>
    </w:p>
    <w:p>
      <w:pPr>
        <w:spacing w:after="0" w:line="217" w:lineRule="exact"/>
        <w:rPr>
          <w:sz w:val="20"/>
          <w:szCs w:val="20"/>
          <w:color w:val="auto"/>
        </w:rPr>
      </w:pPr>
    </w:p>
    <w:p>
      <w:pPr>
        <w:spacing w:after="0" w:line="275" w:lineRule="auto"/>
        <w:rPr>
          <w:sz w:val="20"/>
          <w:szCs w:val="20"/>
          <w:color w:val="auto"/>
        </w:rPr>
      </w:pPr>
      <w:r>
        <w:rPr>
          <w:rFonts w:ascii="Arial" w:cs="Arial" w:eastAsia="Arial" w:hAnsi="Arial"/>
          <w:sz w:val="18"/>
          <w:szCs w:val="18"/>
          <w:color w:val="202020"/>
        </w:rPr>
        <w:t>This proxy statement contains information related to the Annual Meeting of Stockholders to be held on June 25, 2026 at 9:00 a.m. Eastern Time. We are holding the Annual Meeting virtually via the Internet. In order to attend our Annual Meeting, you must log in to www.virtualshareholdermeeting.com/CLDX2026 using the 16-digit control number on the notice, proxy card or voting instruction form that accompanied the proxy materials.</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02020"/>
        </w:rPr>
        <w:t>Our Annual Meeting could be adjourned or postponed to another date and/or time. A list of record holders of the Company’s common stock entitled to vote at the Annual Meeting will be available for examination by any stockholder, for any purpose germane to the Annual Meeting, at our principal offices at Perryville III Building, 53 Frontage Road, Suite 220, Hampton, New Jersey 08827, during normal business hours for ten days prior to the Annual Meeting.</w:t>
      </w:r>
    </w:p>
    <w:p>
      <w:pPr>
        <w:spacing w:after="0" w:line="113"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202020"/>
        </w:rPr>
        <w:t>The enclosed proxy is solicited by the Board of Directors of Celldex Therapeutics, Inc. (the “Board”). The proxy materials relating to the Annual Meeting are being mailed to stockholders entitled to vote at the meeting on or about May 4, 2026.</w:t>
      </w:r>
    </w:p>
    <w:p>
      <w:pPr>
        <w:spacing w:after="0" w:line="86" w:lineRule="exact"/>
        <w:rPr>
          <w:sz w:val="20"/>
          <w:szCs w:val="20"/>
          <w:color w:val="auto"/>
        </w:rPr>
      </w:pPr>
    </w:p>
    <w:p>
      <w:pPr>
        <w:ind w:right="20"/>
        <w:spacing w:after="0" w:line="304" w:lineRule="auto"/>
        <w:rPr>
          <w:sz w:val="20"/>
          <w:szCs w:val="20"/>
          <w:color w:val="auto"/>
        </w:rPr>
      </w:pPr>
      <w:r>
        <w:rPr>
          <w:rFonts w:ascii="Arial" w:cs="Arial" w:eastAsia="Arial" w:hAnsi="Arial"/>
          <w:sz w:val="18"/>
          <w:szCs w:val="18"/>
          <w:b w:val="1"/>
          <w:bCs w:val="1"/>
          <w:color w:val="202020"/>
        </w:rPr>
        <w:t>Important Notice of Availability of Proxy Materials for the Annual Meeting of Stockholders to be held on June 25, 2026.</w:t>
      </w:r>
    </w:p>
    <w:p>
      <w:pPr>
        <w:spacing w:after="0" w:line="8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202020"/>
        </w:rPr>
        <w:t>Our proxy materials, including our Proxy Statement for the 2026 Annual Meeting, 2025 Annual Report to Stockholders (which contains our Annual Report on Form 10-K) and proxy card, are available on the Internet at www.proxyvote.com.</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About the Meeting</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Why are we calling this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02020"/>
        </w:rPr>
        <w:t>We are calling the Annual Meeting to seek the approval of our stockholders to:</w:t>
      </w:r>
    </w:p>
    <w:p>
      <w:pPr>
        <w:spacing w:after="0" w:line="138" w:lineRule="exact"/>
        <w:rPr>
          <w:sz w:val="20"/>
          <w:szCs w:val="20"/>
          <w:color w:val="auto"/>
        </w:rPr>
      </w:pPr>
    </w:p>
    <w:p>
      <w:pPr>
        <w:ind w:left="160" w:right="280" w:hanging="159"/>
        <w:spacing w:after="0" w:line="304" w:lineRule="auto"/>
        <w:tabs>
          <w:tab w:leader="none" w:pos="160" w:val="left"/>
        </w:tabs>
        <w:numPr>
          <w:ilvl w:val="0"/>
          <w:numId w:val="2"/>
        </w:numPr>
        <w:rPr>
          <w:rFonts w:ascii="Arial" w:cs="Arial" w:eastAsia="Arial" w:hAnsi="Arial"/>
          <w:sz w:val="18"/>
          <w:szCs w:val="18"/>
          <w:color w:val="202020"/>
        </w:rPr>
      </w:pPr>
      <w:r>
        <w:rPr>
          <w:rFonts w:ascii="Arial" w:cs="Arial" w:eastAsia="Arial" w:hAnsi="Arial"/>
          <w:sz w:val="18"/>
          <w:szCs w:val="18"/>
          <w:color w:val="202020"/>
        </w:rPr>
        <w:t>elect nine directors to serve until the next Annual Meeting of Stockholders and until their respective successors shall have been duly elected and qualified;</w:t>
      </w:r>
    </w:p>
    <w:p>
      <w:pPr>
        <w:spacing w:after="0" w:line="46" w:lineRule="exact"/>
        <w:rPr>
          <w:rFonts w:ascii="Arial" w:cs="Arial" w:eastAsia="Arial" w:hAnsi="Arial"/>
          <w:sz w:val="18"/>
          <w:szCs w:val="18"/>
          <w:color w:val="202020"/>
        </w:rPr>
      </w:pPr>
    </w:p>
    <w:p>
      <w:pPr>
        <w:ind w:left="160" w:right="280" w:hanging="159"/>
        <w:spacing w:after="0" w:line="304" w:lineRule="auto"/>
        <w:tabs>
          <w:tab w:leader="none" w:pos="160" w:val="left"/>
        </w:tabs>
        <w:numPr>
          <w:ilvl w:val="0"/>
          <w:numId w:val="2"/>
        </w:numPr>
        <w:rPr>
          <w:rFonts w:ascii="Arial" w:cs="Arial" w:eastAsia="Arial" w:hAnsi="Arial"/>
          <w:sz w:val="18"/>
          <w:szCs w:val="18"/>
          <w:color w:val="202020"/>
        </w:rPr>
      </w:pPr>
      <w:r>
        <w:rPr>
          <w:rFonts w:ascii="Arial" w:cs="Arial" w:eastAsia="Arial" w:hAnsi="Arial"/>
          <w:sz w:val="18"/>
          <w:szCs w:val="18"/>
          <w:color w:val="202020"/>
        </w:rPr>
        <w:t>ratify the appointment of PricewaterhouseCoopers LLP as our independent registered public accounting firm for the year ending December 31, 2026;</w:t>
      </w:r>
    </w:p>
    <w:p>
      <w:pPr>
        <w:spacing w:after="0" w:line="46" w:lineRule="exact"/>
        <w:rPr>
          <w:rFonts w:ascii="Arial" w:cs="Arial" w:eastAsia="Arial" w:hAnsi="Arial"/>
          <w:sz w:val="18"/>
          <w:szCs w:val="18"/>
          <w:color w:val="202020"/>
        </w:rPr>
      </w:pPr>
    </w:p>
    <w:p>
      <w:pPr>
        <w:ind w:left="160" w:right="60" w:hanging="159"/>
        <w:spacing w:after="0" w:line="282" w:lineRule="auto"/>
        <w:tabs>
          <w:tab w:leader="none" w:pos="160" w:val="left"/>
        </w:tabs>
        <w:numPr>
          <w:ilvl w:val="0"/>
          <w:numId w:val="2"/>
        </w:numPr>
        <w:rPr>
          <w:rFonts w:ascii="Arial" w:cs="Arial" w:eastAsia="Arial" w:hAnsi="Arial"/>
          <w:sz w:val="18"/>
          <w:szCs w:val="18"/>
          <w:color w:val="202020"/>
        </w:rPr>
      </w:pPr>
      <w:r>
        <w:rPr>
          <w:rFonts w:ascii="Arial" w:cs="Arial" w:eastAsia="Arial" w:hAnsi="Arial"/>
          <w:sz w:val="18"/>
          <w:szCs w:val="18"/>
          <w:color w:val="202020"/>
        </w:rPr>
        <w:t>approve an amendment to our 2021 Omnibus Equity Incentive Plan (the “2021 Incentive Plan”), including an increase in the number of the shares reserved for issuance thereunder by 3,400,000 shares to 12,900,000 shares and a clarification regarding the tax withholding provisions applicable to awards under the 2021 Incentive Plan</w:t>
      </w:r>
    </w:p>
    <w:p>
      <w:pPr>
        <w:spacing w:after="0" w:line="66" w:lineRule="exact"/>
        <w:rPr>
          <w:rFonts w:ascii="Arial" w:cs="Arial" w:eastAsia="Arial" w:hAnsi="Arial"/>
          <w:sz w:val="18"/>
          <w:szCs w:val="18"/>
          <w:color w:val="202020"/>
        </w:rPr>
      </w:pPr>
    </w:p>
    <w:p>
      <w:pPr>
        <w:ind w:left="160" w:right="80" w:hanging="159"/>
        <w:spacing w:after="0" w:line="304" w:lineRule="auto"/>
        <w:tabs>
          <w:tab w:leader="none" w:pos="160" w:val="left"/>
        </w:tabs>
        <w:numPr>
          <w:ilvl w:val="0"/>
          <w:numId w:val="2"/>
        </w:numPr>
        <w:rPr>
          <w:rFonts w:ascii="Arial" w:cs="Arial" w:eastAsia="Arial" w:hAnsi="Arial"/>
          <w:sz w:val="18"/>
          <w:szCs w:val="18"/>
          <w:color w:val="202020"/>
        </w:rPr>
      </w:pPr>
      <w:r>
        <w:rPr>
          <w:rFonts w:ascii="Arial" w:cs="Arial" w:eastAsia="Arial" w:hAnsi="Arial"/>
          <w:sz w:val="18"/>
          <w:szCs w:val="18"/>
          <w:color w:val="202020"/>
        </w:rPr>
        <w:t>approve, on an advisory basis, the compensation of the Company’s Named Executive Officers as disclosed in this proxy statement; and</w:t>
      </w:r>
    </w:p>
    <w:p>
      <w:pPr>
        <w:spacing w:after="0" w:line="46" w:lineRule="exact"/>
        <w:rPr>
          <w:rFonts w:ascii="Arial" w:cs="Arial" w:eastAsia="Arial" w:hAnsi="Arial"/>
          <w:sz w:val="18"/>
          <w:szCs w:val="18"/>
          <w:color w:val="202020"/>
        </w:rPr>
      </w:pPr>
    </w:p>
    <w:p>
      <w:pPr>
        <w:ind w:left="160" w:hanging="159"/>
        <w:spacing w:after="0"/>
        <w:tabs>
          <w:tab w:leader="none" w:pos="160" w:val="left"/>
        </w:tabs>
        <w:numPr>
          <w:ilvl w:val="0"/>
          <w:numId w:val="2"/>
        </w:numPr>
        <w:rPr>
          <w:rFonts w:ascii="Arial" w:cs="Arial" w:eastAsia="Arial" w:hAnsi="Arial"/>
          <w:sz w:val="18"/>
          <w:szCs w:val="18"/>
          <w:color w:val="202020"/>
        </w:rPr>
      </w:pPr>
      <w:r>
        <w:rPr>
          <w:rFonts w:ascii="Arial" w:cs="Arial" w:eastAsia="Arial" w:hAnsi="Arial"/>
          <w:sz w:val="18"/>
          <w:szCs w:val="18"/>
          <w:color w:val="202020"/>
        </w:rPr>
        <w:t>address any other matters that may properly come before the meeting.</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What are the Board’s recommendations?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02020"/>
        </w:rPr>
        <w:t>Our Board of Directors recommends that you vote:</w:t>
      </w:r>
    </w:p>
    <w:p>
      <w:pPr>
        <w:spacing w:after="0" w:line="138" w:lineRule="exact"/>
        <w:rPr>
          <w:sz w:val="20"/>
          <w:szCs w:val="20"/>
          <w:color w:val="auto"/>
        </w:rPr>
      </w:pPr>
    </w:p>
    <w:p>
      <w:pPr>
        <w:ind w:left="160" w:hanging="159"/>
        <w:spacing w:after="0"/>
        <w:tabs>
          <w:tab w:leader="none" w:pos="160" w:val="left"/>
        </w:tabs>
        <w:numPr>
          <w:ilvl w:val="0"/>
          <w:numId w:val="3"/>
        </w:numPr>
        <w:rPr>
          <w:rFonts w:ascii="Arial" w:cs="Arial" w:eastAsia="Arial" w:hAnsi="Arial"/>
          <w:sz w:val="18"/>
          <w:szCs w:val="18"/>
          <w:color w:val="202020"/>
        </w:rPr>
      </w:pPr>
      <w:r>
        <w:rPr>
          <w:rFonts w:ascii="Arial" w:cs="Arial" w:eastAsia="Arial" w:hAnsi="Arial"/>
          <w:sz w:val="18"/>
          <w:szCs w:val="18"/>
          <w:b w:val="1"/>
          <w:bCs w:val="1"/>
          <w:i w:val="1"/>
          <w:iCs w:val="1"/>
          <w:color w:val="202020"/>
        </w:rPr>
        <w:t xml:space="preserve">FOR </w:t>
      </w:r>
      <w:r>
        <w:rPr>
          <w:rFonts w:ascii="Arial" w:cs="Arial" w:eastAsia="Arial" w:hAnsi="Arial"/>
          <w:sz w:val="18"/>
          <w:szCs w:val="18"/>
          <w:color w:val="202020"/>
        </w:rPr>
        <w:t>the election of each of the nine director nominees;</w:t>
      </w:r>
    </w:p>
    <w:p>
      <w:pPr>
        <w:spacing w:after="0" w:line="138" w:lineRule="exact"/>
        <w:rPr>
          <w:rFonts w:ascii="Arial" w:cs="Arial" w:eastAsia="Arial" w:hAnsi="Arial"/>
          <w:sz w:val="18"/>
          <w:szCs w:val="18"/>
          <w:color w:val="202020"/>
        </w:rPr>
      </w:pPr>
    </w:p>
    <w:p>
      <w:pPr>
        <w:ind w:left="160" w:hanging="159"/>
        <w:spacing w:after="0" w:line="304" w:lineRule="auto"/>
        <w:tabs>
          <w:tab w:leader="none" w:pos="160" w:val="left"/>
        </w:tabs>
        <w:numPr>
          <w:ilvl w:val="0"/>
          <w:numId w:val="3"/>
        </w:numPr>
        <w:rPr>
          <w:rFonts w:ascii="Arial" w:cs="Arial" w:eastAsia="Arial" w:hAnsi="Arial"/>
          <w:sz w:val="18"/>
          <w:szCs w:val="18"/>
          <w:color w:val="202020"/>
        </w:rPr>
      </w:pPr>
      <w:r>
        <w:rPr>
          <w:rFonts w:ascii="Arial" w:cs="Arial" w:eastAsia="Arial" w:hAnsi="Arial"/>
          <w:sz w:val="18"/>
          <w:szCs w:val="18"/>
          <w:b w:val="1"/>
          <w:bCs w:val="1"/>
          <w:i w:val="1"/>
          <w:iCs w:val="1"/>
          <w:color w:val="202020"/>
        </w:rPr>
        <w:t xml:space="preserve">FOR </w:t>
      </w:r>
      <w:r>
        <w:rPr>
          <w:rFonts w:ascii="Arial" w:cs="Arial" w:eastAsia="Arial" w:hAnsi="Arial"/>
          <w:sz w:val="18"/>
          <w:szCs w:val="18"/>
          <w:color w:val="202020"/>
        </w:rPr>
        <w:t>the ratification of the appointment of PricewaterhouseCoopers LLP as our independent registered public accounting</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firm for the year ending December 31, 2026;</w:t>
      </w:r>
    </w:p>
    <w:p>
      <w:pPr>
        <w:spacing w:after="0" w:line="44" w:lineRule="exact"/>
        <w:rPr>
          <w:rFonts w:ascii="Arial" w:cs="Arial" w:eastAsia="Arial" w:hAnsi="Arial"/>
          <w:sz w:val="18"/>
          <w:szCs w:val="18"/>
          <w:color w:val="202020"/>
        </w:rPr>
      </w:pPr>
    </w:p>
    <w:p>
      <w:pPr>
        <w:ind w:left="160" w:right="440" w:hanging="159"/>
        <w:spacing w:after="0" w:line="280" w:lineRule="auto"/>
        <w:tabs>
          <w:tab w:leader="none" w:pos="160" w:val="left"/>
        </w:tabs>
        <w:numPr>
          <w:ilvl w:val="0"/>
          <w:numId w:val="3"/>
        </w:numPr>
        <w:rPr>
          <w:rFonts w:ascii="Arial" w:cs="Arial" w:eastAsia="Arial" w:hAnsi="Arial"/>
          <w:sz w:val="18"/>
          <w:szCs w:val="18"/>
          <w:color w:val="202020"/>
        </w:rPr>
      </w:pPr>
      <w:r>
        <w:rPr>
          <w:rFonts w:ascii="Arial" w:cs="Arial" w:eastAsia="Arial" w:hAnsi="Arial"/>
          <w:sz w:val="18"/>
          <w:szCs w:val="18"/>
          <w:b w:val="1"/>
          <w:bCs w:val="1"/>
          <w:i w:val="1"/>
          <w:iCs w:val="1"/>
          <w:color w:val="202020"/>
        </w:rPr>
        <w:t xml:space="preserve">FOR </w:t>
      </w:r>
      <w:r>
        <w:rPr>
          <w:rFonts w:ascii="Arial" w:cs="Arial" w:eastAsia="Arial" w:hAnsi="Arial"/>
          <w:sz w:val="18"/>
          <w:szCs w:val="18"/>
          <w:color w:val="202020"/>
        </w:rPr>
        <w:t>the approval of an amendment to our 2021 Incentive Plan, including an increase in the number of the shares</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reserved for issuance thereunder by 3,400,000 shares to 12,900,000 shares and a clarification regarding the tax withholding provisions applicable to awards under the 2021 Incentive Plan and</w:t>
      </w:r>
    </w:p>
    <w:p>
      <w:pPr>
        <w:spacing w:after="0" w:line="65" w:lineRule="exact"/>
        <w:rPr>
          <w:rFonts w:ascii="Arial" w:cs="Arial" w:eastAsia="Arial" w:hAnsi="Arial"/>
          <w:sz w:val="18"/>
          <w:szCs w:val="18"/>
          <w:color w:val="202020"/>
        </w:rPr>
      </w:pPr>
    </w:p>
    <w:p>
      <w:pPr>
        <w:ind w:left="160" w:right="700" w:hanging="159"/>
        <w:spacing w:after="0" w:line="301" w:lineRule="auto"/>
        <w:tabs>
          <w:tab w:leader="none" w:pos="160" w:val="left"/>
        </w:tabs>
        <w:numPr>
          <w:ilvl w:val="0"/>
          <w:numId w:val="3"/>
        </w:numPr>
        <w:rPr>
          <w:rFonts w:ascii="Arial" w:cs="Arial" w:eastAsia="Arial" w:hAnsi="Arial"/>
          <w:sz w:val="18"/>
          <w:szCs w:val="18"/>
          <w:color w:val="202020"/>
        </w:rPr>
      </w:pPr>
      <w:r>
        <w:rPr>
          <w:rFonts w:ascii="Arial" w:cs="Arial" w:eastAsia="Arial" w:hAnsi="Arial"/>
          <w:sz w:val="18"/>
          <w:szCs w:val="18"/>
          <w:b w:val="1"/>
          <w:bCs w:val="1"/>
          <w:i w:val="1"/>
          <w:iCs w:val="1"/>
          <w:color w:val="202020"/>
        </w:rPr>
        <w:t xml:space="preserve">FOR </w:t>
      </w:r>
      <w:r>
        <w:rPr>
          <w:rFonts w:ascii="Arial" w:cs="Arial" w:eastAsia="Arial" w:hAnsi="Arial"/>
          <w:sz w:val="18"/>
          <w:szCs w:val="18"/>
          <w:color w:val="202020"/>
        </w:rPr>
        <w:t>the advisory vote to approve the compensation of our Named Executive Officers as described in this proxy</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statement.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Who is entitled to vote at the meeting?</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202020"/>
        </w:rPr>
        <w:t>Only stockholders of record at the close of business on the record date, April 27, 2026, are entitled to receive notice of the Annual Meeting and to vote the shares of common stock that they held on that date at the meeting, or any postponement or adjournment of the meeting. Holders of our common stock are entitled to one vote per share on each matter to be voted upon. As of the record date, we had 78,492,072 outstanding shares of common stock.</w:t>
      </w:r>
    </w:p>
    <w:p>
      <w:pPr>
        <w:spacing w:after="0" w:line="169" w:lineRule="exact"/>
        <w:rPr>
          <w:sz w:val="20"/>
          <w:szCs w:val="20"/>
          <w:color w:val="auto"/>
        </w:rPr>
      </w:pPr>
    </w:p>
    <w:p>
      <w:pPr>
        <w:ind w:left="7980"/>
        <w:spacing w:after="0"/>
        <w:tabs>
          <w:tab w:leader="none" w:pos="9860" w:val="left"/>
        </w:tabs>
        <w:rPr>
          <w:sz w:val="20"/>
          <w:szCs w:val="20"/>
          <w:color w:val="auto"/>
        </w:rPr>
      </w:pPr>
      <w:r>
        <w:rPr>
          <w:rFonts w:ascii="Arial" w:cs="Arial" w:eastAsia="Arial" w:hAnsi="Arial"/>
          <w:sz w:val="18"/>
          <w:szCs w:val="18"/>
          <w:color w:val="202020"/>
        </w:rPr>
        <w:t>Celldex Therapeutics</w:t>
        <w:tab/>
        <w:t>| 3</w:t>
      </w:r>
    </w:p>
    <w:p>
      <w:pPr>
        <w:sectPr>
          <w:pgSz w:w="11880" w:h="15480" w:orient="portrait"/>
          <w:cols w:equalWidth="0" w:num="1">
            <w:col w:w="10120"/>
          </w:cols>
          <w:pgMar w:left="880" w:top="544" w:right="880" w:bottom="96" w:gutter="0" w:footer="0" w:header="0"/>
        </w:sectPr>
      </w:pPr>
    </w:p>
    <w:bookmarkStart w:id="7" w:name="page8"/>
    <w:bookmarkEnd w:id="7"/>
    <w:p>
      <w:pPr>
        <w:spacing w:after="0"/>
        <w:rPr>
          <w:sz w:val="20"/>
          <w:szCs w:val="20"/>
          <w:color w:val="auto"/>
        </w:rPr>
      </w:pPr>
      <w:r>
        <w:rPr>
          <w:rFonts w:ascii="Arial" w:cs="Arial" w:eastAsia="Arial" w:hAnsi="Arial"/>
          <w:sz w:val="16"/>
          <w:szCs w:val="16"/>
          <w:color w:val="202020"/>
        </w:rPr>
        <w:t>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Who can attend the meeting?</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8"/>
          <w:szCs w:val="18"/>
          <w:color w:val="202020"/>
        </w:rPr>
        <w:t>All stockholders as of the record date, or their duly appointed proxies, may attend the Annual Meeting. Attendance shall solely be via the Internet at www.virtualshareholdermeeting.com/CLDX2026 using the 16-digit control number on the notice, proxy card or voting instruction form that accompanied the proxy materials.</w:t>
      </w:r>
    </w:p>
    <w:p>
      <w:pPr>
        <w:spacing w:after="0" w:line="1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202020"/>
        </w:rPr>
        <w:t>The live webcast of the Annual Meeting will begin promptly at 9:00 am Eastern Time. Online access to the audio webcast will open approximately 10 minutes prior to the start of the Annual Meeting to allow time for our stockholders to log in and test their devices’ audio system. We encourage our stockholders to access the meeting in advance of the designated start time.</w:t>
      </w:r>
    </w:p>
    <w:p>
      <w:pPr>
        <w:spacing w:after="0" w:line="34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202020"/>
        </w:rPr>
        <w:t>Stockholders may also vote, and submit written questions, during the Annual Meeting on www.virtualshareholdermeeting.com/CLDX2026. To demonstrate proof of stock ownership, you will need to enter the</w:t>
      </w:r>
    </w:p>
    <w:p>
      <w:pPr>
        <w:ind w:right="20"/>
        <w:spacing w:after="0" w:line="273" w:lineRule="auto"/>
        <w:rPr>
          <w:sz w:val="20"/>
          <w:szCs w:val="20"/>
          <w:color w:val="auto"/>
        </w:rPr>
      </w:pPr>
      <w:r>
        <w:rPr>
          <w:rFonts w:ascii="Arial" w:cs="Arial" w:eastAsia="Arial" w:hAnsi="Arial"/>
          <w:sz w:val="18"/>
          <w:szCs w:val="18"/>
          <w:color w:val="202020"/>
        </w:rPr>
        <w:t>16-digit control number received with your notice, proxy card or voting instruction form to submit questions and vote at our Annual Meeting. If you hold your shares in “street name” (that is, through a broker or other nominee), you will need authorization from your broker or nominee in order to vote. We intend to answer questions submitted during the meeting that are pertinent to the Company and the items being brought for stockholder vote at the Annual Meeting, as time permits, and in accordance with the Rules of Conduct for the Annual Meeting. To promote fairness, efficiently use the Company’s resources and ensure all stockholder questions are able to be addressed, we will respond to no more than one question from a single stockholder. Questions and answers will be grouped by topic and substantially similar questions will be grouped and answered once. We have retained Broadridge Financial Solutions to host our virtual annual meeting and to distribute, receive, count and tabulate proxies.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What constitutes a quorum?</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202020"/>
        </w:rPr>
        <w:t>The presence at the Annual Meeting, in person or by proxy, of the holders of a majority of our common stock outstanding on the record date will constitute a quorum for our meeting. Signed proxies received but not voted and broker non-votes will be included in the calculation of the number of shares considered to be present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How do I vote?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202020"/>
        </w:rPr>
        <w:t>You can vote on matters that come before the Annual Meeting by completing, dating and signing the enclosed proxy card and returning it in the enclosed postage-paid envelope.</w:t>
      </w:r>
    </w:p>
    <w:p>
      <w:pPr>
        <w:spacing w:after="0" w:line="8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202020"/>
        </w:rPr>
        <w:t>Your shares will be voted as you indicate on your proxy card. If you vote the enclosed proxy but you do not indicate your voting preferences, and with respect to any other matter that properly comes before the meeting, the individuals named on the proxy card will vote your shares FOR the matters submitted at the meeting, or if no recommendation is given, in their own discretion.</w:t>
      </w:r>
    </w:p>
    <w:p>
      <w:pPr>
        <w:spacing w:after="0" w:line="340" w:lineRule="exact"/>
        <w:rPr>
          <w:sz w:val="20"/>
          <w:szCs w:val="20"/>
          <w:color w:val="auto"/>
        </w:rPr>
      </w:pPr>
    </w:p>
    <w:p>
      <w:pPr>
        <w:jc w:val="both"/>
        <w:ind w:right="220"/>
        <w:spacing w:after="0" w:line="287" w:lineRule="auto"/>
        <w:rPr>
          <w:sz w:val="20"/>
          <w:szCs w:val="20"/>
          <w:color w:val="auto"/>
        </w:rPr>
      </w:pPr>
      <w:r>
        <w:rPr>
          <w:rFonts w:ascii="Arial" w:cs="Arial" w:eastAsia="Arial" w:hAnsi="Arial"/>
          <w:sz w:val="18"/>
          <w:szCs w:val="18"/>
          <w:color w:val="202020"/>
        </w:rPr>
        <w:t>If you are a stockholder of record, to submit your proxy by telephone or via the Internet, follow the instructions on the proxy card. If you hold your shares in street name, you may vote by telephone or via the Internet as instructed by your broker, bank or other nominee.</w:t>
      </w:r>
    </w:p>
    <w:p>
      <w:pPr>
        <w:spacing w:after="0" w:line="106" w:lineRule="exact"/>
        <w:rPr>
          <w:sz w:val="20"/>
          <w:szCs w:val="20"/>
          <w:color w:val="auto"/>
        </w:rPr>
      </w:pPr>
    </w:p>
    <w:p>
      <w:pPr>
        <w:jc w:val="both"/>
        <w:ind w:right="40"/>
        <w:spacing w:after="0" w:line="285" w:lineRule="auto"/>
        <w:rPr>
          <w:sz w:val="20"/>
          <w:szCs w:val="20"/>
          <w:color w:val="auto"/>
        </w:rPr>
      </w:pPr>
      <w:r>
        <w:rPr>
          <w:rFonts w:ascii="Arial" w:cs="Arial" w:eastAsia="Arial" w:hAnsi="Arial"/>
          <w:sz w:val="18"/>
          <w:szCs w:val="18"/>
          <w:color w:val="202020"/>
        </w:rPr>
        <w:t>You will have the right to vote at the Annual Meeting. You will have the right to vote on the day of, or during, the Annual Meeting on www.virtualshareholdermeeting.com/CLDX2026. To demonstrate proof of stock ownership, you will need to enter the 16-digit control number received with your notice, proxy card or voting instruction form to vote at our Annual Meeting.</w:t>
      </w:r>
    </w:p>
    <w:p>
      <w:pPr>
        <w:spacing w:after="0" w:line="34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202020"/>
        </w:rPr>
        <w:t>If you attend the Annual Meeting and prefer to vote in person, you may do so even if you have already voted your shares by proxy. Even if you plan to attend our Annual Meeting, we recommend that you also submit your proxy as described above so that your vote will be counted if you later decide not to attend our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What if I vote and then change my mind?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202020"/>
        </w:rPr>
        <w:t>You may revoke your proxy at any time before it is exercised by:</w:t>
      </w:r>
    </w:p>
    <w:p>
      <w:pPr>
        <w:spacing w:after="0" w:line="142" w:lineRule="exact"/>
        <w:rPr>
          <w:sz w:val="20"/>
          <w:szCs w:val="20"/>
          <w:color w:val="auto"/>
        </w:rPr>
      </w:pPr>
    </w:p>
    <w:p>
      <w:pPr>
        <w:ind w:left="160" w:hanging="159"/>
        <w:spacing w:after="0"/>
        <w:tabs>
          <w:tab w:leader="none" w:pos="160" w:val="left"/>
        </w:tabs>
        <w:numPr>
          <w:ilvl w:val="0"/>
          <w:numId w:val="4"/>
        </w:numPr>
        <w:rPr>
          <w:rFonts w:ascii="Arial" w:cs="Arial" w:eastAsia="Arial" w:hAnsi="Arial"/>
          <w:sz w:val="18"/>
          <w:szCs w:val="18"/>
          <w:color w:val="202020"/>
        </w:rPr>
      </w:pPr>
      <w:r>
        <w:rPr>
          <w:rFonts w:ascii="Arial" w:cs="Arial" w:eastAsia="Arial" w:hAnsi="Arial"/>
          <w:sz w:val="18"/>
          <w:szCs w:val="18"/>
          <w:color w:val="202020"/>
        </w:rPr>
        <w:t>filing with the Secretary of the Company a notice of revocation;</w:t>
      </w:r>
    </w:p>
    <w:p>
      <w:pPr>
        <w:spacing w:after="0" w:line="142" w:lineRule="exact"/>
        <w:rPr>
          <w:rFonts w:ascii="Arial" w:cs="Arial" w:eastAsia="Arial" w:hAnsi="Arial"/>
          <w:sz w:val="18"/>
          <w:szCs w:val="18"/>
          <w:color w:val="202020"/>
        </w:rPr>
      </w:pPr>
    </w:p>
    <w:p>
      <w:pPr>
        <w:ind w:left="160" w:hanging="159"/>
        <w:spacing w:after="0"/>
        <w:tabs>
          <w:tab w:leader="none" w:pos="160" w:val="left"/>
        </w:tabs>
        <w:numPr>
          <w:ilvl w:val="0"/>
          <w:numId w:val="4"/>
        </w:numPr>
        <w:rPr>
          <w:rFonts w:ascii="Arial" w:cs="Arial" w:eastAsia="Arial" w:hAnsi="Arial"/>
          <w:sz w:val="18"/>
          <w:szCs w:val="18"/>
          <w:color w:val="202020"/>
        </w:rPr>
      </w:pPr>
      <w:r>
        <w:rPr>
          <w:rFonts w:ascii="Arial" w:cs="Arial" w:eastAsia="Arial" w:hAnsi="Arial"/>
          <w:sz w:val="18"/>
          <w:szCs w:val="18"/>
          <w:color w:val="202020"/>
        </w:rPr>
        <w:t>sending in another duly executed proxy bearing a later date; or</w:t>
      </w:r>
    </w:p>
    <w:p>
      <w:pPr>
        <w:spacing w:after="0" w:line="142" w:lineRule="exact"/>
        <w:rPr>
          <w:rFonts w:ascii="Arial" w:cs="Arial" w:eastAsia="Arial" w:hAnsi="Arial"/>
          <w:sz w:val="18"/>
          <w:szCs w:val="18"/>
          <w:color w:val="202020"/>
        </w:rPr>
      </w:pPr>
    </w:p>
    <w:p>
      <w:pPr>
        <w:ind w:left="160" w:hanging="159"/>
        <w:spacing w:after="0"/>
        <w:tabs>
          <w:tab w:leader="none" w:pos="160" w:val="left"/>
        </w:tabs>
        <w:numPr>
          <w:ilvl w:val="0"/>
          <w:numId w:val="4"/>
        </w:numPr>
        <w:rPr>
          <w:rFonts w:ascii="Arial" w:cs="Arial" w:eastAsia="Arial" w:hAnsi="Arial"/>
          <w:sz w:val="18"/>
          <w:szCs w:val="18"/>
          <w:color w:val="202020"/>
        </w:rPr>
      </w:pPr>
      <w:r>
        <w:rPr>
          <w:rFonts w:ascii="Arial" w:cs="Arial" w:eastAsia="Arial" w:hAnsi="Arial"/>
          <w:sz w:val="18"/>
          <w:szCs w:val="18"/>
          <w:color w:val="202020"/>
        </w:rPr>
        <w:t>attending the meeting and casting your vote in person.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202020"/>
        </w:rPr>
        <w:t>Your latest vote will be the vote that is counted.</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202020"/>
        </w:rPr>
        <w:t>4 |</w:t>
        <w:tab/>
        <w:t>Celldex Therapeutics</w:t>
      </w:r>
    </w:p>
    <w:p>
      <w:pPr>
        <w:sectPr>
          <w:pgSz w:w="11880" w:h="15480" w:orient="portrait"/>
          <w:cols w:equalWidth="0" w:num="1">
            <w:col w:w="10140"/>
          </w:cols>
          <w:pgMar w:left="880" w:top="544" w:right="860" w:bottom="96" w:gutter="0" w:footer="0" w:header="0"/>
        </w:sectPr>
      </w:pPr>
    </w:p>
    <w:bookmarkStart w:id="8" w:name="page9"/>
    <w:bookmarkEnd w:id="8"/>
    <w:p>
      <w:pPr>
        <w:ind w:left="8900"/>
        <w:spacing w:after="0"/>
        <w:rPr>
          <w:sz w:val="20"/>
          <w:szCs w:val="20"/>
          <w:color w:val="auto"/>
        </w:rPr>
      </w:pPr>
      <w:r>
        <w:rPr>
          <w:rFonts w:ascii="Arial" w:cs="Arial" w:eastAsia="Arial" w:hAnsi="Arial"/>
          <w:sz w:val="16"/>
          <w:szCs w:val="16"/>
          <w:color w:val="202020"/>
        </w:rPr>
        <w:t>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What is the difference between holding shares as a stockholder of record and as a beneficial owner?</w:t>
      </w:r>
    </w:p>
    <w:p>
      <w:pPr>
        <w:spacing w:after="0" w:line="170" w:lineRule="exact"/>
        <w:rPr>
          <w:sz w:val="20"/>
          <w:szCs w:val="20"/>
          <w:color w:val="auto"/>
        </w:rPr>
      </w:pPr>
    </w:p>
    <w:p>
      <w:pPr>
        <w:spacing w:after="0" w:line="299" w:lineRule="auto"/>
        <w:rPr>
          <w:sz w:val="20"/>
          <w:szCs w:val="20"/>
          <w:color w:val="auto"/>
        </w:rPr>
      </w:pPr>
      <w:r>
        <w:rPr>
          <w:rFonts w:ascii="Arial" w:cs="Arial" w:eastAsia="Arial" w:hAnsi="Arial"/>
          <w:sz w:val="18"/>
          <w:szCs w:val="18"/>
          <w:color w:val="202020"/>
        </w:rPr>
        <w:t>Many of our stockholders hold their shares through a stockbroker, bank or other nominee rather than directly in their own name. As summarized below, there are some distinctions between shares held of record and those owned beneficially.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202020"/>
        </w:rPr>
        <w:t>Stockholder of Record</w:t>
      </w:r>
    </w:p>
    <w:p>
      <w:pPr>
        <w:spacing w:after="0" w:line="172" w:lineRule="exact"/>
        <w:rPr>
          <w:sz w:val="20"/>
          <w:szCs w:val="20"/>
          <w:color w:val="auto"/>
        </w:rPr>
      </w:pPr>
    </w:p>
    <w:p>
      <w:pPr>
        <w:jc w:val="both"/>
        <w:ind w:right="80"/>
        <w:spacing w:after="0" w:line="278" w:lineRule="auto"/>
        <w:rPr>
          <w:sz w:val="20"/>
          <w:szCs w:val="20"/>
          <w:color w:val="auto"/>
        </w:rPr>
      </w:pPr>
      <w:r>
        <w:rPr>
          <w:rFonts w:ascii="Arial" w:cs="Arial" w:eastAsia="Arial" w:hAnsi="Arial"/>
          <w:sz w:val="18"/>
          <w:szCs w:val="18"/>
          <w:color w:val="202020"/>
        </w:rPr>
        <w:t>If your shares are registered directly in your name with our transfer agent, Computershare Trust Company, N.A., you are considered, with respect to those shares, the stockholder of record. As the stockholder of record, you have the right to directly grant your voting proxy or to vote in person at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202020"/>
        </w:rPr>
        <w:t>Beneficial Owner</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8"/>
          <w:szCs w:val="18"/>
          <w:color w:val="202020"/>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Annual Meeting. However, because you are not the stockholder of record, you may not vote these shares in person at the Annual Meeting unless you obtain a signed proxy from the record holder giving you the right to vote the shares. If you do not provide the stockholder of record with voting instructions or otherwise obtain a signed proxy from the record holder giving you the right to vote the shares, broker non-votes may occur for the shares that you beneficially own. The effect of broker non-votes is more specifically described in “What vote is required to approve each proposal?” below.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What are “broker non-votes”?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202020"/>
        </w:rPr>
        <w:t>Banks and brokers acting as nominees are permitted to use discretionary voting authority to vote for proposals that are deemed “routine” by the New York Stock Exchange, which means that they can submit a proxy or cast a ballot on behalf of stockholders who do not provides a specific voting instruction. Brokers, banks or other nominees are not permitted to use discretionary voting authority to vote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as to how to vote your shares, if you wish to ensure that your shares are present and voted at the Annual Meeting on all matters and if you wish to direct the voting of your shares on “routine” matters.</w:t>
      </w:r>
    </w:p>
    <w:p>
      <w:pPr>
        <w:spacing w:after="0" w:line="11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202020"/>
        </w:rPr>
        <w:t>When there is at least one “routine” matter to be considered at a meeting, a broker “non-vote” occurs when a proposal is deemed “non-routine” and a nominee holding shares for a beneficial owner does not have discretionary voting authority with respect to the “non-routine” matter being considered and has not received instructions from the beneficial owner.</w:t>
      </w:r>
    </w:p>
    <w:p>
      <w:pPr>
        <w:spacing w:after="0" w:line="105" w:lineRule="exact"/>
        <w:rPr>
          <w:sz w:val="20"/>
          <w:szCs w:val="20"/>
          <w:color w:val="auto"/>
        </w:rPr>
      </w:pPr>
    </w:p>
    <w:p>
      <w:pPr>
        <w:spacing w:after="0" w:line="260" w:lineRule="auto"/>
        <w:rPr>
          <w:sz w:val="20"/>
          <w:szCs w:val="20"/>
          <w:color w:val="auto"/>
        </w:rPr>
      </w:pPr>
      <w:r>
        <w:rPr>
          <w:rFonts w:ascii="Arial" w:cs="Arial" w:eastAsia="Arial" w:hAnsi="Arial"/>
          <w:sz w:val="18"/>
          <w:szCs w:val="18"/>
          <w:color w:val="202020"/>
        </w:rPr>
        <w:t>The election of directors (Proposal No. 1), the approval of an amendment to our 2021 Incentive Plan including an increase in the number of the shares reserved for issuance thereunder by 3,400,000 shares to 12,900,000 shares and a clarification regarding the tax withholding provisions applicable to awards under the 2021 Incentive Plan (Proposal No. 3) and the advisory vote on the compensation of our Named Executive Officers (Proposal No. 4) are generally considered to be “non-routine” matters, and brokers, banks or other nominees are not permitted to vote on those matters if the broker, bank or other nominee has not received instructions from the beneficial owner. Accordingly, it is particularly important that beneficial owners instruct their brokers, banks or other nominees how they wish to vote their shares on these proposals. The ratification of our independent registered public accounting firm (Proposal No. 2) is generally considered to be a “routine” matter, and hence, a broker, bank or other nominee may be able to vote on Proposal No. 2 even if it does not receive instructions from the beneficial owner.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What vote is required to approve each proposal?</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202020"/>
        </w:rPr>
        <w:t>Holders of a majority of the outstanding shares as of the record date entitled to vote at the meeting must be present, in person or by proxy, at the Annual Meeting in order to establish the required quorum for the transaction of business. Pursuant to Delaware corporate law, abstentions and broker non-votes will be counted for the purpose of determining whether a quorum is present.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202020"/>
        </w:rPr>
        <w:t>Assuming that a quorum is present, the following votes will be required:</w:t>
      </w:r>
    </w:p>
    <w:p>
      <w:pPr>
        <w:spacing w:after="0" w:line="132" w:lineRule="exact"/>
        <w:rPr>
          <w:sz w:val="20"/>
          <w:szCs w:val="20"/>
          <w:color w:val="auto"/>
        </w:rPr>
      </w:pPr>
    </w:p>
    <w:p>
      <w:pPr>
        <w:ind w:left="160" w:right="40" w:hanging="159"/>
        <w:spacing w:after="0" w:line="268" w:lineRule="auto"/>
        <w:tabs>
          <w:tab w:leader="none" w:pos="160" w:val="left"/>
        </w:tabs>
        <w:numPr>
          <w:ilvl w:val="0"/>
          <w:numId w:val="5"/>
        </w:numPr>
        <w:rPr>
          <w:rFonts w:ascii="Arial" w:cs="Arial" w:eastAsia="Arial" w:hAnsi="Arial"/>
          <w:sz w:val="18"/>
          <w:szCs w:val="18"/>
          <w:color w:val="202020"/>
        </w:rPr>
      </w:pPr>
      <w:r>
        <w:rPr>
          <w:rFonts w:ascii="Arial" w:cs="Arial" w:eastAsia="Arial" w:hAnsi="Arial"/>
          <w:sz w:val="18"/>
          <w:szCs w:val="18"/>
          <w:color w:val="202020"/>
        </w:rPr>
        <w:t>With respect to the election of directors (Proposal No. 1), each nominee presented in Proposal 1 must be elected by a majority of the votes cast in person or by proxy at the Annual Meeting. Nominees are elected by a majority vote for non-contested director elections. Because the number of nominees properly nominated for the Annual Meeting is the same as the number of directors to be elected, the election of directors at this Annual Meeting is non-contested. If the</w:t>
      </w:r>
    </w:p>
    <w:p>
      <w:pPr>
        <w:spacing w:after="0" w:line="173" w:lineRule="exact"/>
        <w:rPr>
          <w:sz w:val="20"/>
          <w:szCs w:val="20"/>
          <w:color w:val="auto"/>
        </w:rPr>
      </w:pPr>
    </w:p>
    <w:p>
      <w:pPr>
        <w:ind w:left="7980"/>
        <w:spacing w:after="0"/>
        <w:tabs>
          <w:tab w:leader="none" w:pos="9860" w:val="left"/>
        </w:tabs>
        <w:rPr>
          <w:sz w:val="20"/>
          <w:szCs w:val="20"/>
          <w:color w:val="auto"/>
        </w:rPr>
      </w:pPr>
      <w:r>
        <w:rPr>
          <w:rFonts w:ascii="Arial" w:cs="Arial" w:eastAsia="Arial" w:hAnsi="Arial"/>
          <w:sz w:val="18"/>
          <w:szCs w:val="18"/>
          <w:color w:val="202020"/>
        </w:rPr>
        <w:t>Celldex Therapeutics</w:t>
        <w:tab/>
        <w:t>| 5</w:t>
      </w:r>
    </w:p>
    <w:p>
      <w:pPr>
        <w:sectPr>
          <w:pgSz w:w="11880" w:h="15480" w:orient="portrait"/>
          <w:cols w:equalWidth="0" w:num="1">
            <w:col w:w="10120"/>
          </w:cols>
          <w:pgMar w:left="880" w:top="544" w:right="880" w:bottom="96" w:gutter="0" w:footer="0" w:header="0"/>
        </w:sectPr>
      </w:pPr>
    </w:p>
    <w:bookmarkStart w:id="9" w:name="page10"/>
    <w:bookmarkEnd w:id="9"/>
    <w:p>
      <w:pPr>
        <w:spacing w:after="0"/>
        <w:rPr>
          <w:sz w:val="20"/>
          <w:szCs w:val="20"/>
          <w:color w:val="auto"/>
        </w:rPr>
      </w:pPr>
      <w:r>
        <w:rPr>
          <w:rFonts w:ascii="Arial" w:cs="Arial" w:eastAsia="Arial" w:hAnsi="Arial"/>
          <w:sz w:val="16"/>
          <w:szCs w:val="16"/>
          <w:color w:val="202020"/>
        </w:rPr>
        <w:t>Proxy Statement</w:t>
      </w:r>
    </w:p>
    <w:p>
      <w:pPr>
        <w:spacing w:after="0" w:line="214" w:lineRule="exact"/>
        <w:rPr>
          <w:sz w:val="20"/>
          <w:szCs w:val="20"/>
          <w:color w:val="auto"/>
        </w:rPr>
      </w:pPr>
    </w:p>
    <w:p>
      <w:pPr>
        <w:ind w:left="160"/>
        <w:spacing w:after="0" w:line="297" w:lineRule="auto"/>
        <w:rPr>
          <w:sz w:val="20"/>
          <w:szCs w:val="20"/>
          <w:color w:val="auto"/>
        </w:rPr>
      </w:pPr>
      <w:r>
        <w:rPr>
          <w:rFonts w:ascii="Arial" w:cs="Arial" w:eastAsia="Arial" w:hAnsi="Arial"/>
          <w:sz w:val="18"/>
          <w:szCs w:val="18"/>
          <w:color w:val="202020"/>
        </w:rPr>
        <w:t>number of votes “For” a nominee exceeds the number of votes “Against” such nominee (among votes properly cast in person or by proxy), then the nominee will be elected. Abstentions and broker non-votes will have no effect on Proposal 1.</w:t>
      </w:r>
    </w:p>
    <w:p>
      <w:pPr>
        <w:spacing w:after="0" w:line="46" w:lineRule="exact"/>
        <w:rPr>
          <w:sz w:val="20"/>
          <w:szCs w:val="20"/>
          <w:color w:val="auto"/>
        </w:rPr>
      </w:pPr>
    </w:p>
    <w:p>
      <w:pPr>
        <w:ind w:left="160" w:right="120" w:hanging="159"/>
        <w:spacing w:after="0" w:line="265" w:lineRule="auto"/>
        <w:tabs>
          <w:tab w:leader="none" w:pos="160" w:val="left"/>
        </w:tabs>
        <w:numPr>
          <w:ilvl w:val="0"/>
          <w:numId w:val="6"/>
        </w:numPr>
        <w:rPr>
          <w:rFonts w:ascii="Arial" w:cs="Arial" w:eastAsia="Arial" w:hAnsi="Arial"/>
          <w:sz w:val="18"/>
          <w:szCs w:val="18"/>
          <w:color w:val="202020"/>
        </w:rPr>
      </w:pPr>
      <w:r>
        <w:rPr>
          <w:rFonts w:ascii="Arial" w:cs="Arial" w:eastAsia="Arial" w:hAnsi="Arial"/>
          <w:sz w:val="18"/>
          <w:szCs w:val="18"/>
          <w:color w:val="202020"/>
        </w:rPr>
        <w:t>With respect to the ratification of the appointment of PricewaterhouseCoopers LLP as our independent registered public accounting firm (Proposal No. 2), approval will require the affirmative vote of a majority of the votes cast, affirmatively or negatively, on Proposal No. 2 at the Annual Meeting. Accordingly, abstentions, if any, will not have any effect on the outcome of Proposal 2. Because Proposal 2 is considered a “routine” proposal, no broker non-votes will occur with respect to Proposal 2.</w:t>
      </w:r>
    </w:p>
    <w:p>
      <w:pPr>
        <w:spacing w:after="0" w:line="74" w:lineRule="exact"/>
        <w:rPr>
          <w:rFonts w:ascii="Arial" w:cs="Arial" w:eastAsia="Arial" w:hAnsi="Arial"/>
          <w:sz w:val="18"/>
          <w:szCs w:val="18"/>
          <w:color w:val="202020"/>
        </w:rPr>
      </w:pPr>
    </w:p>
    <w:p>
      <w:pPr>
        <w:ind w:left="160" w:hanging="159"/>
        <w:spacing w:after="0" w:line="263" w:lineRule="auto"/>
        <w:tabs>
          <w:tab w:leader="none" w:pos="160" w:val="left"/>
        </w:tabs>
        <w:numPr>
          <w:ilvl w:val="0"/>
          <w:numId w:val="6"/>
        </w:numPr>
        <w:rPr>
          <w:rFonts w:ascii="Arial" w:cs="Arial" w:eastAsia="Arial" w:hAnsi="Arial"/>
          <w:sz w:val="18"/>
          <w:szCs w:val="18"/>
          <w:color w:val="202020"/>
        </w:rPr>
      </w:pPr>
      <w:r>
        <w:rPr>
          <w:rFonts w:ascii="Arial" w:cs="Arial" w:eastAsia="Arial" w:hAnsi="Arial"/>
          <w:sz w:val="18"/>
          <w:szCs w:val="18"/>
          <w:color w:val="202020"/>
        </w:rPr>
        <w:t>With respect to the approval of an amendment to our 2021 Incentive Plan including an increase in the number of the shares reserved for issuance thereunder by 3,400,000 shares to 12,900,000 shares and a clarification regarding the tax withholding provisions applicable to awards under the 2021 Incentive Plan (Proposal No. 3) and the advisory vote on the compensation of our Named Executive Officers (Proposal No. 4), approval will require the affirmative vote of a majority of the votes cast, affirmatively or negatively, on such proposal. Accordingly, abstentions, if any, will not have any effect the outcomes of Proposals Nos. 3 and 4. Broker non-votes, if any, will have no effect on Proposals 3 and 4.</w:t>
      </w:r>
    </w:p>
    <w:p>
      <w:pPr>
        <w:spacing w:after="0" w:line="116"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color w:val="202020"/>
        </w:rPr>
        <w:t>Holders of the common stock will not have any dissenters’ rights of appraisal in connection with any of the matters to be voted on at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02020"/>
        </w:rPr>
        <w:t>How are we soliciting this proxy?</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202020"/>
        </w:rPr>
        <w:t>We are soliciting this proxy on behalf of our Board of Directors by mail and will pay all expenses associated therewith. Some of our officers and other employees also may, but without compensation other than their regular compensation, solicit proxies by further mailing or personal conversations, or by telephone, facsimile or other electronic means. We will also, upon request, reimburse brokers and other persons holding stock in their names, or in the names of nominees, for their reasonable out-of-pocket expenses for forwarding proxy materials to the beneficial owners of the capital stock and to obtain proxies.</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202020"/>
        </w:rPr>
        <w:t>6 |</w:t>
        <w:tab/>
        <w:t>Celldex Therapeutics</w:t>
      </w:r>
    </w:p>
    <w:p>
      <w:pPr>
        <w:sectPr>
          <w:pgSz w:w="11880" w:h="15480" w:orient="portrait"/>
          <w:cols w:equalWidth="0" w:num="1">
            <w:col w:w="10120"/>
          </w:cols>
          <w:pgMar w:left="880" w:top="544" w:right="880" w:bottom="96" w:gutter="0" w:footer="0" w:header="0"/>
          <w:type w:val="continuous"/>
        </w:sectPr>
      </w:pPr>
    </w:p>
    <w:bookmarkStart w:id="10" w:name="page11"/>
    <w:bookmarkEnd w:id="10"/>
    <w:p>
      <w:pPr>
        <w:ind w:left="7760"/>
        <w:spacing w:after="0"/>
        <w:rPr>
          <w:sz w:val="20"/>
          <w:szCs w:val="20"/>
          <w:color w:val="auto"/>
        </w:rPr>
      </w:pPr>
      <w:r>
        <w:rPr>
          <w:rFonts w:ascii="Arial" w:cs="Arial" w:eastAsia="Arial" w:hAnsi="Arial"/>
          <w:sz w:val="16"/>
          <w:szCs w:val="16"/>
          <w:color w:val="202020"/>
        </w:rPr>
        <w:t>Proposal 1: Election of Directors</w:t>
      </w:r>
    </w:p>
    <w:p>
      <w:pPr>
        <w:spacing w:after="0" w:line="142" w:lineRule="exact"/>
        <w:rPr>
          <w:sz w:val="20"/>
          <w:szCs w:val="20"/>
          <w:color w:val="auto"/>
        </w:rPr>
      </w:pPr>
    </w:p>
    <w:p>
      <w:pPr>
        <w:ind w:right="560"/>
        <w:spacing w:after="0" w:line="246" w:lineRule="auto"/>
        <w:rPr>
          <w:sz w:val="20"/>
          <w:szCs w:val="20"/>
          <w:color w:val="auto"/>
        </w:rPr>
      </w:pPr>
      <w:r>
        <w:rPr>
          <w:rFonts w:ascii="Arial" w:cs="Arial" w:eastAsia="Arial" w:hAnsi="Arial"/>
          <w:sz w:val="36"/>
          <w:szCs w:val="36"/>
          <w:b w:val="1"/>
          <w:bCs w:val="1"/>
          <w:color w:val="202020"/>
        </w:rPr>
        <w:t>Proposal 1: To Elect Nine Directors to Serve Until the Next Annual Meeting and Until Their Successors Have Been Duly Elected and Qualified (Proposal No. 1)</w:t>
      </w:r>
    </w:p>
    <w:p>
      <w:pPr>
        <w:spacing w:after="0" w:line="200" w:lineRule="exact"/>
        <w:rPr>
          <w:sz w:val="20"/>
          <w:szCs w:val="20"/>
          <w:color w:val="auto"/>
        </w:rPr>
      </w:pPr>
    </w:p>
    <w:p>
      <w:pPr>
        <w:spacing w:after="0" w:line="35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202020"/>
        </w:rPr>
        <w:t>At the Annual Meeting, nine directors are to be elected. All directors of the Company hold office until the next Annual Meeting of Stockholders or until their respective successors are duly elected and qualified or their earlier resignation or removal.</w:t>
      </w:r>
    </w:p>
    <w:p>
      <w:pPr>
        <w:spacing w:after="0" w:line="107" w:lineRule="exact"/>
        <w:rPr>
          <w:sz w:val="20"/>
          <w:szCs w:val="20"/>
          <w:color w:val="auto"/>
        </w:rPr>
      </w:pPr>
    </w:p>
    <w:p>
      <w:pPr>
        <w:spacing w:after="0" w:line="258" w:lineRule="auto"/>
        <w:rPr>
          <w:sz w:val="20"/>
          <w:szCs w:val="20"/>
          <w:color w:val="auto"/>
        </w:rPr>
      </w:pPr>
      <w:r>
        <w:rPr>
          <w:rFonts w:ascii="Arial" w:cs="Arial" w:eastAsia="Arial" w:hAnsi="Arial"/>
          <w:sz w:val="18"/>
          <w:szCs w:val="18"/>
          <w:color w:val="202020"/>
        </w:rPr>
        <w:t>It is the intention of the persons named in the proxies for the holders of common stock to vote the proxies for the election of the nominees named below, unless otherwise specified in any particular proxy. Our management does not contemplate that the nominees will become unavailable for any reason, but if that should occur before the meeting, proxies will be voted for another nominee, or other nominees, to be selected by our Board of Directors. In accordance with our by-laws and Delaware law, a stockholder entitled to vote for the election of directors may withhold authority to vote for certain nominees for directors or may withhold authority to vote for all nominees for directors. Director nominees are elected by a majority vote in non-contested elections of directors. Because the number of nominees properly nominated for the Annual Meeting is the same as the number of directors to be elected, the election of directors at this Annual Meeting is non-contested. Accordingly, each director nominee must be elected by a majority of the votes cast in person or by proxy at the Annual Meeting. Stockholders may not vote, or submit a proxy, for a greater number of nominees than the nine nominees named below.</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Nominees for Election</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202020"/>
        </w:rPr>
        <w:t>The persons listed below are our current directors that have been nominated for re-election or nominees for election at the Annual Meeting (the “Director Nominees”) to fill the nine director positions to be elected by the holders of the common stock.</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3280" w:type="dxa"/>
            <w:vAlign w:val="bottom"/>
            <w:shd w:val="clear" w:color="auto" w:fill="8F8F8F"/>
          </w:tcPr>
          <w:p>
            <w:pPr>
              <w:ind w:left="120"/>
              <w:spacing w:after="0"/>
              <w:rPr>
                <w:sz w:val="20"/>
                <w:szCs w:val="20"/>
                <w:color w:val="auto"/>
              </w:rPr>
            </w:pPr>
            <w:r>
              <w:rPr>
                <w:rFonts w:ascii="Arial" w:cs="Arial" w:eastAsia="Arial" w:hAnsi="Arial"/>
                <w:sz w:val="28"/>
                <w:szCs w:val="28"/>
                <w:b w:val="1"/>
                <w:bCs w:val="1"/>
                <w:color w:val="FFFFFF"/>
              </w:rPr>
              <w:t>Proposal 1:</w:t>
            </w:r>
          </w:p>
        </w:tc>
        <w:tc>
          <w:tcPr>
            <w:tcW w:w="2420" w:type="dxa"/>
            <w:vAlign w:val="bottom"/>
            <w:shd w:val="clear" w:color="auto" w:fill="8F8F8F"/>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shd w:val="clear" w:color="auto" w:fill="8F8F8F"/>
          </w:tcPr>
          <w:p>
            <w:pPr>
              <w:ind w:left="60"/>
              <w:spacing w:after="0"/>
              <w:rPr>
                <w:sz w:val="20"/>
                <w:szCs w:val="20"/>
                <w:color w:val="auto"/>
              </w:rPr>
            </w:pPr>
            <w:r>
              <w:rPr>
                <w:rFonts w:ascii="Arial" w:cs="Arial" w:eastAsia="Arial" w:hAnsi="Arial"/>
                <w:sz w:val="18"/>
                <w:szCs w:val="18"/>
                <w:color w:val="FFFFFF"/>
              </w:rPr>
              <w:t>Our Board recommends that you vote</w:t>
            </w:r>
          </w:p>
        </w:tc>
        <w:tc>
          <w:tcPr>
            <w:tcW w:w="0" w:type="dxa"/>
            <w:vAlign w:val="bottom"/>
          </w:tcPr>
          <w:p>
            <w:pPr>
              <w:spacing w:after="0"/>
              <w:rPr>
                <w:sz w:val="1"/>
                <w:szCs w:val="1"/>
                <w:color w:val="auto"/>
              </w:rPr>
            </w:pPr>
          </w:p>
        </w:tc>
      </w:tr>
      <w:tr>
        <w:trPr>
          <w:trHeight w:val="244"/>
        </w:trPr>
        <w:tc>
          <w:tcPr>
            <w:tcW w:w="3280" w:type="dxa"/>
            <w:vAlign w:val="bottom"/>
            <w:vMerge w:val="restart"/>
            <w:shd w:val="clear" w:color="auto" w:fill="8F8F8F"/>
          </w:tcPr>
          <w:p>
            <w:pPr>
              <w:ind w:left="120"/>
              <w:spacing w:after="0"/>
              <w:rPr>
                <w:sz w:val="20"/>
                <w:szCs w:val="20"/>
                <w:color w:val="auto"/>
              </w:rPr>
            </w:pPr>
            <w:r>
              <w:rPr>
                <w:rFonts w:ascii="Arial" w:cs="Arial" w:eastAsia="Arial" w:hAnsi="Arial"/>
                <w:sz w:val="22"/>
                <w:szCs w:val="22"/>
                <w:b w:val="1"/>
                <w:bCs w:val="1"/>
                <w:color w:val="FFFFFF"/>
              </w:rPr>
              <w:t>Election of Directors</w:t>
            </w:r>
          </w:p>
        </w:tc>
        <w:tc>
          <w:tcPr>
            <w:tcW w:w="2420" w:type="dxa"/>
            <w:vAlign w:val="bottom"/>
            <w:shd w:val="clear" w:color="auto" w:fill="8F8F8F"/>
          </w:tcPr>
          <w:p>
            <w:pPr>
              <w:spacing w:after="0"/>
              <w:rPr>
                <w:sz w:val="21"/>
                <w:szCs w:val="21"/>
                <w:color w:val="auto"/>
              </w:rPr>
            </w:pPr>
          </w:p>
        </w:tc>
        <w:tc>
          <w:tcPr>
            <w:tcW w:w="660" w:type="dxa"/>
            <w:vAlign w:val="bottom"/>
          </w:tcPr>
          <w:p>
            <w:pPr>
              <w:spacing w:after="0"/>
              <w:rPr>
                <w:sz w:val="21"/>
                <w:szCs w:val="21"/>
                <w:color w:val="auto"/>
              </w:rPr>
            </w:pPr>
          </w:p>
        </w:tc>
        <w:tc>
          <w:tcPr>
            <w:tcW w:w="3760" w:type="dxa"/>
            <w:vAlign w:val="bottom"/>
            <w:shd w:val="clear" w:color="auto" w:fill="8F8F8F"/>
          </w:tcPr>
          <w:p>
            <w:pPr>
              <w:ind w:left="60"/>
              <w:spacing w:after="0"/>
              <w:rPr>
                <w:sz w:val="20"/>
                <w:szCs w:val="20"/>
                <w:color w:val="auto"/>
              </w:rPr>
            </w:pPr>
            <w:r>
              <w:rPr>
                <w:rFonts w:ascii="Arial" w:cs="Arial" w:eastAsia="Arial" w:hAnsi="Arial"/>
                <w:sz w:val="18"/>
                <w:szCs w:val="18"/>
                <w:b w:val="1"/>
                <w:bCs w:val="1"/>
                <w:color w:val="FFFFFF"/>
              </w:rPr>
              <w:t xml:space="preserve">“FOR” </w:t>
            </w:r>
            <w:r>
              <w:rPr>
                <w:rFonts w:ascii="Arial" w:cs="Arial" w:eastAsia="Arial" w:hAnsi="Arial"/>
                <w:sz w:val="18"/>
                <w:szCs w:val="18"/>
                <w:color w:val="FFFFFF"/>
              </w:rPr>
              <w:t>the Board’s Nominees.</w:t>
            </w:r>
          </w:p>
        </w:tc>
        <w:tc>
          <w:tcPr>
            <w:tcW w:w="0" w:type="dxa"/>
            <w:vAlign w:val="bottom"/>
          </w:tcPr>
          <w:p>
            <w:pPr>
              <w:spacing w:after="0"/>
              <w:rPr>
                <w:sz w:val="1"/>
                <w:szCs w:val="1"/>
                <w:color w:val="auto"/>
              </w:rPr>
            </w:pPr>
          </w:p>
        </w:tc>
      </w:tr>
      <w:tr>
        <w:trPr>
          <w:trHeight w:val="100"/>
        </w:trPr>
        <w:tc>
          <w:tcPr>
            <w:tcW w:w="3280" w:type="dxa"/>
            <w:vAlign w:val="bottom"/>
            <w:vMerge w:val="continue"/>
            <w:shd w:val="clear" w:color="auto" w:fill="8F8F8F"/>
          </w:tcPr>
          <w:p>
            <w:pPr>
              <w:spacing w:after="0"/>
              <w:rPr>
                <w:sz w:val="8"/>
                <w:szCs w:val="8"/>
                <w:color w:val="auto"/>
              </w:rPr>
            </w:pPr>
          </w:p>
        </w:tc>
        <w:tc>
          <w:tcPr>
            <w:tcW w:w="2420" w:type="dxa"/>
            <w:vAlign w:val="bottom"/>
            <w:shd w:val="clear" w:color="auto" w:fill="8F8F8F"/>
          </w:tcPr>
          <w:p>
            <w:pPr>
              <w:spacing w:after="0"/>
              <w:rPr>
                <w:sz w:val="8"/>
                <w:szCs w:val="8"/>
                <w:color w:val="auto"/>
              </w:rPr>
            </w:pPr>
          </w:p>
        </w:tc>
        <w:tc>
          <w:tcPr>
            <w:tcW w:w="660" w:type="dxa"/>
            <w:vAlign w:val="bottom"/>
          </w:tcPr>
          <w:p>
            <w:pPr>
              <w:spacing w:after="0"/>
              <w:rPr>
                <w:sz w:val="8"/>
                <w:szCs w:val="8"/>
                <w:color w:val="auto"/>
              </w:rPr>
            </w:pPr>
          </w:p>
        </w:tc>
        <w:tc>
          <w:tcPr>
            <w:tcW w:w="3760" w:type="dxa"/>
            <w:vAlign w:val="bottom"/>
            <w:shd w:val="clear" w:color="auto" w:fill="8F8F8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8F8F8F"/>
          </w:tcPr>
          <w:p>
            <w:pPr>
              <w:spacing w:after="0"/>
              <w:rPr>
                <w:sz w:val="12"/>
                <w:szCs w:val="12"/>
                <w:color w:val="auto"/>
              </w:rPr>
            </w:pPr>
          </w:p>
        </w:tc>
        <w:tc>
          <w:tcPr>
            <w:tcW w:w="2420" w:type="dxa"/>
            <w:vAlign w:val="bottom"/>
            <w:shd w:val="clear" w:color="auto" w:fill="8F8F8F"/>
          </w:tcPr>
          <w:p>
            <w:pPr>
              <w:spacing w:after="0"/>
              <w:rPr>
                <w:sz w:val="12"/>
                <w:szCs w:val="12"/>
                <w:color w:val="auto"/>
              </w:rPr>
            </w:pPr>
          </w:p>
        </w:tc>
        <w:tc>
          <w:tcPr>
            <w:tcW w:w="660" w:type="dxa"/>
            <w:vAlign w:val="bottom"/>
          </w:tcPr>
          <w:p>
            <w:pPr>
              <w:spacing w:after="0"/>
              <w:rPr>
                <w:sz w:val="12"/>
                <w:szCs w:val="12"/>
                <w:color w:val="auto"/>
              </w:rPr>
            </w:pPr>
          </w:p>
        </w:tc>
        <w:tc>
          <w:tcPr>
            <w:tcW w:w="3760" w:type="dxa"/>
            <w:vAlign w:val="bottom"/>
            <w:shd w:val="clear" w:color="auto" w:fill="8F8F8F"/>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3280" w:type="dxa"/>
            <w:vAlign w:val="bottom"/>
            <w:tcBorders>
              <w:bottom w:val="single" w:sz="8" w:color="202020"/>
            </w:tcBorders>
          </w:tcPr>
          <w:p>
            <w:pPr>
              <w:spacing w:after="0"/>
              <w:rPr>
                <w:sz w:val="24"/>
                <w:szCs w:val="24"/>
                <w:color w:val="auto"/>
              </w:rPr>
            </w:pPr>
          </w:p>
        </w:tc>
        <w:tc>
          <w:tcPr>
            <w:tcW w:w="2420" w:type="dxa"/>
            <w:vAlign w:val="bottom"/>
            <w:tcBorders>
              <w:bottom w:val="single" w:sz="8" w:color="202020"/>
            </w:tcBorders>
          </w:tcPr>
          <w:p>
            <w:pPr>
              <w:spacing w:after="0"/>
              <w:rPr>
                <w:sz w:val="24"/>
                <w:szCs w:val="24"/>
                <w:color w:val="auto"/>
              </w:rPr>
            </w:pPr>
          </w:p>
        </w:tc>
        <w:tc>
          <w:tcPr>
            <w:tcW w:w="660" w:type="dxa"/>
            <w:vAlign w:val="bottom"/>
            <w:tcBorders>
              <w:bottom w:val="single" w:sz="8" w:color="202020"/>
            </w:tcBorders>
          </w:tcPr>
          <w:p>
            <w:pPr>
              <w:spacing w:after="0"/>
              <w:rPr>
                <w:sz w:val="24"/>
                <w:szCs w:val="24"/>
                <w:color w:val="auto"/>
              </w:rPr>
            </w:pPr>
          </w:p>
        </w:tc>
        <w:tc>
          <w:tcPr>
            <w:tcW w:w="3760" w:type="dxa"/>
            <w:vAlign w:val="bottom"/>
            <w:tcBorders>
              <w:bottom w:val="single" w:sz="8" w:color="202020"/>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2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20"/>
                <w:szCs w:val="20"/>
                <w:b w:val="1"/>
                <w:bCs w:val="1"/>
                <w:color w:val="202020"/>
                <w:w w:val="93"/>
              </w:rPr>
              <w:t>HARRY H. PENNER, JR.</w:t>
            </w:r>
          </w:p>
        </w:tc>
        <w:tc>
          <w:tcPr>
            <w:tcW w:w="3080" w:type="dxa"/>
            <w:vAlign w:val="bottom"/>
            <w:tcBorders>
              <w:bottom w:val="single" w:sz="8" w:color="CCCCCC"/>
            </w:tcBorders>
            <w:gridSpan w:val="2"/>
            <w:shd w:val="clear" w:color="auto" w:fill="CCCCCC"/>
          </w:tcPr>
          <w:p>
            <w:pPr>
              <w:jc w:val="center"/>
              <w:ind w:left="388"/>
              <w:spacing w:after="0"/>
              <w:rPr>
                <w:sz w:val="20"/>
                <w:szCs w:val="20"/>
                <w:color w:val="auto"/>
              </w:rPr>
            </w:pPr>
            <w:r>
              <w:rPr>
                <w:rFonts w:ascii="Arial" w:cs="Arial" w:eastAsia="Arial" w:hAnsi="Arial"/>
                <w:sz w:val="20"/>
                <w:szCs w:val="20"/>
                <w:b w:val="1"/>
                <w:bCs w:val="1"/>
                <w:color w:val="202020"/>
                <w:w w:val="96"/>
              </w:rPr>
              <w:t>ANTHONY S. MARUCCI</w:t>
            </w:r>
          </w:p>
        </w:tc>
        <w:tc>
          <w:tcPr>
            <w:tcW w:w="3760" w:type="dxa"/>
            <w:vAlign w:val="bottom"/>
            <w:tcBorders>
              <w:bottom w:val="single" w:sz="8" w:color="CCCCCC"/>
            </w:tcBorders>
            <w:shd w:val="clear" w:color="auto" w:fill="CCCCCC"/>
          </w:tcPr>
          <w:p>
            <w:pPr>
              <w:jc w:val="center"/>
              <w:ind w:left="448"/>
              <w:spacing w:after="0"/>
              <w:rPr>
                <w:sz w:val="20"/>
                <w:szCs w:val="20"/>
                <w:color w:val="auto"/>
              </w:rPr>
            </w:pPr>
            <w:r>
              <w:rPr>
                <w:rFonts w:ascii="Arial" w:cs="Arial" w:eastAsia="Arial" w:hAnsi="Arial"/>
                <w:sz w:val="20"/>
                <w:szCs w:val="20"/>
                <w:b w:val="1"/>
                <w:bCs w:val="1"/>
                <w:color w:val="202020"/>
                <w:w w:val="96"/>
              </w:rPr>
              <w:t>KEITH L. BROWNLIE</w:t>
            </w:r>
          </w:p>
        </w:tc>
        <w:tc>
          <w:tcPr>
            <w:tcW w:w="0" w:type="dxa"/>
            <w:vAlign w:val="bottom"/>
          </w:tcPr>
          <w:p>
            <w:pPr>
              <w:spacing w:after="0"/>
              <w:rPr>
                <w:sz w:val="1"/>
                <w:szCs w:val="1"/>
                <w:color w:val="auto"/>
              </w:rPr>
            </w:pPr>
          </w:p>
        </w:tc>
      </w:tr>
      <w:tr>
        <w:trPr>
          <w:trHeight w:val="262"/>
        </w:trPr>
        <w:tc>
          <w:tcPr>
            <w:tcW w:w="3280" w:type="dxa"/>
            <w:vAlign w:val="bottom"/>
            <w:tcBorders>
              <w:top w:val="single" w:sz="8" w:color="202020"/>
            </w:tcBorders>
          </w:tcPr>
          <w:p>
            <w:pPr>
              <w:jc w:val="center"/>
              <w:spacing w:after="0"/>
              <w:rPr>
                <w:sz w:val="20"/>
                <w:szCs w:val="20"/>
                <w:color w:val="auto"/>
              </w:rPr>
            </w:pPr>
            <w:r>
              <w:rPr>
                <w:rFonts w:ascii="Arial" w:cs="Arial" w:eastAsia="Arial" w:hAnsi="Arial"/>
                <w:sz w:val="18"/>
                <w:szCs w:val="18"/>
                <w:b w:val="1"/>
                <w:bCs w:val="1"/>
                <w:color w:val="202020"/>
              </w:rPr>
              <w:t>Director</w:t>
            </w:r>
          </w:p>
        </w:tc>
        <w:tc>
          <w:tcPr>
            <w:tcW w:w="3080" w:type="dxa"/>
            <w:vAlign w:val="bottom"/>
            <w:tcBorders>
              <w:top w:val="single" w:sz="8" w:color="202020"/>
            </w:tcBorders>
            <w:gridSpan w:val="2"/>
          </w:tcPr>
          <w:p>
            <w:pPr>
              <w:jc w:val="center"/>
              <w:ind w:left="388"/>
              <w:spacing w:after="0"/>
              <w:rPr>
                <w:sz w:val="20"/>
                <w:szCs w:val="20"/>
                <w:color w:val="auto"/>
              </w:rPr>
            </w:pPr>
            <w:r>
              <w:rPr>
                <w:rFonts w:ascii="Arial" w:cs="Arial" w:eastAsia="Arial" w:hAnsi="Arial"/>
                <w:sz w:val="18"/>
                <w:szCs w:val="18"/>
                <w:b w:val="1"/>
                <w:bCs w:val="1"/>
                <w:color w:val="202020"/>
              </w:rPr>
              <w:t>Chief Executive Officer</w:t>
            </w:r>
          </w:p>
        </w:tc>
        <w:tc>
          <w:tcPr>
            <w:tcW w:w="3760" w:type="dxa"/>
            <w:vAlign w:val="bottom"/>
            <w:tcBorders>
              <w:top w:val="single" w:sz="8" w:color="202020"/>
            </w:tcBorders>
          </w:tcPr>
          <w:p>
            <w:pPr>
              <w:jc w:val="center"/>
              <w:ind w:left="448"/>
              <w:spacing w:after="0"/>
              <w:rPr>
                <w:sz w:val="20"/>
                <w:szCs w:val="20"/>
                <w:color w:val="auto"/>
              </w:rPr>
            </w:pPr>
            <w:r>
              <w:rPr>
                <w:rFonts w:ascii="Arial" w:cs="Arial" w:eastAsia="Arial" w:hAnsi="Arial"/>
                <w:sz w:val="18"/>
                <w:szCs w:val="18"/>
                <w:b w:val="1"/>
                <w:bCs w:val="1"/>
                <w:color w:val="202020"/>
              </w:rPr>
              <w:t>Director</w:t>
            </w: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3280" w:type="dxa"/>
            <w:vAlign w:val="bottom"/>
            <w:shd w:val="clear" w:color="auto" w:fill="E9E9E9"/>
          </w:tcPr>
          <w:p>
            <w:pPr>
              <w:jc w:val="center"/>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80</w:t>
            </w:r>
          </w:p>
        </w:tc>
        <w:tc>
          <w:tcPr>
            <w:tcW w:w="3080" w:type="dxa"/>
            <w:vAlign w:val="bottom"/>
            <w:gridSpan w:val="2"/>
            <w:shd w:val="clear" w:color="auto" w:fill="E9E9E9"/>
          </w:tcPr>
          <w:p>
            <w:pPr>
              <w:jc w:val="center"/>
              <w:ind w:left="38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64</w:t>
            </w:r>
          </w:p>
        </w:tc>
        <w:tc>
          <w:tcPr>
            <w:tcW w:w="3760" w:type="dxa"/>
            <w:vAlign w:val="bottom"/>
            <w:shd w:val="clear" w:color="auto" w:fill="E9E9E9"/>
          </w:tcPr>
          <w:p>
            <w:pPr>
              <w:jc w:val="center"/>
              <w:ind w:left="46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73</w:t>
            </w:r>
          </w:p>
        </w:tc>
        <w:tc>
          <w:tcPr>
            <w:tcW w:w="0" w:type="dxa"/>
            <w:vAlign w:val="bottom"/>
          </w:tcPr>
          <w:p>
            <w:pPr>
              <w:spacing w:after="0"/>
              <w:rPr>
                <w:sz w:val="1"/>
                <w:szCs w:val="1"/>
                <w:color w:val="auto"/>
              </w:rPr>
            </w:pPr>
          </w:p>
        </w:tc>
      </w:tr>
      <w:tr>
        <w:trPr>
          <w:trHeight w:val="279"/>
        </w:trPr>
        <w:tc>
          <w:tcPr>
            <w:tcW w:w="3280" w:type="dxa"/>
            <w:vAlign w:val="bottom"/>
            <w:shd w:val="clear" w:color="auto" w:fill="E9E9E9"/>
          </w:tcPr>
          <w:p>
            <w:pPr>
              <w:jc w:val="center"/>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January 1997</w:t>
            </w:r>
          </w:p>
        </w:tc>
        <w:tc>
          <w:tcPr>
            <w:tcW w:w="3080" w:type="dxa"/>
            <w:vAlign w:val="bottom"/>
            <w:gridSpan w:val="2"/>
            <w:shd w:val="clear" w:color="auto" w:fill="E9E9E9"/>
          </w:tcPr>
          <w:p>
            <w:pPr>
              <w:jc w:val="center"/>
              <w:ind w:left="388"/>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December 2008</w:t>
            </w:r>
          </w:p>
        </w:tc>
        <w:tc>
          <w:tcPr>
            <w:tcW w:w="3760" w:type="dxa"/>
            <w:vAlign w:val="bottom"/>
            <w:shd w:val="clear" w:color="auto" w:fill="E9E9E9"/>
          </w:tcPr>
          <w:p>
            <w:pPr>
              <w:jc w:val="center"/>
              <w:ind w:left="448"/>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June 2017</w:t>
            </w:r>
          </w:p>
        </w:tc>
        <w:tc>
          <w:tcPr>
            <w:tcW w:w="0" w:type="dxa"/>
            <w:vAlign w:val="bottom"/>
          </w:tcPr>
          <w:p>
            <w:pPr>
              <w:spacing w:after="0"/>
              <w:rPr>
                <w:sz w:val="1"/>
                <w:szCs w:val="1"/>
                <w:color w:val="auto"/>
              </w:rPr>
            </w:pPr>
          </w:p>
        </w:tc>
      </w:tr>
      <w:tr>
        <w:trPr>
          <w:trHeight w:val="332"/>
        </w:trPr>
        <w:tc>
          <w:tcPr>
            <w:tcW w:w="32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1</w:t>
            </w:r>
          </w:p>
        </w:tc>
        <w:tc>
          <w:tcPr>
            <w:tcW w:w="3080" w:type="dxa"/>
            <w:vAlign w:val="bottom"/>
            <w:tcBorders>
              <w:bottom w:val="single" w:sz="8" w:color="E9E9E9"/>
            </w:tcBorders>
            <w:gridSpan w:val="2"/>
            <w:shd w:val="clear" w:color="auto" w:fill="E9E9E9"/>
          </w:tcPr>
          <w:p>
            <w:pPr>
              <w:jc w:val="center"/>
              <w:ind w:left="408"/>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1</w:t>
            </w:r>
          </w:p>
        </w:tc>
        <w:tc>
          <w:tcPr>
            <w:tcW w:w="3760" w:type="dxa"/>
            <w:vAlign w:val="bottom"/>
            <w:tcBorders>
              <w:bottom w:val="single" w:sz="8" w:color="E9E9E9"/>
            </w:tcBorders>
            <w:shd w:val="clear" w:color="auto" w:fill="E9E9E9"/>
          </w:tcPr>
          <w:p>
            <w:pPr>
              <w:jc w:val="center"/>
              <w:ind w:left="448"/>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1</w:t>
            </w:r>
          </w:p>
        </w:tc>
        <w:tc>
          <w:tcPr>
            <w:tcW w:w="0" w:type="dxa"/>
            <w:vAlign w:val="bottom"/>
          </w:tcPr>
          <w:p>
            <w:pPr>
              <w:spacing w:after="0"/>
              <w:rPr>
                <w:sz w:val="1"/>
                <w:szCs w:val="1"/>
                <w:color w:val="auto"/>
              </w:rPr>
            </w:pPr>
          </w:p>
        </w:tc>
      </w:tr>
      <w:tr>
        <w:trPr>
          <w:trHeight w:val="210"/>
        </w:trPr>
        <w:tc>
          <w:tcPr>
            <w:tcW w:w="3280" w:type="dxa"/>
            <w:vAlign w:val="bottom"/>
            <w:tcBorders>
              <w:top w:val="single" w:sz="8" w:color="202020"/>
              <w:bottom w:val="single" w:sz="8" w:color="202020"/>
            </w:tcBorders>
          </w:tcPr>
          <w:p>
            <w:pPr>
              <w:spacing w:after="0"/>
              <w:rPr>
                <w:sz w:val="18"/>
                <w:szCs w:val="18"/>
                <w:color w:val="auto"/>
              </w:rPr>
            </w:pPr>
          </w:p>
        </w:tc>
        <w:tc>
          <w:tcPr>
            <w:tcW w:w="2420" w:type="dxa"/>
            <w:vAlign w:val="bottom"/>
            <w:tcBorders>
              <w:top w:val="single" w:sz="8" w:color="202020"/>
              <w:bottom w:val="single" w:sz="8" w:color="202020"/>
            </w:tcBorders>
          </w:tcPr>
          <w:p>
            <w:pPr>
              <w:spacing w:after="0"/>
              <w:rPr>
                <w:sz w:val="18"/>
                <w:szCs w:val="18"/>
                <w:color w:val="auto"/>
              </w:rPr>
            </w:pPr>
          </w:p>
        </w:tc>
        <w:tc>
          <w:tcPr>
            <w:tcW w:w="660" w:type="dxa"/>
            <w:vAlign w:val="bottom"/>
            <w:tcBorders>
              <w:top w:val="single" w:sz="8" w:color="202020"/>
              <w:bottom w:val="single" w:sz="8" w:color="202020"/>
            </w:tcBorders>
          </w:tcPr>
          <w:p>
            <w:pPr>
              <w:spacing w:after="0"/>
              <w:rPr>
                <w:sz w:val="18"/>
                <w:szCs w:val="18"/>
                <w:color w:val="auto"/>
              </w:rPr>
            </w:pPr>
          </w:p>
        </w:tc>
        <w:tc>
          <w:tcPr>
            <w:tcW w:w="3760" w:type="dxa"/>
            <w:vAlign w:val="bottom"/>
            <w:tcBorders>
              <w:top w:val="single" w:sz="8" w:color="202020"/>
              <w:bottom w:val="single" w:sz="8" w:color="202020"/>
            </w:tcBorders>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32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20"/>
                <w:szCs w:val="20"/>
                <w:b w:val="1"/>
                <w:bCs w:val="1"/>
                <w:color w:val="202020"/>
                <w:w w:val="94"/>
              </w:rPr>
              <w:t>CHERYL L. COHEN</w:t>
            </w:r>
          </w:p>
        </w:tc>
        <w:tc>
          <w:tcPr>
            <w:tcW w:w="3080" w:type="dxa"/>
            <w:vAlign w:val="bottom"/>
            <w:tcBorders>
              <w:bottom w:val="single" w:sz="8" w:color="CCCCCC"/>
            </w:tcBorders>
            <w:gridSpan w:val="2"/>
            <w:shd w:val="clear" w:color="auto" w:fill="CCCCCC"/>
          </w:tcPr>
          <w:p>
            <w:pPr>
              <w:jc w:val="center"/>
              <w:ind w:left="388"/>
              <w:spacing w:after="0"/>
              <w:rPr>
                <w:sz w:val="20"/>
                <w:szCs w:val="20"/>
                <w:color w:val="auto"/>
              </w:rPr>
            </w:pPr>
            <w:r>
              <w:rPr>
                <w:rFonts w:ascii="Arial" w:cs="Arial" w:eastAsia="Arial" w:hAnsi="Arial"/>
                <w:sz w:val="20"/>
                <w:szCs w:val="20"/>
                <w:b w:val="1"/>
                <w:bCs w:val="1"/>
                <w:color w:val="202020"/>
                <w:w w:val="92"/>
              </w:rPr>
              <w:t>HERBERT J. CONRAD</w:t>
            </w:r>
          </w:p>
        </w:tc>
        <w:tc>
          <w:tcPr>
            <w:tcW w:w="3760" w:type="dxa"/>
            <w:vAlign w:val="bottom"/>
            <w:tcBorders>
              <w:bottom w:val="single" w:sz="8" w:color="CCCCCC"/>
            </w:tcBorders>
            <w:shd w:val="clear" w:color="auto" w:fill="CCCCCC"/>
          </w:tcPr>
          <w:p>
            <w:pPr>
              <w:jc w:val="center"/>
              <w:ind w:left="468"/>
              <w:spacing w:after="0"/>
              <w:rPr>
                <w:sz w:val="20"/>
                <w:szCs w:val="20"/>
                <w:color w:val="auto"/>
              </w:rPr>
            </w:pPr>
            <w:r>
              <w:rPr>
                <w:rFonts w:ascii="Arial" w:cs="Arial" w:eastAsia="Arial" w:hAnsi="Arial"/>
                <w:sz w:val="20"/>
                <w:szCs w:val="20"/>
                <w:b w:val="1"/>
                <w:bCs w:val="1"/>
                <w:color w:val="202020"/>
                <w:w w:val="97"/>
              </w:rPr>
              <w:t>RITA I. JAIN, M.D.</w:t>
            </w:r>
          </w:p>
        </w:tc>
        <w:tc>
          <w:tcPr>
            <w:tcW w:w="0" w:type="dxa"/>
            <w:vAlign w:val="bottom"/>
          </w:tcPr>
          <w:p>
            <w:pPr>
              <w:spacing w:after="0"/>
              <w:rPr>
                <w:sz w:val="1"/>
                <w:szCs w:val="1"/>
                <w:color w:val="auto"/>
              </w:rPr>
            </w:pPr>
          </w:p>
        </w:tc>
      </w:tr>
      <w:tr>
        <w:trPr>
          <w:trHeight w:val="261"/>
        </w:trPr>
        <w:tc>
          <w:tcPr>
            <w:tcW w:w="3280" w:type="dxa"/>
            <w:vAlign w:val="bottom"/>
            <w:tcBorders>
              <w:top w:val="single" w:sz="8" w:color="202020"/>
            </w:tcBorders>
          </w:tcPr>
          <w:p>
            <w:pPr>
              <w:jc w:val="center"/>
              <w:spacing w:after="0"/>
              <w:rPr>
                <w:sz w:val="20"/>
                <w:szCs w:val="20"/>
                <w:color w:val="auto"/>
              </w:rPr>
            </w:pPr>
            <w:r>
              <w:rPr>
                <w:rFonts w:ascii="Arial" w:cs="Arial" w:eastAsia="Arial" w:hAnsi="Arial"/>
                <w:sz w:val="18"/>
                <w:szCs w:val="18"/>
                <w:b w:val="1"/>
                <w:bCs w:val="1"/>
                <w:color w:val="202020"/>
              </w:rPr>
              <w:t>Director</w:t>
            </w:r>
          </w:p>
        </w:tc>
        <w:tc>
          <w:tcPr>
            <w:tcW w:w="3080" w:type="dxa"/>
            <w:vAlign w:val="bottom"/>
            <w:tcBorders>
              <w:top w:val="single" w:sz="8" w:color="202020"/>
            </w:tcBorders>
            <w:gridSpan w:val="2"/>
          </w:tcPr>
          <w:p>
            <w:pPr>
              <w:jc w:val="center"/>
              <w:ind w:left="388"/>
              <w:spacing w:after="0"/>
              <w:rPr>
                <w:sz w:val="20"/>
                <w:szCs w:val="20"/>
                <w:color w:val="auto"/>
              </w:rPr>
            </w:pPr>
            <w:r>
              <w:rPr>
                <w:rFonts w:ascii="Arial" w:cs="Arial" w:eastAsia="Arial" w:hAnsi="Arial"/>
                <w:sz w:val="18"/>
                <w:szCs w:val="18"/>
                <w:b w:val="1"/>
                <w:bCs w:val="1"/>
                <w:color w:val="202020"/>
              </w:rPr>
              <w:t>Director</w:t>
            </w:r>
          </w:p>
        </w:tc>
        <w:tc>
          <w:tcPr>
            <w:tcW w:w="3760" w:type="dxa"/>
            <w:vAlign w:val="bottom"/>
            <w:tcBorders>
              <w:top w:val="single" w:sz="8" w:color="202020"/>
            </w:tcBorders>
          </w:tcPr>
          <w:p>
            <w:pPr>
              <w:jc w:val="center"/>
              <w:ind w:left="448"/>
              <w:spacing w:after="0"/>
              <w:rPr>
                <w:sz w:val="20"/>
                <w:szCs w:val="20"/>
                <w:color w:val="auto"/>
              </w:rPr>
            </w:pPr>
            <w:r>
              <w:rPr>
                <w:rFonts w:ascii="Arial" w:cs="Arial" w:eastAsia="Arial" w:hAnsi="Arial"/>
                <w:sz w:val="18"/>
                <w:szCs w:val="18"/>
                <w:b w:val="1"/>
                <w:bCs w:val="1"/>
                <w:color w:val="202020"/>
              </w:rPr>
              <w:t>Director</w:t>
            </w: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3280" w:type="dxa"/>
            <w:vAlign w:val="bottom"/>
            <w:shd w:val="clear" w:color="auto" w:fill="E9E9E9"/>
          </w:tcPr>
          <w:p>
            <w:pPr>
              <w:jc w:val="center"/>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60</w:t>
            </w:r>
          </w:p>
        </w:tc>
        <w:tc>
          <w:tcPr>
            <w:tcW w:w="3080" w:type="dxa"/>
            <w:vAlign w:val="bottom"/>
            <w:gridSpan w:val="2"/>
            <w:shd w:val="clear" w:color="auto" w:fill="E9E9E9"/>
          </w:tcPr>
          <w:p>
            <w:pPr>
              <w:jc w:val="center"/>
              <w:ind w:left="38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93</w:t>
            </w:r>
          </w:p>
        </w:tc>
        <w:tc>
          <w:tcPr>
            <w:tcW w:w="3760" w:type="dxa"/>
            <w:vAlign w:val="bottom"/>
            <w:shd w:val="clear" w:color="auto" w:fill="E9E9E9"/>
          </w:tcPr>
          <w:p>
            <w:pPr>
              <w:jc w:val="center"/>
              <w:ind w:left="46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64</w:t>
            </w:r>
          </w:p>
        </w:tc>
        <w:tc>
          <w:tcPr>
            <w:tcW w:w="0" w:type="dxa"/>
            <w:vAlign w:val="bottom"/>
          </w:tcPr>
          <w:p>
            <w:pPr>
              <w:spacing w:after="0"/>
              <w:rPr>
                <w:sz w:val="1"/>
                <w:szCs w:val="1"/>
                <w:color w:val="auto"/>
              </w:rPr>
            </w:pPr>
          </w:p>
        </w:tc>
      </w:tr>
      <w:tr>
        <w:trPr>
          <w:trHeight w:val="279"/>
        </w:trPr>
        <w:tc>
          <w:tcPr>
            <w:tcW w:w="3280" w:type="dxa"/>
            <w:vAlign w:val="bottom"/>
            <w:shd w:val="clear" w:color="auto" w:fill="E9E9E9"/>
          </w:tcPr>
          <w:p>
            <w:pPr>
              <w:jc w:val="center"/>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June 2022</w:t>
            </w:r>
          </w:p>
        </w:tc>
        <w:tc>
          <w:tcPr>
            <w:tcW w:w="3080" w:type="dxa"/>
            <w:vAlign w:val="bottom"/>
            <w:gridSpan w:val="2"/>
            <w:shd w:val="clear" w:color="auto" w:fill="E9E9E9"/>
          </w:tcPr>
          <w:p>
            <w:pPr>
              <w:jc w:val="center"/>
              <w:ind w:left="408"/>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March 2008</w:t>
            </w:r>
          </w:p>
        </w:tc>
        <w:tc>
          <w:tcPr>
            <w:tcW w:w="3760" w:type="dxa"/>
            <w:vAlign w:val="bottom"/>
            <w:shd w:val="clear" w:color="auto" w:fill="E9E9E9"/>
          </w:tcPr>
          <w:p>
            <w:pPr>
              <w:jc w:val="center"/>
              <w:ind w:left="448"/>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February 2023</w:t>
            </w:r>
          </w:p>
        </w:tc>
        <w:tc>
          <w:tcPr>
            <w:tcW w:w="0" w:type="dxa"/>
            <w:vAlign w:val="bottom"/>
          </w:tcPr>
          <w:p>
            <w:pPr>
              <w:spacing w:after="0"/>
              <w:rPr>
                <w:sz w:val="1"/>
                <w:szCs w:val="1"/>
                <w:color w:val="auto"/>
              </w:rPr>
            </w:pPr>
          </w:p>
        </w:tc>
      </w:tr>
      <w:tr>
        <w:trPr>
          <w:trHeight w:val="332"/>
        </w:trPr>
        <w:tc>
          <w:tcPr>
            <w:tcW w:w="32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2</w:t>
            </w:r>
          </w:p>
        </w:tc>
        <w:tc>
          <w:tcPr>
            <w:tcW w:w="3080" w:type="dxa"/>
            <w:vAlign w:val="bottom"/>
            <w:tcBorders>
              <w:bottom w:val="single" w:sz="8" w:color="E9E9E9"/>
            </w:tcBorders>
            <w:gridSpan w:val="2"/>
            <w:shd w:val="clear" w:color="auto" w:fill="E9E9E9"/>
          </w:tcPr>
          <w:p>
            <w:pPr>
              <w:jc w:val="center"/>
              <w:ind w:left="408"/>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1</w:t>
            </w:r>
          </w:p>
        </w:tc>
        <w:tc>
          <w:tcPr>
            <w:tcW w:w="3760" w:type="dxa"/>
            <w:vAlign w:val="bottom"/>
            <w:tcBorders>
              <w:bottom w:val="single" w:sz="8" w:color="E9E9E9"/>
            </w:tcBorders>
            <w:shd w:val="clear" w:color="auto" w:fill="E9E9E9"/>
          </w:tcPr>
          <w:p>
            <w:pPr>
              <w:jc w:val="center"/>
              <w:ind w:left="448"/>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2</w:t>
            </w:r>
          </w:p>
        </w:tc>
        <w:tc>
          <w:tcPr>
            <w:tcW w:w="0" w:type="dxa"/>
            <w:vAlign w:val="bottom"/>
          </w:tcPr>
          <w:p>
            <w:pPr>
              <w:spacing w:after="0"/>
              <w:rPr>
                <w:sz w:val="1"/>
                <w:szCs w:val="1"/>
                <w:color w:val="auto"/>
              </w:rPr>
            </w:pPr>
          </w:p>
        </w:tc>
      </w:tr>
      <w:tr>
        <w:trPr>
          <w:trHeight w:val="209"/>
        </w:trPr>
        <w:tc>
          <w:tcPr>
            <w:tcW w:w="3280" w:type="dxa"/>
            <w:vAlign w:val="bottom"/>
            <w:tcBorders>
              <w:top w:val="single" w:sz="8" w:color="202020"/>
              <w:bottom w:val="single" w:sz="8" w:color="202020"/>
            </w:tcBorders>
          </w:tcPr>
          <w:p>
            <w:pPr>
              <w:spacing w:after="0"/>
              <w:rPr>
                <w:sz w:val="18"/>
                <w:szCs w:val="18"/>
                <w:color w:val="auto"/>
              </w:rPr>
            </w:pPr>
          </w:p>
        </w:tc>
        <w:tc>
          <w:tcPr>
            <w:tcW w:w="2420" w:type="dxa"/>
            <w:vAlign w:val="bottom"/>
            <w:tcBorders>
              <w:top w:val="single" w:sz="8" w:color="202020"/>
              <w:bottom w:val="single" w:sz="8" w:color="202020"/>
            </w:tcBorders>
          </w:tcPr>
          <w:p>
            <w:pPr>
              <w:spacing w:after="0"/>
              <w:rPr>
                <w:sz w:val="18"/>
                <w:szCs w:val="18"/>
                <w:color w:val="auto"/>
              </w:rPr>
            </w:pPr>
          </w:p>
        </w:tc>
        <w:tc>
          <w:tcPr>
            <w:tcW w:w="660" w:type="dxa"/>
            <w:vAlign w:val="bottom"/>
            <w:tcBorders>
              <w:top w:val="single" w:sz="8" w:color="202020"/>
              <w:bottom w:val="single" w:sz="8" w:color="202020"/>
            </w:tcBorders>
          </w:tcPr>
          <w:p>
            <w:pPr>
              <w:spacing w:after="0"/>
              <w:rPr>
                <w:sz w:val="18"/>
                <w:szCs w:val="18"/>
                <w:color w:val="auto"/>
              </w:rPr>
            </w:pPr>
          </w:p>
        </w:tc>
        <w:tc>
          <w:tcPr>
            <w:tcW w:w="3760" w:type="dxa"/>
            <w:vAlign w:val="bottom"/>
            <w:tcBorders>
              <w:top w:val="single" w:sz="8" w:color="202020"/>
              <w:bottom w:val="single" w:sz="8" w:color="202020"/>
            </w:tcBorders>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32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20"/>
                <w:szCs w:val="20"/>
                <w:b w:val="1"/>
                <w:bCs w:val="1"/>
                <w:color w:val="202020"/>
                <w:w w:val="94"/>
              </w:rPr>
              <w:t>JAMES J. MARINO</w:t>
            </w:r>
          </w:p>
        </w:tc>
        <w:tc>
          <w:tcPr>
            <w:tcW w:w="3080" w:type="dxa"/>
            <w:vAlign w:val="bottom"/>
            <w:tcBorders>
              <w:bottom w:val="single" w:sz="8" w:color="CCCCCC"/>
            </w:tcBorders>
            <w:gridSpan w:val="2"/>
            <w:shd w:val="clear" w:color="auto" w:fill="CCCCCC"/>
          </w:tcPr>
          <w:p>
            <w:pPr>
              <w:jc w:val="center"/>
              <w:ind w:left="388"/>
              <w:spacing w:after="0"/>
              <w:rPr>
                <w:sz w:val="20"/>
                <w:szCs w:val="20"/>
                <w:color w:val="auto"/>
              </w:rPr>
            </w:pPr>
            <w:r>
              <w:rPr>
                <w:rFonts w:ascii="Arial" w:cs="Arial" w:eastAsia="Arial" w:hAnsi="Arial"/>
                <w:sz w:val="20"/>
                <w:szCs w:val="20"/>
                <w:b w:val="1"/>
                <w:bCs w:val="1"/>
                <w:color w:val="202020"/>
                <w:w w:val="96"/>
              </w:rPr>
              <w:t>GARRY A. NEIL, M.D.</w:t>
            </w:r>
          </w:p>
        </w:tc>
        <w:tc>
          <w:tcPr>
            <w:tcW w:w="3760" w:type="dxa"/>
            <w:vAlign w:val="bottom"/>
            <w:tcBorders>
              <w:bottom w:val="single" w:sz="8" w:color="CCCCCC"/>
            </w:tcBorders>
            <w:shd w:val="clear" w:color="auto" w:fill="CCCCCC"/>
          </w:tcPr>
          <w:p>
            <w:pPr>
              <w:jc w:val="center"/>
              <w:ind w:left="448"/>
              <w:spacing w:after="0"/>
              <w:rPr>
                <w:sz w:val="20"/>
                <w:szCs w:val="20"/>
                <w:color w:val="auto"/>
              </w:rPr>
            </w:pPr>
            <w:r>
              <w:rPr>
                <w:rFonts w:ascii="Arial" w:cs="Arial" w:eastAsia="Arial" w:hAnsi="Arial"/>
                <w:sz w:val="20"/>
                <w:szCs w:val="20"/>
                <w:b w:val="1"/>
                <w:bCs w:val="1"/>
                <w:color w:val="202020"/>
                <w:w w:val="93"/>
              </w:rPr>
              <w:t>DENICE TORRES</w:t>
            </w:r>
          </w:p>
        </w:tc>
        <w:tc>
          <w:tcPr>
            <w:tcW w:w="0" w:type="dxa"/>
            <w:vAlign w:val="bottom"/>
          </w:tcPr>
          <w:p>
            <w:pPr>
              <w:spacing w:after="0"/>
              <w:rPr>
                <w:sz w:val="1"/>
                <w:szCs w:val="1"/>
                <w:color w:val="auto"/>
              </w:rPr>
            </w:pPr>
          </w:p>
        </w:tc>
      </w:tr>
      <w:tr>
        <w:trPr>
          <w:trHeight w:val="261"/>
        </w:trPr>
        <w:tc>
          <w:tcPr>
            <w:tcW w:w="3280" w:type="dxa"/>
            <w:vAlign w:val="bottom"/>
            <w:tcBorders>
              <w:top w:val="single" w:sz="8" w:color="202020"/>
            </w:tcBorders>
          </w:tcPr>
          <w:p>
            <w:pPr>
              <w:jc w:val="center"/>
              <w:spacing w:after="0"/>
              <w:rPr>
                <w:sz w:val="20"/>
                <w:szCs w:val="20"/>
                <w:color w:val="auto"/>
              </w:rPr>
            </w:pPr>
            <w:r>
              <w:rPr>
                <w:rFonts w:ascii="Arial" w:cs="Arial" w:eastAsia="Arial" w:hAnsi="Arial"/>
                <w:sz w:val="18"/>
                <w:szCs w:val="18"/>
                <w:b w:val="1"/>
                <w:bCs w:val="1"/>
                <w:color w:val="202020"/>
              </w:rPr>
              <w:t>Director</w:t>
            </w:r>
          </w:p>
        </w:tc>
        <w:tc>
          <w:tcPr>
            <w:tcW w:w="3080" w:type="dxa"/>
            <w:vAlign w:val="bottom"/>
            <w:tcBorders>
              <w:top w:val="single" w:sz="8" w:color="202020"/>
            </w:tcBorders>
            <w:gridSpan w:val="2"/>
          </w:tcPr>
          <w:p>
            <w:pPr>
              <w:jc w:val="center"/>
              <w:ind w:left="388"/>
              <w:spacing w:after="0"/>
              <w:rPr>
                <w:sz w:val="20"/>
                <w:szCs w:val="20"/>
                <w:color w:val="auto"/>
              </w:rPr>
            </w:pPr>
            <w:r>
              <w:rPr>
                <w:rFonts w:ascii="Arial" w:cs="Arial" w:eastAsia="Arial" w:hAnsi="Arial"/>
                <w:sz w:val="18"/>
                <w:szCs w:val="18"/>
                <w:b w:val="1"/>
                <w:bCs w:val="1"/>
                <w:color w:val="202020"/>
              </w:rPr>
              <w:t>Director</w:t>
            </w:r>
          </w:p>
        </w:tc>
        <w:tc>
          <w:tcPr>
            <w:tcW w:w="3760" w:type="dxa"/>
            <w:vAlign w:val="bottom"/>
            <w:tcBorders>
              <w:top w:val="single" w:sz="8" w:color="202020"/>
            </w:tcBorders>
          </w:tcPr>
          <w:p>
            <w:pPr>
              <w:jc w:val="center"/>
              <w:ind w:left="448"/>
              <w:spacing w:after="0"/>
              <w:rPr>
                <w:sz w:val="20"/>
                <w:szCs w:val="20"/>
                <w:color w:val="auto"/>
              </w:rPr>
            </w:pPr>
            <w:r>
              <w:rPr>
                <w:rFonts w:ascii="Arial" w:cs="Arial" w:eastAsia="Arial" w:hAnsi="Arial"/>
                <w:sz w:val="18"/>
                <w:szCs w:val="18"/>
                <w:b w:val="1"/>
                <w:bCs w:val="1"/>
                <w:color w:val="202020"/>
              </w:rPr>
              <w:t>Director</w:t>
            </w:r>
          </w:p>
        </w:tc>
        <w:tc>
          <w:tcPr>
            <w:tcW w:w="0" w:type="dxa"/>
            <w:vAlign w:val="bottom"/>
          </w:tcPr>
          <w:p>
            <w:pPr>
              <w:spacing w:after="0"/>
              <w:rPr>
                <w:sz w:val="1"/>
                <w:szCs w:val="1"/>
                <w:color w:val="auto"/>
              </w:rPr>
            </w:pPr>
          </w:p>
        </w:tc>
      </w:tr>
      <w:tr>
        <w:trPr>
          <w:trHeight w:val="48"/>
        </w:trPr>
        <w:tc>
          <w:tcPr>
            <w:tcW w:w="3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3280" w:type="dxa"/>
            <w:vAlign w:val="bottom"/>
            <w:shd w:val="clear" w:color="auto" w:fill="E9E9E9"/>
          </w:tcPr>
          <w:p>
            <w:pPr>
              <w:jc w:val="center"/>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76</w:t>
            </w:r>
          </w:p>
        </w:tc>
        <w:tc>
          <w:tcPr>
            <w:tcW w:w="3080" w:type="dxa"/>
            <w:vAlign w:val="bottom"/>
            <w:gridSpan w:val="2"/>
            <w:shd w:val="clear" w:color="auto" w:fill="E9E9E9"/>
          </w:tcPr>
          <w:p>
            <w:pPr>
              <w:jc w:val="center"/>
              <w:ind w:left="38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72</w:t>
            </w:r>
          </w:p>
        </w:tc>
        <w:tc>
          <w:tcPr>
            <w:tcW w:w="3760" w:type="dxa"/>
            <w:vAlign w:val="bottom"/>
            <w:shd w:val="clear" w:color="auto" w:fill="E9E9E9"/>
          </w:tcPr>
          <w:p>
            <w:pPr>
              <w:jc w:val="center"/>
              <w:ind w:left="46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66</w:t>
            </w:r>
          </w:p>
        </w:tc>
        <w:tc>
          <w:tcPr>
            <w:tcW w:w="0" w:type="dxa"/>
            <w:vAlign w:val="bottom"/>
          </w:tcPr>
          <w:p>
            <w:pPr>
              <w:spacing w:after="0"/>
              <w:rPr>
                <w:sz w:val="1"/>
                <w:szCs w:val="1"/>
                <w:color w:val="auto"/>
              </w:rPr>
            </w:pPr>
          </w:p>
        </w:tc>
      </w:tr>
      <w:tr>
        <w:trPr>
          <w:trHeight w:val="279"/>
        </w:trPr>
        <w:tc>
          <w:tcPr>
            <w:tcW w:w="3280" w:type="dxa"/>
            <w:vAlign w:val="bottom"/>
            <w:shd w:val="clear" w:color="auto" w:fill="E9E9E9"/>
          </w:tcPr>
          <w:p>
            <w:pPr>
              <w:jc w:val="center"/>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March 2017</w:t>
            </w:r>
          </w:p>
        </w:tc>
        <w:tc>
          <w:tcPr>
            <w:tcW w:w="3080" w:type="dxa"/>
            <w:vAlign w:val="bottom"/>
            <w:gridSpan w:val="2"/>
            <w:shd w:val="clear" w:color="auto" w:fill="E9E9E9"/>
          </w:tcPr>
          <w:p>
            <w:pPr>
              <w:jc w:val="center"/>
              <w:ind w:left="388"/>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June 2022</w:t>
            </w:r>
          </w:p>
        </w:tc>
        <w:tc>
          <w:tcPr>
            <w:tcW w:w="3760" w:type="dxa"/>
            <w:vAlign w:val="bottom"/>
            <w:shd w:val="clear" w:color="auto" w:fill="E9E9E9"/>
          </w:tcPr>
          <w:p>
            <w:pPr>
              <w:jc w:val="center"/>
              <w:ind w:left="448"/>
              <w:spacing w:after="0"/>
              <w:rPr>
                <w:sz w:val="20"/>
                <w:szCs w:val="20"/>
                <w:color w:val="auto"/>
              </w:rPr>
            </w:pPr>
            <w:r>
              <w:rPr>
                <w:rFonts w:ascii="Arial" w:cs="Arial" w:eastAsia="Arial" w:hAnsi="Arial"/>
                <w:sz w:val="18"/>
                <w:szCs w:val="18"/>
                <w:color w:val="202020"/>
              </w:rPr>
              <w:t xml:space="preserve">Director since </w:t>
            </w:r>
            <w:r>
              <w:rPr>
                <w:rFonts w:ascii="Arial" w:cs="Arial" w:eastAsia="Arial" w:hAnsi="Arial"/>
                <w:sz w:val="18"/>
                <w:szCs w:val="18"/>
                <w:b w:val="1"/>
                <w:bCs w:val="1"/>
                <w:color w:val="202020"/>
              </w:rPr>
              <w:t>June 2025</w:t>
            </w:r>
          </w:p>
        </w:tc>
        <w:tc>
          <w:tcPr>
            <w:tcW w:w="0" w:type="dxa"/>
            <w:vAlign w:val="bottom"/>
          </w:tcPr>
          <w:p>
            <w:pPr>
              <w:spacing w:after="0"/>
              <w:rPr>
                <w:sz w:val="1"/>
                <w:szCs w:val="1"/>
                <w:color w:val="auto"/>
              </w:rPr>
            </w:pPr>
          </w:p>
        </w:tc>
      </w:tr>
      <w:tr>
        <w:trPr>
          <w:trHeight w:val="307"/>
        </w:trPr>
        <w:tc>
          <w:tcPr>
            <w:tcW w:w="32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1</w:t>
            </w:r>
          </w:p>
        </w:tc>
        <w:tc>
          <w:tcPr>
            <w:tcW w:w="3080" w:type="dxa"/>
            <w:vAlign w:val="bottom"/>
            <w:tcBorders>
              <w:bottom w:val="single" w:sz="8" w:color="E9E9E9"/>
            </w:tcBorders>
            <w:gridSpan w:val="2"/>
            <w:shd w:val="clear" w:color="auto" w:fill="E9E9E9"/>
          </w:tcPr>
          <w:p>
            <w:pPr>
              <w:jc w:val="center"/>
              <w:ind w:left="408"/>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2</w:t>
            </w:r>
          </w:p>
        </w:tc>
        <w:tc>
          <w:tcPr>
            <w:tcW w:w="3760" w:type="dxa"/>
            <w:vAlign w:val="bottom"/>
            <w:tcBorders>
              <w:bottom w:val="single" w:sz="8" w:color="E9E9E9"/>
            </w:tcBorders>
            <w:shd w:val="clear" w:color="auto" w:fill="E9E9E9"/>
          </w:tcPr>
          <w:p>
            <w:pPr>
              <w:jc w:val="center"/>
              <w:ind w:left="448"/>
              <w:spacing w:after="0"/>
              <w:rPr>
                <w:sz w:val="20"/>
                <w:szCs w:val="20"/>
                <w:color w:val="auto"/>
              </w:rPr>
            </w:pPr>
            <w:r>
              <w:rPr>
                <w:rFonts w:ascii="Arial" w:cs="Arial" w:eastAsia="Arial" w:hAnsi="Arial"/>
                <w:sz w:val="18"/>
                <w:szCs w:val="18"/>
                <w:color w:val="202020"/>
              </w:rPr>
              <w:t xml:space="preserve">Public Boards: </w:t>
            </w:r>
            <w:r>
              <w:rPr>
                <w:rFonts w:ascii="Arial" w:cs="Arial" w:eastAsia="Arial" w:hAnsi="Arial"/>
                <w:sz w:val="18"/>
                <w:szCs w:val="18"/>
                <w:b w:val="1"/>
                <w:bCs w:val="1"/>
                <w:color w:val="202020"/>
              </w:rPr>
              <w:t>2</w:t>
            </w:r>
          </w:p>
        </w:tc>
        <w:tc>
          <w:tcPr>
            <w:tcW w:w="0" w:type="dxa"/>
            <w:vAlign w:val="bottom"/>
          </w:tcPr>
          <w:p>
            <w:pPr>
              <w:spacing w:after="0"/>
              <w:rPr>
                <w:sz w:val="1"/>
                <w:szCs w:val="1"/>
                <w:color w:val="auto"/>
              </w:rPr>
            </w:pPr>
          </w:p>
        </w:tc>
      </w:tr>
      <w:tr>
        <w:trPr>
          <w:trHeight w:val="20"/>
        </w:trPr>
        <w:tc>
          <w:tcPr>
            <w:tcW w:w="3280" w:type="dxa"/>
            <w:vAlign w:val="bottom"/>
            <w:shd w:val="clear" w:color="auto" w:fill="202020"/>
          </w:tcPr>
          <w:p>
            <w:pPr>
              <w:spacing w:after="0" w:line="20" w:lineRule="exact"/>
              <w:rPr>
                <w:sz w:val="1"/>
                <w:szCs w:val="1"/>
                <w:color w:val="auto"/>
              </w:rPr>
            </w:pPr>
          </w:p>
        </w:tc>
        <w:tc>
          <w:tcPr>
            <w:tcW w:w="2420" w:type="dxa"/>
            <w:vAlign w:val="bottom"/>
            <w:shd w:val="clear" w:color="auto" w:fill="202020"/>
          </w:tcPr>
          <w:p>
            <w:pPr>
              <w:spacing w:after="0" w:line="20" w:lineRule="exact"/>
              <w:rPr>
                <w:sz w:val="1"/>
                <w:szCs w:val="1"/>
                <w:color w:val="auto"/>
              </w:rPr>
            </w:pPr>
          </w:p>
        </w:tc>
        <w:tc>
          <w:tcPr>
            <w:tcW w:w="660" w:type="dxa"/>
            <w:vAlign w:val="bottom"/>
            <w:shd w:val="clear" w:color="auto" w:fill="202020"/>
          </w:tcPr>
          <w:p>
            <w:pPr>
              <w:spacing w:after="0" w:line="20" w:lineRule="exact"/>
              <w:rPr>
                <w:sz w:val="1"/>
                <w:szCs w:val="1"/>
                <w:color w:val="auto"/>
              </w:rPr>
            </w:pPr>
          </w:p>
        </w:tc>
        <w:tc>
          <w:tcPr>
            <w:tcW w:w="376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-3852545</wp:posOffset>
            </wp:positionV>
            <wp:extent cx="2534285" cy="385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extLst>
                    </a:blip>
                    <a:srcRect/>
                    <a:stretch>
                      <a:fillRect/>
                    </a:stretch>
                  </pic:blipFill>
                  <pic:spPr bwMode="auto">
                    <a:xfrm>
                      <a:off x="0" y="0"/>
                      <a:ext cx="2534285" cy="3853180"/>
                    </a:xfrm>
                    <a:prstGeom prst="rect">
                      <a:avLst/>
                    </a:prstGeom>
                    <a:noFill/>
                  </pic:spPr>
                </pic:pic>
              </a:graphicData>
            </a:graphic>
          </wp:anchor>
        </w:drawing>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980"/>
        <w:spacing w:after="0"/>
        <w:tabs>
          <w:tab w:leader="none" w:pos="9860" w:val="left"/>
        </w:tabs>
        <w:rPr>
          <w:sz w:val="20"/>
          <w:szCs w:val="20"/>
          <w:color w:val="auto"/>
        </w:rPr>
      </w:pPr>
      <w:r>
        <w:rPr>
          <w:rFonts w:ascii="Arial" w:cs="Arial" w:eastAsia="Arial" w:hAnsi="Arial"/>
          <w:sz w:val="18"/>
          <w:szCs w:val="18"/>
          <w:color w:val="202020"/>
        </w:rPr>
        <w:t>Celldex Therapeutics</w:t>
        <w:tab/>
        <w:t>| 7</w:t>
      </w:r>
    </w:p>
    <w:p>
      <w:pPr>
        <w:sectPr>
          <w:pgSz w:w="11880" w:h="15480" w:orient="portrait"/>
          <w:cols w:equalWidth="0" w:num="1">
            <w:col w:w="10120"/>
          </w:cols>
          <w:pgMar w:left="880" w:top="544" w:right="880" w:bottom="96"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202020"/>
        </w:rPr>
        <w:t>Proposal 1: Election of Directors</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color w:val="202020"/>
        </w:rPr>
        <w:t>The following biographical descriptions set forth certain information with respect to the Director Nominees, based on information furnished to Celldex by each Director Nominee. Public company boards that nominees have served since 2021 are noted with*.</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Director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159385</wp:posOffset>
                </wp:positionV>
                <wp:extent cx="0" cy="345948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59480"/>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12.55pt" to="167.65pt,284.95pt" o:allowincell="f" strokecolor="#FFFFFF" strokeweight="14.9669pt"/>
            </w:pict>
          </mc:Fallback>
        </mc:AlternateConten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4"/>
              </w:rPr>
              <w:t>HARRY H. PENNER, JR., 80</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Chair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AVANT</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and Chairman from January 1997</w:t>
            </w:r>
          </w:p>
        </w:tc>
        <w:tc>
          <w:tcPr>
            <w:tcW w:w="0" w:type="dxa"/>
            <w:vAlign w:val="bottom"/>
          </w:tcPr>
          <w:p>
            <w:pPr>
              <w:spacing w:after="0"/>
              <w:rPr>
                <w:sz w:val="1"/>
                <w:szCs w:val="1"/>
                <w:color w:val="auto"/>
              </w:rPr>
            </w:pPr>
          </w:p>
        </w:tc>
      </w:tr>
      <w:tr>
        <w:trPr>
          <w:trHeight w:val="200"/>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rPr>
              <w:t>since January 1997</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prior to the consummation of our merger</w:t>
            </w:r>
          </w:p>
        </w:tc>
        <w:tc>
          <w:tcPr>
            <w:tcW w:w="0" w:type="dxa"/>
            <w:vAlign w:val="bottom"/>
          </w:tcPr>
          <w:p>
            <w:pPr>
              <w:spacing w:after="0"/>
              <w:rPr>
                <w:sz w:val="1"/>
                <w:szCs w:val="1"/>
                <w:color w:val="auto"/>
              </w:rPr>
            </w:pPr>
          </w:p>
        </w:tc>
      </w:tr>
      <w:tr>
        <w:trPr>
          <w:trHeight w:val="157"/>
        </w:trPr>
        <w:tc>
          <w:tcPr>
            <w:tcW w:w="3360" w:type="dxa"/>
            <w:vAlign w:val="bottom"/>
            <w:vMerge w:val="continue"/>
            <w:shd w:val="clear" w:color="auto" w:fill="E9E9E9"/>
          </w:tcPr>
          <w:p>
            <w:pPr>
              <w:spacing w:after="0"/>
              <w:rPr>
                <w:sz w:val="13"/>
                <w:szCs w:val="13"/>
                <w:color w:val="auto"/>
              </w:rPr>
            </w:pPr>
          </w:p>
        </w:tc>
        <w:tc>
          <w:tcPr>
            <w:tcW w:w="3220" w:type="dxa"/>
            <w:vAlign w:val="bottom"/>
            <w:shd w:val="clear" w:color="auto" w:fill="E9E9E9"/>
          </w:tcPr>
          <w:p>
            <w:pPr>
              <w:spacing w:after="0"/>
              <w:rPr>
                <w:sz w:val="13"/>
                <w:szCs w:val="13"/>
                <w:color w:val="auto"/>
              </w:rPr>
            </w:pP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with AVANT</w:t>
            </w:r>
          </w:p>
        </w:tc>
        <w:tc>
          <w:tcPr>
            <w:tcW w:w="0" w:type="dxa"/>
            <w:vAlign w:val="bottom"/>
          </w:tcPr>
          <w:p>
            <w:pPr>
              <w:spacing w:after="0"/>
              <w:rPr>
                <w:sz w:val="1"/>
                <w:szCs w:val="1"/>
                <w:color w:val="auto"/>
              </w:rPr>
            </w:pPr>
          </w:p>
        </w:tc>
      </w:tr>
      <w:tr>
        <w:trPr>
          <w:trHeight w:val="60"/>
        </w:trPr>
        <w:tc>
          <w:tcPr>
            <w:tcW w:w="3360" w:type="dxa"/>
            <w:vAlign w:val="bottom"/>
            <w:shd w:val="clear" w:color="auto" w:fill="E9E9E9"/>
          </w:tcPr>
          <w:p>
            <w:pPr>
              <w:spacing w:after="0"/>
              <w:rPr>
                <w:sz w:val="5"/>
                <w:szCs w:val="5"/>
                <w:color w:val="auto"/>
              </w:rPr>
            </w:pPr>
          </w:p>
        </w:tc>
        <w:tc>
          <w:tcPr>
            <w:tcW w:w="3220" w:type="dxa"/>
            <w:vAlign w:val="bottom"/>
            <w:shd w:val="clear" w:color="auto" w:fill="E9E9E9"/>
          </w:tcPr>
          <w:p>
            <w:pPr>
              <w:spacing w:after="0"/>
              <w:rPr>
                <w:sz w:val="5"/>
                <w:szCs w:val="5"/>
                <w:color w:val="auto"/>
              </w:rPr>
            </w:pP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Nascent BioScience, LLC</w:t>
            </w:r>
          </w:p>
        </w:tc>
        <w:tc>
          <w:tcPr>
            <w:tcW w:w="3540" w:type="dxa"/>
            <w:vAlign w:val="bottom"/>
          </w:tcPr>
          <w:p>
            <w:pPr>
              <w:ind w:left="220"/>
              <w:spacing w:after="0"/>
              <w:rPr>
                <w:sz w:val="20"/>
                <w:szCs w:val="20"/>
                <w:color w:val="auto"/>
              </w:rPr>
            </w:pPr>
            <w:r>
              <w:rPr>
                <w:rFonts w:ascii="Arial" w:cs="Arial" w:eastAsia="Arial" w:hAnsi="Arial"/>
                <w:sz w:val="16"/>
                <w:szCs w:val="16"/>
                <w:color w:val="202020"/>
              </w:rPr>
              <w:t>Served as Chairman and Chief Executive</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1</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Officer from 2001 to June 2023</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Neurogen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Chief Executive Officer and Vice</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None</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Chairman from 1993 to 2001</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Novo Nordisk A/S</w:t>
            </w:r>
          </w:p>
        </w:tc>
        <w:tc>
          <w:tcPr>
            <w:tcW w:w="3540" w:type="dxa"/>
            <w:vAlign w:val="bottom"/>
          </w:tcPr>
          <w:p>
            <w:pPr>
              <w:ind w:left="220"/>
              <w:spacing w:after="0"/>
              <w:rPr>
                <w:sz w:val="20"/>
                <w:szCs w:val="20"/>
                <w:color w:val="auto"/>
              </w:rPr>
            </w:pPr>
            <w:r>
              <w:rPr>
                <w:rFonts w:ascii="Arial" w:cs="Arial" w:eastAsia="Arial" w:hAnsi="Arial"/>
                <w:sz w:val="16"/>
                <w:szCs w:val="16"/>
                <w:color w:val="202020"/>
              </w:rPr>
              <w:t>Executive Vice President and General</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B.A. from the University of Virginia, a J.D.</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Counsel in Denmark from 1985 to 1988</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from Fordham University, and an L.L.M. in</w:t>
            </w:r>
          </w:p>
        </w:tc>
        <w:tc>
          <w:tcPr>
            <w:tcW w:w="3220" w:type="dxa"/>
            <w:vAlign w:val="bottom"/>
            <w:shd w:val="clear" w:color="auto" w:fill="E9E9E9"/>
          </w:tcPr>
          <w:p>
            <w:pPr>
              <w:spacing w:after="0"/>
              <w:rPr>
                <w:sz w:val="17"/>
                <w:szCs w:val="17"/>
                <w:color w:val="auto"/>
              </w:rPr>
            </w:pP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Executive Vice President for North America</w:t>
            </w:r>
          </w:p>
        </w:tc>
        <w:tc>
          <w:tcPr>
            <w:tcW w:w="0" w:type="dxa"/>
            <w:vAlign w:val="bottom"/>
          </w:tcPr>
          <w:p>
            <w:pPr>
              <w:spacing w:after="0"/>
              <w:rPr>
                <w:sz w:val="1"/>
                <w:szCs w:val="1"/>
                <w:color w:val="auto"/>
              </w:rPr>
            </w:pPr>
          </w:p>
        </w:tc>
      </w:tr>
      <w:tr>
        <w:trPr>
          <w:trHeight w:val="120"/>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International Law from New York</w:t>
            </w: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3220" w:type="dxa"/>
            <w:vAlign w:val="bottom"/>
            <w:shd w:val="clear" w:color="auto" w:fill="E9E9E9"/>
          </w:tcPr>
          <w:p>
            <w:pPr>
              <w:spacing w:after="0"/>
              <w:rPr>
                <w:sz w:val="6"/>
                <w:szCs w:val="6"/>
                <w:color w:val="auto"/>
              </w:rPr>
            </w:pP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from 1988 to 1993</w:t>
            </w:r>
          </w:p>
        </w:tc>
        <w:tc>
          <w:tcPr>
            <w:tcW w:w="0" w:type="dxa"/>
            <w:vAlign w:val="bottom"/>
          </w:tcPr>
          <w:p>
            <w:pPr>
              <w:spacing w:after="0"/>
              <w:rPr>
                <w:sz w:val="1"/>
                <w:szCs w:val="1"/>
                <w:color w:val="auto"/>
              </w:rPr>
            </w:pPr>
          </w:p>
        </w:tc>
      </w:tr>
      <w:tr>
        <w:trPr>
          <w:trHeight w:val="137"/>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University</w:t>
            </w:r>
          </w:p>
        </w:tc>
        <w:tc>
          <w:tcPr>
            <w:tcW w:w="3220" w:type="dxa"/>
            <w:vAlign w:val="bottom"/>
            <w:shd w:val="clear" w:color="auto" w:fill="E9E9E9"/>
          </w:tcPr>
          <w:p>
            <w:pPr>
              <w:spacing w:after="0"/>
              <w:rPr>
                <w:sz w:val="11"/>
                <w:szCs w:val="11"/>
                <w:color w:val="auto"/>
              </w:rPr>
            </w:pPr>
          </w:p>
        </w:tc>
        <w:tc>
          <w:tcPr>
            <w:tcW w:w="3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3220" w:type="dxa"/>
            <w:vAlign w:val="bottom"/>
            <w:shd w:val="clear" w:color="auto" w:fill="E9E9E9"/>
          </w:tcPr>
          <w:p>
            <w:pPr>
              <w:spacing w:after="0"/>
              <w:rPr>
                <w:sz w:val="6"/>
                <w:szCs w:val="6"/>
                <w:color w:val="auto"/>
              </w:rPr>
            </w:pPr>
          </w:p>
        </w:tc>
        <w:tc>
          <w:tcPr>
            <w:tcW w:w="3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BioCT</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Chair</w:t>
            </w: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Former BioScience Advisor to the Governor</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and the State of Connecticut</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Connecticut Technology Council</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Chair</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Connecticut Board of Governors of</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Chair</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Higher Education</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360" w:type="dxa"/>
            <w:vAlign w:val="bottom"/>
          </w:tcPr>
          <w:p>
            <w:pPr>
              <w:spacing w:after="0"/>
              <w:rPr>
                <w:sz w:val="23"/>
                <w:szCs w:val="23"/>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NeuroCyte Therapeutics,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Currently Chair</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100965</wp:posOffset>
                </wp:positionV>
                <wp:extent cx="0" cy="219265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9265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7.95pt" to="167.65pt,180.6pt" o:allowincell="f" strokecolor="#FFFFFF" strokeweight="14.9669pt"/>
            </w:pict>
          </mc:Fallback>
        </mc:AlternateConten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7"/>
              </w:rPr>
              <w:t>ANTHONY S. MARUCCI, 64</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b w:val="1"/>
                <w:bCs w:val="1"/>
                <w:color w:val="202020"/>
              </w:rPr>
              <w:t>Founder, President and CEO</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Vice President, Chief Financial</w:t>
            </w:r>
          </w:p>
        </w:tc>
        <w:tc>
          <w:tcPr>
            <w:tcW w:w="0" w:type="dxa"/>
            <w:vAlign w:val="bottom"/>
          </w:tcPr>
          <w:p>
            <w:pPr>
              <w:spacing w:after="0"/>
              <w:rPr>
                <w:sz w:val="1"/>
                <w:szCs w:val="1"/>
                <w:color w:val="auto"/>
              </w:rPr>
            </w:pPr>
          </w:p>
        </w:tc>
      </w:tr>
      <w:tr>
        <w:trPr>
          <w:trHeight w:val="217"/>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rPr>
              <w:t>Since September 2008</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Officer, Treasurer and Secretary</w:t>
            </w:r>
          </w:p>
        </w:tc>
        <w:tc>
          <w:tcPr>
            <w:tcW w:w="0" w:type="dxa"/>
            <w:vAlign w:val="bottom"/>
          </w:tcPr>
          <w:p>
            <w:pPr>
              <w:spacing w:after="0"/>
              <w:rPr>
                <w:sz w:val="1"/>
                <w:szCs w:val="1"/>
                <w:color w:val="auto"/>
              </w:rPr>
            </w:pPr>
          </w:p>
        </w:tc>
      </w:tr>
      <w:tr>
        <w:trPr>
          <w:trHeight w:val="103"/>
        </w:trPr>
        <w:tc>
          <w:tcPr>
            <w:tcW w:w="3360" w:type="dxa"/>
            <w:vAlign w:val="bottom"/>
            <w:vMerge w:val="continue"/>
            <w:shd w:val="clear" w:color="auto" w:fill="E9E9E9"/>
          </w:tcPr>
          <w:p>
            <w:pPr>
              <w:spacing w:after="0"/>
              <w:rPr>
                <w:sz w:val="8"/>
                <w:szCs w:val="8"/>
                <w:color w:val="auto"/>
              </w:rPr>
            </w:pPr>
          </w:p>
        </w:tc>
        <w:tc>
          <w:tcPr>
            <w:tcW w:w="3220" w:type="dxa"/>
            <w:vAlign w:val="bottom"/>
            <w:shd w:val="clear" w:color="auto" w:fill="E9E9E9"/>
          </w:tcPr>
          <w:p>
            <w:pPr>
              <w:spacing w:after="0"/>
              <w:rPr>
                <w:sz w:val="8"/>
                <w:szCs w:val="8"/>
                <w:color w:val="auto"/>
              </w:rPr>
            </w:pPr>
          </w:p>
        </w:tc>
        <w:tc>
          <w:tcPr>
            <w:tcW w:w="3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rPr>
              <w:t>(Director since December 2008)</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Medarex</w:t>
            </w:r>
          </w:p>
        </w:tc>
        <w:tc>
          <w:tcPr>
            <w:tcW w:w="3540" w:type="dxa"/>
            <w:vAlign w:val="bottom"/>
          </w:tcPr>
          <w:p>
            <w:pPr>
              <w:ind w:left="220"/>
              <w:spacing w:after="0"/>
              <w:rPr>
                <w:sz w:val="20"/>
                <w:szCs w:val="20"/>
                <w:color w:val="auto"/>
              </w:rPr>
            </w:pPr>
            <w:r>
              <w:rPr>
                <w:rFonts w:ascii="Arial" w:cs="Arial" w:eastAsia="Arial" w:hAnsi="Arial"/>
                <w:sz w:val="16"/>
                <w:szCs w:val="16"/>
                <w:color w:val="202020"/>
              </w:rPr>
              <w:t>Treasurer (now a part of Bristol-Myers</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1</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Squibb Co.) from December 1998 to March</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2004 and senior financial positions from</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December 1998 to March 2003</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Genenta Science S.p.A.*</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May 2021 to April</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None</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2024</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BioNJ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Trustees</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M.B.A. from Columbia University and</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6"/>
                <w:szCs w:val="16"/>
                <w:color w:val="202020"/>
              </w:rPr>
              <w:t>M.H.L. from Brown University</w:t>
            </w:r>
          </w:p>
        </w:tc>
        <w:tc>
          <w:tcPr>
            <w:tcW w:w="3220" w:type="dxa"/>
            <w:vAlign w:val="bottom"/>
            <w:tcBorders>
              <w:bottom w:val="single" w:sz="8" w:color="E9E9E9"/>
            </w:tcBorders>
            <w:shd w:val="clear" w:color="auto" w:fill="E9E9E9"/>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20"/>
          </w:cols>
          <w:pgMar w:left="880" w:top="545"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202020"/>
        </w:rPr>
        <w:t>8 |</w:t>
        <w:tab/>
        <w:t>Celldex Therapeutics</w:t>
      </w:r>
    </w:p>
    <w:p>
      <w:pPr>
        <w:sectPr>
          <w:pgSz w:w="11880" w:h="15480" w:orient="portrait"/>
          <w:cols w:equalWidth="0" w:num="1">
            <w:col w:w="10120"/>
          </w:cols>
          <w:pgMar w:left="880" w:top="545" w:right="880" w:bottom="96"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ind w:left="1180"/>
              <w:spacing w:after="0"/>
              <w:rPr>
                <w:sz w:val="20"/>
                <w:szCs w:val="20"/>
                <w:color w:val="auto"/>
              </w:rPr>
            </w:pPr>
            <w:r>
              <w:rPr>
                <w:rFonts w:ascii="Arial" w:cs="Arial" w:eastAsia="Arial" w:hAnsi="Arial"/>
                <w:sz w:val="16"/>
                <w:szCs w:val="16"/>
                <w:color w:val="202020"/>
              </w:rPr>
              <w:t>Proposal 1: Election of Directors</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7"/>
              </w:rPr>
              <w:t>KEITH L. BROWNLIE, 73</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Ernst &amp; Young LLP</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Audit partner for numerous public</w:t>
            </w:r>
          </w:p>
        </w:tc>
        <w:tc>
          <w:tcPr>
            <w:tcW w:w="0" w:type="dxa"/>
            <w:vAlign w:val="bottom"/>
          </w:tcPr>
          <w:p>
            <w:pPr>
              <w:spacing w:after="0"/>
              <w:rPr>
                <w:sz w:val="1"/>
                <w:szCs w:val="1"/>
                <w:color w:val="auto"/>
              </w:rPr>
            </w:pPr>
          </w:p>
        </w:tc>
      </w:tr>
      <w:tr>
        <w:trPr>
          <w:trHeight w:val="200"/>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June 2017</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companies and was the Life Sciences</w:t>
            </w:r>
          </w:p>
        </w:tc>
        <w:tc>
          <w:tcPr>
            <w:tcW w:w="0" w:type="dxa"/>
            <w:vAlign w:val="bottom"/>
          </w:tcPr>
          <w:p>
            <w:pPr>
              <w:spacing w:after="0"/>
              <w:rPr>
                <w:sz w:val="1"/>
                <w:szCs w:val="1"/>
                <w:color w:val="auto"/>
              </w:rPr>
            </w:pPr>
          </w:p>
        </w:tc>
      </w:tr>
      <w:tr>
        <w:trPr>
          <w:trHeight w:val="200"/>
        </w:trPr>
        <w:tc>
          <w:tcPr>
            <w:tcW w:w="3360" w:type="dxa"/>
            <w:vAlign w:val="bottom"/>
            <w:vMerge w:val="continue"/>
            <w:shd w:val="clear" w:color="auto" w:fill="E9E9E9"/>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Industry Leader for the New York Metro</w:t>
            </w: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Area until 2009</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Soligenix,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2010 until 2019</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1</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Phio Pharmaceuticals Corp.</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2012 until 2019</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Audit</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color w:val="202020"/>
              </w:rPr>
              <w:t>(formerly RXi Pharmaceuticals</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color w:val="202020"/>
              </w:rPr>
              <w:t>Corporation)</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Cancer Genetics,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2013 to 2014</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B.S. in Accounting from Lehigh University</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and is a Certified Public Accountant</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3360" w:type="dxa"/>
            <w:vAlign w:val="bottom"/>
          </w:tcPr>
          <w:p>
            <w:pPr>
              <w:spacing w:after="0"/>
              <w:rPr>
                <w:sz w:val="24"/>
                <w:szCs w:val="24"/>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EpiCept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2011 to 2013</w:t>
            </w:r>
          </w:p>
        </w:tc>
        <w:tc>
          <w:tcPr>
            <w:tcW w:w="0" w:type="dxa"/>
            <w:vAlign w:val="bottom"/>
          </w:tcPr>
          <w:p>
            <w:pPr>
              <w:spacing w:after="0"/>
              <w:rPr>
                <w:sz w:val="1"/>
                <w:szCs w:val="1"/>
                <w:color w:val="auto"/>
              </w:rPr>
            </w:pPr>
          </w:p>
        </w:tc>
      </w:tr>
      <w:tr>
        <w:trPr>
          <w:trHeight w:val="150"/>
        </w:trPr>
        <w:tc>
          <w:tcPr>
            <w:tcW w:w="3360" w:type="dxa"/>
            <w:vAlign w:val="bottom"/>
            <w:tcBorders>
              <w:top w:val="single" w:sz="8" w:color="202020"/>
            </w:tcBorders>
          </w:tcPr>
          <w:p>
            <w:pPr>
              <w:spacing w:after="0"/>
              <w:rPr>
                <w:sz w:val="13"/>
                <w:szCs w:val="13"/>
                <w:color w:val="auto"/>
              </w:rPr>
            </w:pPr>
          </w:p>
        </w:tc>
        <w:tc>
          <w:tcPr>
            <w:tcW w:w="3220" w:type="dxa"/>
            <w:vAlign w:val="bottom"/>
            <w:tcBorders>
              <w:top w:val="single" w:sz="8" w:color="202020"/>
            </w:tcBorders>
          </w:tcPr>
          <w:p>
            <w:pPr>
              <w:spacing w:after="0"/>
              <w:rPr>
                <w:sz w:val="13"/>
                <w:szCs w:val="13"/>
                <w:color w:val="auto"/>
              </w:rPr>
            </w:pPr>
          </w:p>
        </w:tc>
        <w:tc>
          <w:tcPr>
            <w:tcW w:w="3540" w:type="dxa"/>
            <w:vAlign w:val="bottom"/>
            <w:tcBorders>
              <w:top w:val="single" w:sz="8" w:color="202020"/>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5"/>
              </w:rPr>
              <w:t>CHERYL L. COHEN, 60</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CLC Consulting</w:t>
            </w: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since 2008</w:t>
            </w:r>
          </w:p>
        </w:tc>
        <w:tc>
          <w:tcPr>
            <w:tcW w:w="0" w:type="dxa"/>
            <w:vAlign w:val="bottom"/>
          </w:tcPr>
          <w:p>
            <w:pPr>
              <w:spacing w:after="0"/>
              <w:rPr>
                <w:sz w:val="1"/>
                <w:szCs w:val="1"/>
                <w:color w:val="auto"/>
              </w:rPr>
            </w:pP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w w:val="99"/>
              </w:rPr>
              <w:t>since June 2022</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Medivation,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Chief Commercial Officer from August</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2</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2011 to July 2014, where she built the</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company’s commercial organization and</w:t>
            </w:r>
          </w:p>
        </w:tc>
        <w:tc>
          <w:tcPr>
            <w:tcW w:w="0" w:type="dxa"/>
            <w:vAlign w:val="bottom"/>
          </w:tcPr>
          <w:p>
            <w:pPr>
              <w:spacing w:after="0"/>
              <w:rPr>
                <w:sz w:val="1"/>
                <w:szCs w:val="1"/>
                <w:color w:val="auto"/>
              </w:rPr>
            </w:pPr>
          </w:p>
        </w:tc>
      </w:tr>
      <w:tr>
        <w:trPr>
          <w:trHeight w:val="199"/>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led her team to successfully launch the</w:t>
            </w:r>
          </w:p>
        </w:tc>
        <w:tc>
          <w:tcPr>
            <w:tcW w:w="0" w:type="dxa"/>
            <w:vAlign w:val="bottom"/>
          </w:tcPr>
          <w:p>
            <w:pPr>
              <w:spacing w:after="0"/>
              <w:rPr>
                <w:sz w:val="1"/>
                <w:szCs w:val="1"/>
                <w:color w:val="auto"/>
              </w:rPr>
            </w:pPr>
          </w:p>
        </w:tc>
      </w:tr>
      <w:tr>
        <w:trPr>
          <w:trHeight w:val="291"/>
        </w:trPr>
        <w:tc>
          <w:tcPr>
            <w:tcW w:w="3360" w:type="dxa"/>
            <w:vAlign w:val="bottom"/>
            <w:tcBorders>
              <w:bottom w:val="single" w:sz="8" w:color="202020"/>
            </w:tcBorders>
          </w:tcPr>
          <w:p>
            <w:pPr>
              <w:spacing w:after="0"/>
              <w:rPr>
                <w:sz w:val="24"/>
                <w:szCs w:val="24"/>
                <w:color w:val="auto"/>
              </w:rPr>
            </w:pPr>
          </w:p>
        </w:tc>
        <w:tc>
          <w:tcPr>
            <w:tcW w:w="3220" w:type="dxa"/>
            <w:vAlign w:val="bottom"/>
            <w:tcBorders>
              <w:bottom w:val="single" w:sz="8" w:color="202020"/>
            </w:tcBorders>
            <w:shd w:val="clear" w:color="auto" w:fill="E9E9E9"/>
          </w:tcPr>
          <w:p>
            <w:pPr>
              <w:spacing w:after="0"/>
              <w:rPr>
                <w:sz w:val="24"/>
                <w:szCs w:val="24"/>
                <w:color w:val="auto"/>
              </w:rPr>
            </w:pPr>
          </w:p>
        </w:tc>
        <w:tc>
          <w:tcPr>
            <w:tcW w:w="3540" w:type="dxa"/>
            <w:vAlign w:val="bottom"/>
            <w:tcBorders>
              <w:bottom w:val="single" w:sz="8" w:color="202020"/>
            </w:tcBorders>
          </w:tcPr>
          <w:p>
            <w:pPr>
              <w:ind w:left="220"/>
              <w:spacing w:after="0"/>
              <w:rPr>
                <w:sz w:val="20"/>
                <w:szCs w:val="20"/>
                <w:color w:val="auto"/>
              </w:rPr>
            </w:pPr>
            <w:r>
              <w:rPr>
                <w:rFonts w:ascii="Arial" w:cs="Arial" w:eastAsia="Arial" w:hAnsi="Arial"/>
                <w:sz w:val="16"/>
                <w:szCs w:val="16"/>
                <w:color w:val="202020"/>
              </w:rPr>
              <w:t>oncology drug, Xtandi</w:t>
            </w:r>
            <w:r>
              <w:rPr>
                <w:rFonts w:ascii="Arial" w:cs="Arial" w:eastAsia="Arial" w:hAnsi="Arial"/>
                <w:sz w:val="19"/>
                <w:szCs w:val="19"/>
                <w:color w:val="202020"/>
                <w:vertAlign w:val="superscript"/>
              </w:rPr>
              <w:t>®</w:t>
            </w: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Vice President of the</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Compensation and Organization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Rheumatology Franchise</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Development, Science and</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Commercialization</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Solvay Pharmaceuticals</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management and sales</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w w:val="99"/>
              </w:rPr>
              <w:t>B.A. degree from Saint Joseph College</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Immunity Bio*</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since 2019</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color w:val="202020"/>
              </w:rPr>
              <w:t>(previously NantKwest)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MEI Pharma*</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April 2020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December 2022</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Ignyte Acquisition Corp.</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January 2021 to</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220" w:type="dxa"/>
            <w:vAlign w:val="bottom"/>
            <w:tcBorders>
              <w:bottom w:val="single" w:sz="8" w:color="E9E9E9"/>
            </w:tcBorders>
            <w:shd w:val="clear" w:color="auto" w:fill="E9E9E9"/>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April 2022</w:t>
            </w:r>
          </w:p>
        </w:tc>
        <w:tc>
          <w:tcPr>
            <w:tcW w:w="0" w:type="dxa"/>
            <w:vAlign w:val="bottom"/>
          </w:tcPr>
          <w:p>
            <w:pPr>
              <w:spacing w:after="0"/>
              <w:rPr>
                <w:sz w:val="1"/>
                <w:szCs w:val="1"/>
                <w:color w:val="auto"/>
              </w:rPr>
            </w:pPr>
          </w:p>
        </w:tc>
      </w:tr>
      <w:tr>
        <w:trPr>
          <w:trHeight w:val="150"/>
        </w:trPr>
        <w:tc>
          <w:tcPr>
            <w:tcW w:w="3360" w:type="dxa"/>
            <w:vAlign w:val="bottom"/>
            <w:tcBorders>
              <w:top w:val="single" w:sz="8" w:color="202020"/>
            </w:tcBorders>
          </w:tcPr>
          <w:p>
            <w:pPr>
              <w:spacing w:after="0"/>
              <w:rPr>
                <w:sz w:val="13"/>
                <w:szCs w:val="13"/>
                <w:color w:val="auto"/>
              </w:rPr>
            </w:pPr>
          </w:p>
        </w:tc>
        <w:tc>
          <w:tcPr>
            <w:tcW w:w="3220" w:type="dxa"/>
            <w:vAlign w:val="bottom"/>
            <w:tcBorders>
              <w:top w:val="single" w:sz="8" w:color="202020"/>
            </w:tcBorders>
          </w:tcPr>
          <w:p>
            <w:pPr>
              <w:spacing w:after="0"/>
              <w:rPr>
                <w:sz w:val="13"/>
                <w:szCs w:val="13"/>
                <w:color w:val="auto"/>
              </w:rPr>
            </w:pPr>
          </w:p>
        </w:tc>
        <w:tc>
          <w:tcPr>
            <w:tcW w:w="3540" w:type="dxa"/>
            <w:vAlign w:val="bottom"/>
            <w:tcBorders>
              <w:top w:val="single" w:sz="8" w:color="202020"/>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3"/>
              </w:rPr>
              <w:t>HERBERT J. CONRAD, 93</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Hoffmann-La Roche,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of the U.S. Pharmaceuticals</w:t>
            </w:r>
          </w:p>
        </w:tc>
        <w:tc>
          <w:tcPr>
            <w:tcW w:w="0" w:type="dxa"/>
            <w:vAlign w:val="bottom"/>
          </w:tcPr>
          <w:p>
            <w:pPr>
              <w:spacing w:after="0"/>
              <w:rPr>
                <w:sz w:val="1"/>
                <w:szCs w:val="1"/>
                <w:color w:val="auto"/>
              </w:rPr>
            </w:pPr>
          </w:p>
        </w:tc>
      </w:tr>
      <w:tr>
        <w:trPr>
          <w:trHeight w:val="217"/>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rPr>
              <w:t>since March 2008</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Division from 1982 to 1993</w:t>
            </w:r>
          </w:p>
        </w:tc>
        <w:tc>
          <w:tcPr>
            <w:tcW w:w="0" w:type="dxa"/>
            <w:vAlign w:val="bottom"/>
          </w:tcPr>
          <w:p>
            <w:pPr>
              <w:spacing w:after="0"/>
              <w:rPr>
                <w:sz w:val="1"/>
                <w:szCs w:val="1"/>
                <w:color w:val="auto"/>
              </w:rPr>
            </w:pPr>
          </w:p>
        </w:tc>
      </w:tr>
      <w:tr>
        <w:trPr>
          <w:trHeight w:val="140"/>
        </w:trPr>
        <w:tc>
          <w:tcPr>
            <w:tcW w:w="3360" w:type="dxa"/>
            <w:vAlign w:val="bottom"/>
            <w:vMerge w:val="continue"/>
            <w:shd w:val="clear" w:color="auto" w:fill="E9E9E9"/>
          </w:tcPr>
          <w:p>
            <w:pPr>
              <w:spacing w:after="0"/>
              <w:rPr>
                <w:sz w:val="12"/>
                <w:szCs w:val="12"/>
                <w:color w:val="auto"/>
              </w:rPr>
            </w:pPr>
          </w:p>
        </w:tc>
        <w:tc>
          <w:tcPr>
            <w:tcW w:w="3220" w:type="dxa"/>
            <w:vAlign w:val="bottom"/>
            <w:shd w:val="clear" w:color="auto" w:fill="E9E9E9"/>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Matinas BioPharma Holdings,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director from 2012 to February</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1</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2025</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Seaver Autism Center at Mount</w:t>
            </w:r>
          </w:p>
        </w:tc>
        <w:tc>
          <w:tcPr>
            <w:tcW w:w="3540" w:type="dxa"/>
            <w:vAlign w:val="bottom"/>
          </w:tcPr>
          <w:p>
            <w:pPr>
              <w:ind w:left="220"/>
              <w:spacing w:after="0"/>
              <w:rPr>
                <w:sz w:val="20"/>
                <w:szCs w:val="20"/>
                <w:color w:val="auto"/>
              </w:rPr>
            </w:pPr>
            <w:r>
              <w:rPr>
                <w:rFonts w:ascii="Arial" w:cs="Arial" w:eastAsia="Arial" w:hAnsi="Arial"/>
                <w:sz w:val="16"/>
                <w:szCs w:val="16"/>
                <w:color w:val="202020"/>
              </w:rPr>
              <w:t>Advisor</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Nominating and Corporate</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Sinai Hospital</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Governance</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Pharmasset, Inc., GenVec, Inc. and</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Chairman of the Board of Directors</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B.S. and M.S. degrees from the Brooklyn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Bone Care International, Inc.</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College of Pharmacy and an honorary</w:t>
            </w:r>
          </w:p>
        </w:tc>
        <w:tc>
          <w:tcPr>
            <w:tcW w:w="3220" w:type="dxa"/>
            <w:vAlign w:val="bottom"/>
            <w:tcBorders>
              <w:bottom w:val="single" w:sz="8" w:color="202020"/>
            </w:tcBorders>
            <w:shd w:val="clear" w:color="auto" w:fill="E9E9E9"/>
          </w:tcPr>
          <w:p>
            <w:pPr>
              <w:spacing w:after="0"/>
              <w:rPr>
                <w:sz w:val="7"/>
                <w:szCs w:val="7"/>
                <w:color w:val="auto"/>
              </w:rPr>
            </w:pPr>
          </w:p>
        </w:tc>
        <w:tc>
          <w:tcPr>
            <w:tcW w:w="3540" w:type="dxa"/>
            <w:vAlign w:val="bottom"/>
            <w:tcBorders>
              <w:bottom w:val="single" w:sz="8" w:color="202020"/>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360" w:type="dxa"/>
            <w:vAlign w:val="bottom"/>
            <w:vMerge w:val="continue"/>
          </w:tcPr>
          <w:p>
            <w:pPr>
              <w:spacing w:after="0"/>
              <w:rPr>
                <w:sz w:val="7"/>
                <w:szCs w:val="7"/>
                <w:color w:val="auto"/>
              </w:rPr>
            </w:pPr>
          </w:p>
        </w:tc>
        <w:tc>
          <w:tcPr>
            <w:tcW w:w="3220" w:type="dxa"/>
            <w:vAlign w:val="bottom"/>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Arbutus Biopharma Corporation</w:t>
            </w: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Former director</w:t>
            </w:r>
          </w:p>
        </w:tc>
        <w:tc>
          <w:tcPr>
            <w:tcW w:w="0" w:type="dxa"/>
            <w:vAlign w:val="bottom"/>
          </w:tcPr>
          <w:p>
            <w:pPr>
              <w:spacing w:after="0"/>
              <w:rPr>
                <w:sz w:val="1"/>
                <w:szCs w:val="1"/>
                <w:color w:val="auto"/>
              </w:rPr>
            </w:pPr>
          </w:p>
        </w:tc>
      </w:tr>
      <w:tr>
        <w:trPr>
          <w:trHeight w:val="240"/>
        </w:trPr>
        <w:tc>
          <w:tcPr>
            <w:tcW w:w="3360" w:type="dxa"/>
            <w:vAlign w:val="bottom"/>
          </w:tcPr>
          <w:p>
            <w:pPr>
              <w:jc w:val="center"/>
              <w:spacing w:after="0"/>
              <w:rPr>
                <w:sz w:val="20"/>
                <w:szCs w:val="20"/>
                <w:color w:val="auto"/>
              </w:rPr>
            </w:pPr>
            <w:r>
              <w:rPr>
                <w:rFonts w:ascii="Arial" w:cs="Arial" w:eastAsia="Arial" w:hAnsi="Arial"/>
                <w:sz w:val="16"/>
                <w:szCs w:val="16"/>
                <w:color w:val="202020"/>
              </w:rPr>
              <w:t>Doctorate in Humane Letters from Long</w:t>
            </w:r>
          </w:p>
        </w:tc>
        <w:tc>
          <w:tcPr>
            <w:tcW w:w="3220" w:type="dxa"/>
            <w:vAlign w:val="bottom"/>
            <w:tcBorders>
              <w:bottom w:val="single" w:sz="8" w:color="E9E9E9"/>
            </w:tcBorders>
            <w:vMerge w:val="continue"/>
            <w:shd w:val="clear" w:color="auto" w:fill="E9E9E9"/>
          </w:tcPr>
          <w:p>
            <w:pPr>
              <w:spacing w:after="0"/>
              <w:rPr>
                <w:sz w:val="20"/>
                <w:szCs w:val="20"/>
                <w:color w:val="auto"/>
              </w:rPr>
            </w:pPr>
          </w:p>
        </w:tc>
        <w:tc>
          <w:tcPr>
            <w:tcW w:w="3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360" w:type="dxa"/>
            <w:vAlign w:val="bottom"/>
          </w:tcPr>
          <w:p>
            <w:pPr>
              <w:jc w:val="center"/>
              <w:spacing w:after="0" w:line="156" w:lineRule="exact"/>
              <w:rPr>
                <w:sz w:val="20"/>
                <w:szCs w:val="20"/>
                <w:color w:val="auto"/>
              </w:rPr>
            </w:pPr>
            <w:r>
              <w:rPr>
                <w:rFonts w:ascii="Arial" w:cs="Arial" w:eastAsia="Arial" w:hAnsi="Arial"/>
                <w:sz w:val="16"/>
                <w:szCs w:val="16"/>
                <w:color w:val="202020"/>
              </w:rPr>
              <w:t>Island University</w:t>
            </w:r>
          </w:p>
        </w:tc>
        <w:tc>
          <w:tcPr>
            <w:tcW w:w="3220" w:type="dxa"/>
            <w:vAlign w:val="bottom"/>
            <w:tcBorders>
              <w:top w:val="single" w:sz="8" w:color="202020"/>
            </w:tcBorders>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Reliant Pharmaceuticals, Inc.</w:t>
            </w:r>
          </w:p>
        </w:tc>
        <w:tc>
          <w:tcPr>
            <w:tcW w:w="3540" w:type="dxa"/>
            <w:vAlign w:val="bottom"/>
            <w:tcBorders>
              <w:top w:val="single" w:sz="8" w:color="202020"/>
            </w:tcBorders>
            <w:vMerge w:val="restart"/>
          </w:tcPr>
          <w:p>
            <w:pPr>
              <w:ind w:left="220"/>
              <w:spacing w:after="0"/>
              <w:rPr>
                <w:sz w:val="20"/>
                <w:szCs w:val="20"/>
                <w:color w:val="auto"/>
              </w:rPr>
            </w:pPr>
            <w:r>
              <w:rPr>
                <w:rFonts w:ascii="Arial" w:cs="Arial" w:eastAsia="Arial" w:hAnsi="Arial"/>
                <w:sz w:val="16"/>
                <w:szCs w:val="16"/>
                <w:color w:val="202020"/>
              </w:rPr>
              <w:t>Former director and co-founder</w:t>
            </w:r>
          </w:p>
        </w:tc>
        <w:tc>
          <w:tcPr>
            <w:tcW w:w="0" w:type="dxa"/>
            <w:vAlign w:val="bottom"/>
          </w:tcPr>
          <w:p>
            <w:pPr>
              <w:spacing w:after="0"/>
              <w:rPr>
                <w:sz w:val="1"/>
                <w:szCs w:val="1"/>
                <w:color w:val="auto"/>
              </w:rPr>
            </w:pPr>
          </w:p>
        </w:tc>
      </w:tr>
      <w:tr>
        <w:trPr>
          <w:trHeight w:val="119"/>
        </w:trPr>
        <w:tc>
          <w:tcPr>
            <w:tcW w:w="3360" w:type="dxa"/>
            <w:vAlign w:val="bottom"/>
          </w:tcPr>
          <w:p>
            <w:pPr>
              <w:spacing w:after="0"/>
              <w:rPr>
                <w:sz w:val="9"/>
                <w:szCs w:val="9"/>
                <w:color w:val="auto"/>
              </w:rPr>
            </w:pPr>
          </w:p>
        </w:tc>
        <w:tc>
          <w:tcPr>
            <w:tcW w:w="3220" w:type="dxa"/>
            <w:vAlign w:val="bottom"/>
            <w:tcBorders>
              <w:bottom w:val="single" w:sz="8" w:color="E9E9E9"/>
            </w:tcBorders>
            <w:vMerge w:val="continue"/>
            <w:shd w:val="clear" w:color="auto" w:fill="E9E9E9"/>
          </w:tcPr>
          <w:p>
            <w:pPr>
              <w:spacing w:after="0"/>
              <w:rPr>
                <w:sz w:val="9"/>
                <w:szCs w:val="9"/>
                <w:color w:val="auto"/>
              </w:rPr>
            </w:pPr>
          </w:p>
        </w:tc>
        <w:tc>
          <w:tcPr>
            <w:tcW w:w="3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-8185785</wp:posOffset>
                </wp:positionV>
                <wp:extent cx="0" cy="233807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8070"/>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644.5499pt" to="167.65pt,-460.4499pt" o:allowincell="f" strokecolor="#FFFFFF" strokeweight="14.9669pt"/>
            </w:pict>
          </mc:Fallback>
        </mc:AlternateContent>
        <mc:AlternateContent>
          <mc:Choice Requires="wps">
            <w:drawing>
              <wp:anchor simplePos="0" relativeHeight="251657728" behindDoc="1" locked="0" layoutInCell="0" allowOverlap="1">
                <wp:simplePos x="0" y="0"/>
                <wp:positionH relativeFrom="column">
                  <wp:posOffset>2129155</wp:posOffset>
                </wp:positionH>
                <wp:positionV relativeFrom="paragraph">
                  <wp:posOffset>-5746750</wp:posOffset>
                </wp:positionV>
                <wp:extent cx="0" cy="337756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77565"/>
                        </a:xfrm>
                        <a:prstGeom prst="line">
                          <a:avLst/>
                        </a:prstGeom>
                        <a:solidFill>
                          <a:srgbClr val="FFFFFF"/>
                        </a:solidFill>
                        <a:ln w="190081">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452.4999pt" to="167.65pt,-186.5499pt" o:allowincell="f" strokecolor="#FFFFFF" strokeweight="14.967pt"/>
            </w:pict>
          </mc:Fallback>
        </mc:AlternateContent>
        <mc:AlternateContent>
          <mc:Choice Requires="wps">
            <w:drawing>
              <wp:anchor simplePos="0" relativeHeight="251657728" behindDoc="1" locked="0" layoutInCell="0" allowOverlap="1">
                <wp:simplePos x="0" y="0"/>
                <wp:positionH relativeFrom="column">
                  <wp:posOffset>2129155</wp:posOffset>
                </wp:positionH>
                <wp:positionV relativeFrom="paragraph">
                  <wp:posOffset>-2268220</wp:posOffset>
                </wp:positionV>
                <wp:extent cx="0" cy="243903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3903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178.5999pt" to="167.65pt,13.45pt" o:allowincell="f" strokecolor="#FFFFFF" strokeweight="14.9669pt"/>
            </w:pict>
          </mc:Fallback>
        </mc:AlternateContent>
      </w:r>
    </w:p>
    <w:p>
      <w:pPr>
        <w:sectPr>
          <w:pgSz w:w="11880" w:h="15480" w:orient="portrait"/>
          <w:cols w:equalWidth="0" w:num="1">
            <w:col w:w="10120"/>
          </w:cols>
          <w:pgMar w:left="880" w:top="545"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980"/>
        <w:spacing w:after="0"/>
        <w:tabs>
          <w:tab w:leader="none" w:pos="9860" w:val="left"/>
        </w:tabs>
        <w:rPr>
          <w:sz w:val="20"/>
          <w:szCs w:val="20"/>
          <w:color w:val="auto"/>
        </w:rPr>
      </w:pPr>
      <w:r>
        <w:rPr>
          <w:rFonts w:ascii="Arial" w:cs="Arial" w:eastAsia="Arial" w:hAnsi="Arial"/>
          <w:sz w:val="18"/>
          <w:szCs w:val="18"/>
          <w:color w:val="202020"/>
        </w:rPr>
        <w:t>Celldex Therapeutics</w:t>
        <w:tab/>
        <w:t>| 9</w:t>
      </w:r>
    </w:p>
    <w:p>
      <w:pPr>
        <w:sectPr>
          <w:pgSz w:w="11880" w:h="15480" w:orient="portrait"/>
          <w:cols w:equalWidth="0" w:num="1">
            <w:col w:w="10120"/>
          </w:cols>
          <w:pgMar w:left="880" w:top="545" w:right="880" w:bottom="96"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202020"/>
        </w:rPr>
        <w:t>Proposal 1: Election of Directors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8"/>
              </w:rPr>
              <w:t>RITA I. JAIN, M.D., 64</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r>
      <w:tr>
        <w:trPr>
          <w:trHeight w:val="291"/>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AnaptysBio,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since April 2023</w:t>
            </w: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rPr>
              <w:t>since February 2023</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Avalo Therapeutics,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since June 2025</w:t>
            </w: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4</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SAB Biotherapeutics,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since January 2026</w:t>
            </w: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Nominating and Corporate</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Governance, Science and</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Commercialization</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Provention Bio,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January 2023 until</w:t>
            </w: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B.S. degree in biology from Long Island</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its acquisition by Sanofi in April 2023</w:t>
            </w: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 and her M.D. from the State</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 of New York at Stony Brook</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School of Medicine</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55"/>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AM-Pharma B.V.</w:t>
            </w:r>
          </w:p>
        </w:tc>
        <w:tc>
          <w:tcPr>
            <w:tcW w:w="3540" w:type="dxa"/>
            <w:vAlign w:val="bottom"/>
          </w:tcPr>
          <w:p>
            <w:pPr>
              <w:ind w:left="220"/>
              <w:spacing w:after="0"/>
              <w:rPr>
                <w:sz w:val="20"/>
                <w:szCs w:val="20"/>
                <w:color w:val="auto"/>
              </w:rPr>
            </w:pPr>
            <w:r>
              <w:rPr>
                <w:rFonts w:ascii="Arial" w:cs="Arial" w:eastAsia="Arial" w:hAnsi="Arial"/>
                <w:sz w:val="16"/>
                <w:szCs w:val="16"/>
                <w:color w:val="202020"/>
              </w:rPr>
              <w:t>Supervisory Board from 2020 until 2023</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ChemoCentryx,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2019 until its</w:t>
            </w: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acquisition by Amgen in 2022</w:t>
            </w: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00"/>
              <w:spacing w:after="0"/>
              <w:rPr>
                <w:sz w:val="20"/>
                <w:szCs w:val="20"/>
                <w:color w:val="auto"/>
              </w:rPr>
            </w:pPr>
            <w:r>
              <w:rPr>
                <w:rFonts w:ascii="Arial" w:cs="Arial" w:eastAsia="Arial" w:hAnsi="Arial"/>
                <w:sz w:val="16"/>
                <w:szCs w:val="16"/>
                <w:color w:val="202020"/>
              </w:rPr>
              <w:t>Executive Vice President and Chief Medical</w:t>
            </w: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6"/>
                <w:szCs w:val="16"/>
                <w:color w:val="202020"/>
              </w:rPr>
              <w:t>Officer from 2021 to 2022</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Immunovant,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Chief Medical Officer in 2021</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Heartwood Biopharma Group</w:t>
            </w:r>
          </w:p>
        </w:tc>
        <w:tc>
          <w:tcPr>
            <w:tcW w:w="3540" w:type="dxa"/>
            <w:vAlign w:val="bottom"/>
          </w:tcPr>
          <w:p>
            <w:pPr>
              <w:ind w:left="220"/>
              <w:spacing w:after="0"/>
              <w:rPr>
                <w:sz w:val="20"/>
                <w:szCs w:val="20"/>
                <w:color w:val="auto"/>
              </w:rPr>
            </w:pPr>
            <w:r>
              <w:rPr>
                <w:rFonts w:ascii="Arial" w:cs="Arial" w:eastAsia="Arial" w:hAnsi="Arial"/>
                <w:sz w:val="16"/>
                <w:szCs w:val="16"/>
                <w:color w:val="202020"/>
              </w:rPr>
              <w:t>Chief Executive Officer from August 2021</w:t>
            </w: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until December 2023</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Akebia Therapeutics,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Senior Vice President and Chief Medical</w:t>
            </w: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Officer from 2017 to 2019</w:t>
            </w: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AbbVie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in Clinical Development</w:t>
            </w: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from 2013 to 2016, including Men’s and</w:t>
            </w: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Women’s Health and Metabolic</w:t>
            </w: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Development</w:t>
            </w: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Abbott Laboratories</w:t>
            </w:r>
          </w:p>
        </w:tc>
        <w:tc>
          <w:tcPr>
            <w:tcW w:w="3540" w:type="dxa"/>
            <w:vAlign w:val="bottom"/>
          </w:tcPr>
          <w:p>
            <w:pPr>
              <w:ind w:left="220"/>
              <w:spacing w:after="0"/>
              <w:rPr>
                <w:sz w:val="20"/>
                <w:szCs w:val="20"/>
                <w:color w:val="auto"/>
              </w:rPr>
            </w:pPr>
            <w:r>
              <w:rPr>
                <w:rFonts w:ascii="Arial" w:cs="Arial" w:eastAsia="Arial" w:hAnsi="Arial"/>
                <w:sz w:val="16"/>
                <w:szCs w:val="16"/>
                <w:color w:val="202020"/>
              </w:rPr>
              <w:t>Various leadership roles from 2003</w:t>
            </w: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through 2012, including as Divisional Vice</w:t>
            </w: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of Pain, Respiratory and</w:t>
            </w:r>
          </w:p>
        </w:tc>
      </w:tr>
      <w:tr>
        <w:trPr>
          <w:trHeight w:val="230"/>
        </w:trPr>
        <w:tc>
          <w:tcPr>
            <w:tcW w:w="3360" w:type="dxa"/>
            <w:vAlign w:val="bottom"/>
          </w:tcPr>
          <w:p>
            <w:pPr>
              <w:spacing w:after="0"/>
              <w:rPr>
                <w:sz w:val="19"/>
                <w:szCs w:val="19"/>
                <w:color w:val="auto"/>
              </w:rPr>
            </w:pPr>
          </w:p>
        </w:tc>
        <w:tc>
          <w:tcPr>
            <w:tcW w:w="3220" w:type="dxa"/>
            <w:vAlign w:val="bottom"/>
            <w:tcBorders>
              <w:bottom w:val="single" w:sz="8" w:color="E9E9E9"/>
            </w:tcBorders>
            <w:shd w:val="clear" w:color="auto" w:fill="E9E9E9"/>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Metabolic Disease Development</w:t>
            </w: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-5353685</wp:posOffset>
                </wp:positionV>
                <wp:extent cx="0" cy="535368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5368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421.5499pt" to="167.65pt,0pt" o:allowincell="f" strokecolor="#FFFFFF" strokeweight="14.9669pt"/>
            </w:pict>
          </mc:Fallback>
        </mc:AlternateConten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4"/>
              </w:rPr>
              <w:t>JAMES J. MARINO, 76</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Dechert LLP</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Partner at the global law firm,</w:t>
            </w:r>
          </w:p>
        </w:tc>
        <w:tc>
          <w:tcPr>
            <w:tcW w:w="0" w:type="dxa"/>
            <w:vAlign w:val="bottom"/>
          </w:tcPr>
          <w:p>
            <w:pPr>
              <w:spacing w:after="0"/>
              <w:rPr>
                <w:sz w:val="1"/>
                <w:szCs w:val="1"/>
                <w:color w:val="auto"/>
              </w:rPr>
            </w:pPr>
          </w:p>
        </w:tc>
      </w:tr>
      <w:tr>
        <w:trPr>
          <w:trHeight w:val="200"/>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rPr>
              <w:t>since March 2017</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where he served as Managing Partner of</w:t>
            </w:r>
          </w:p>
        </w:tc>
        <w:tc>
          <w:tcPr>
            <w:tcW w:w="0" w:type="dxa"/>
            <w:vAlign w:val="bottom"/>
          </w:tcPr>
          <w:p>
            <w:pPr>
              <w:spacing w:after="0"/>
              <w:rPr>
                <w:sz w:val="1"/>
                <w:szCs w:val="1"/>
                <w:color w:val="auto"/>
              </w:rPr>
            </w:pPr>
          </w:p>
        </w:tc>
      </w:tr>
      <w:tr>
        <w:trPr>
          <w:trHeight w:val="200"/>
        </w:trPr>
        <w:tc>
          <w:tcPr>
            <w:tcW w:w="3360" w:type="dxa"/>
            <w:vAlign w:val="bottom"/>
            <w:vMerge w:val="continue"/>
            <w:shd w:val="clear" w:color="auto" w:fill="E9E9E9"/>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the Princeton Office and Chair of Life</w:t>
            </w: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Science practice</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Traws Pharma,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director from 2015 through</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1</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color w:val="202020"/>
              </w:rPr>
              <w:t>(formerly Onconova Therapeutics,</w:t>
            </w:r>
          </w:p>
        </w:tc>
        <w:tc>
          <w:tcPr>
            <w:tcW w:w="3540" w:type="dxa"/>
            <w:vAlign w:val="bottom"/>
          </w:tcPr>
          <w:p>
            <w:pPr>
              <w:ind w:left="220"/>
              <w:spacing w:after="0"/>
              <w:rPr>
                <w:sz w:val="20"/>
                <w:szCs w:val="20"/>
                <w:color w:val="auto"/>
              </w:rPr>
            </w:pPr>
            <w:r>
              <w:rPr>
                <w:rFonts w:ascii="Arial" w:cs="Arial" w:eastAsia="Arial" w:hAnsi="Arial"/>
                <w:sz w:val="16"/>
                <w:szCs w:val="16"/>
                <w:color w:val="202020"/>
              </w:rPr>
              <w:t>September 2024 and Chairman of the</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color w:val="202020"/>
              </w:rPr>
              <w:t>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Pharmacopeia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director</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Audit, Compensation and Organization</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Development</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BioNJ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Co-founder and former counsel</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w w:val="96"/>
              </w:rPr>
              <w:t>B.A., M.B.A., and J.D. from Rutgers</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360" w:type="dxa"/>
            <w:vAlign w:val="bottom"/>
          </w:tcPr>
          <w:p>
            <w:pPr>
              <w:spacing w:after="0"/>
              <w:rPr>
                <w:sz w:val="23"/>
                <w:szCs w:val="23"/>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Wake Forest University</w:t>
            </w:r>
          </w:p>
        </w:tc>
        <w:tc>
          <w:tcPr>
            <w:tcW w:w="3540" w:type="dxa"/>
            <w:vAlign w:val="bottom"/>
          </w:tcPr>
          <w:p>
            <w:pPr>
              <w:ind w:left="220"/>
              <w:spacing w:after="0"/>
              <w:rPr>
                <w:sz w:val="20"/>
                <w:szCs w:val="20"/>
                <w:color w:val="auto"/>
              </w:rPr>
            </w:pPr>
            <w:r>
              <w:rPr>
                <w:rFonts w:ascii="Arial" w:cs="Arial" w:eastAsia="Arial" w:hAnsi="Arial"/>
                <w:sz w:val="16"/>
                <w:szCs w:val="16"/>
                <w:color w:val="202020"/>
              </w:rPr>
              <w:t>Life Trustee</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-2464435</wp:posOffset>
                </wp:positionV>
                <wp:extent cx="0" cy="246443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64435"/>
                        </a:xfrm>
                        <a:prstGeom prst="line">
                          <a:avLst/>
                        </a:prstGeom>
                        <a:solidFill>
                          <a:srgbClr val="FFFFFF"/>
                        </a:solidFill>
                        <a:ln w="190081">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194.0499pt" to="167.65pt,0pt" o:allowincell="f" strokecolor="#FFFFFF" strokeweight="14.967pt"/>
            </w:pict>
          </mc:Fallback>
        </mc:AlternateConten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10 |</w:t>
        <w:tab/>
        <w:t>Celldex Therapeutics</w:t>
      </w:r>
    </w:p>
    <w:p>
      <w:pPr>
        <w:sectPr>
          <w:pgSz w:w="11880" w:h="15480" w:orient="portrait"/>
          <w:cols w:equalWidth="0" w:num="1">
            <w:col w:w="10120"/>
          </w:cols>
          <w:pgMar w:left="880" w:top="544" w:right="880" w:bottom="96"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ind w:left="1180"/>
              <w:spacing w:after="0"/>
              <w:rPr>
                <w:sz w:val="20"/>
                <w:szCs w:val="20"/>
                <w:color w:val="auto"/>
              </w:rPr>
            </w:pPr>
            <w:r>
              <w:rPr>
                <w:rFonts w:ascii="Arial" w:cs="Arial" w:eastAsia="Arial" w:hAnsi="Arial"/>
                <w:sz w:val="16"/>
                <w:szCs w:val="16"/>
                <w:color w:val="202020"/>
              </w:rPr>
              <w:t>Proposal 1: Election of Directors</w:t>
            </w:r>
          </w:p>
        </w:tc>
        <w:tc>
          <w:tcPr>
            <w:tcW w:w="0" w:type="dxa"/>
            <w:vAlign w:val="bottom"/>
          </w:tcPr>
          <w:p>
            <w:pPr>
              <w:spacing w:after="0"/>
              <w:rPr>
                <w:sz w:val="1"/>
                <w:szCs w:val="1"/>
                <w:color w:val="auto"/>
              </w:rPr>
            </w:pPr>
          </w:p>
        </w:tc>
      </w:tr>
      <w:tr>
        <w:trPr>
          <w:trHeight w:val="252"/>
        </w:trPr>
        <w:tc>
          <w:tcPr>
            <w:tcW w:w="33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7"/>
              </w:rPr>
              <w:t>GARRY NEIL, M.D., 72</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Avalo Therapeutics*</w:t>
            </w:r>
          </w:p>
        </w:tc>
        <w:tc>
          <w:tcPr>
            <w:tcW w:w="3540" w:type="dxa"/>
            <w:vAlign w:val="bottom"/>
          </w:tcPr>
          <w:p>
            <w:pPr>
              <w:ind w:left="220"/>
              <w:spacing w:after="0"/>
              <w:rPr>
                <w:sz w:val="20"/>
                <w:szCs w:val="20"/>
                <w:color w:val="auto"/>
              </w:rPr>
            </w:pPr>
            <w:r>
              <w:rPr>
                <w:rFonts w:ascii="Arial" w:cs="Arial" w:eastAsia="Arial" w:hAnsi="Arial"/>
                <w:sz w:val="16"/>
                <w:szCs w:val="16"/>
                <w:color w:val="202020"/>
              </w:rPr>
              <w:t>Chief Executive Officer since February</w:t>
            </w:r>
          </w:p>
        </w:tc>
        <w:tc>
          <w:tcPr>
            <w:tcW w:w="0" w:type="dxa"/>
            <w:vAlign w:val="bottom"/>
          </w:tcPr>
          <w:p>
            <w:pPr>
              <w:spacing w:after="0"/>
              <w:rPr>
                <w:sz w:val="1"/>
                <w:szCs w:val="1"/>
                <w:color w:val="auto"/>
              </w:rPr>
            </w:pPr>
          </w:p>
        </w:tc>
      </w:tr>
      <w:tr>
        <w:trPr>
          <w:trHeight w:val="200"/>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June 2022</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2022 and Chairman of the Board from</w:t>
            </w:r>
          </w:p>
        </w:tc>
        <w:tc>
          <w:tcPr>
            <w:tcW w:w="0" w:type="dxa"/>
            <w:vAlign w:val="bottom"/>
          </w:tcPr>
          <w:p>
            <w:pPr>
              <w:spacing w:after="0"/>
              <w:rPr>
                <w:sz w:val="1"/>
                <w:szCs w:val="1"/>
                <w:color w:val="auto"/>
              </w:rPr>
            </w:pPr>
          </w:p>
        </w:tc>
      </w:tr>
      <w:tr>
        <w:trPr>
          <w:trHeight w:val="157"/>
        </w:trPr>
        <w:tc>
          <w:tcPr>
            <w:tcW w:w="3360" w:type="dxa"/>
            <w:vAlign w:val="bottom"/>
            <w:vMerge w:val="continue"/>
            <w:shd w:val="clear" w:color="auto" w:fill="E9E9E9"/>
          </w:tcPr>
          <w:p>
            <w:pPr>
              <w:spacing w:after="0"/>
              <w:rPr>
                <w:sz w:val="13"/>
                <w:szCs w:val="13"/>
                <w:color w:val="auto"/>
              </w:rPr>
            </w:pPr>
          </w:p>
        </w:tc>
        <w:tc>
          <w:tcPr>
            <w:tcW w:w="3220" w:type="dxa"/>
            <w:vAlign w:val="bottom"/>
            <w:shd w:val="clear" w:color="auto" w:fill="E9E9E9"/>
          </w:tcPr>
          <w:p>
            <w:pPr>
              <w:spacing w:after="0"/>
              <w:rPr>
                <w:sz w:val="13"/>
                <w:szCs w:val="13"/>
                <w:color w:val="auto"/>
              </w:rPr>
            </w:pP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August 2022 to March 2025</w:t>
            </w:r>
          </w:p>
        </w:tc>
        <w:tc>
          <w:tcPr>
            <w:tcW w:w="0" w:type="dxa"/>
            <w:vAlign w:val="bottom"/>
          </w:tcPr>
          <w:p>
            <w:pPr>
              <w:spacing w:after="0"/>
              <w:rPr>
                <w:sz w:val="1"/>
                <w:szCs w:val="1"/>
                <w:color w:val="auto"/>
              </w:rPr>
            </w:pPr>
          </w:p>
        </w:tc>
      </w:tr>
      <w:tr>
        <w:trPr>
          <w:trHeight w:val="60"/>
        </w:trPr>
        <w:tc>
          <w:tcPr>
            <w:tcW w:w="3360" w:type="dxa"/>
            <w:vAlign w:val="bottom"/>
            <w:shd w:val="clear" w:color="auto" w:fill="E9E9E9"/>
          </w:tcPr>
          <w:p>
            <w:pPr>
              <w:spacing w:after="0"/>
              <w:rPr>
                <w:sz w:val="5"/>
                <w:szCs w:val="5"/>
                <w:color w:val="auto"/>
              </w:rPr>
            </w:pPr>
          </w:p>
        </w:tc>
        <w:tc>
          <w:tcPr>
            <w:tcW w:w="3220" w:type="dxa"/>
            <w:vAlign w:val="bottom"/>
            <w:shd w:val="clear" w:color="auto" w:fill="E9E9E9"/>
          </w:tcPr>
          <w:p>
            <w:pPr>
              <w:spacing w:after="0"/>
              <w:rPr>
                <w:sz w:val="5"/>
                <w:szCs w:val="5"/>
                <w:color w:val="auto"/>
              </w:rPr>
            </w:pPr>
          </w:p>
        </w:tc>
        <w:tc>
          <w:tcPr>
            <w:tcW w:w="3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3360" w:type="dxa"/>
            <w:vAlign w:val="bottom"/>
            <w:shd w:val="clear" w:color="auto" w:fill="E9E9E9"/>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Senior Scientific Adviser and Chief Scientific</w:t>
            </w:r>
          </w:p>
        </w:tc>
        <w:tc>
          <w:tcPr>
            <w:tcW w:w="0" w:type="dxa"/>
            <w:vAlign w:val="bottom"/>
          </w:tcPr>
          <w:p>
            <w:pPr>
              <w:spacing w:after="0"/>
              <w:rPr>
                <w:sz w:val="1"/>
                <w:szCs w:val="1"/>
                <w:color w:val="auto"/>
              </w:rPr>
            </w:pPr>
          </w:p>
        </w:tc>
      </w:tr>
      <w:tr>
        <w:trPr>
          <w:trHeight w:val="200"/>
        </w:trPr>
        <w:tc>
          <w:tcPr>
            <w:tcW w:w="3360" w:type="dxa"/>
            <w:vAlign w:val="bottom"/>
            <w:shd w:val="clear" w:color="auto" w:fill="E9E9E9"/>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Officer from February 2020 to February</w:t>
            </w: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2022</w:t>
            </w:r>
          </w:p>
        </w:tc>
        <w:tc>
          <w:tcPr>
            <w:tcW w:w="0" w:type="dxa"/>
            <w:vAlign w:val="bottom"/>
          </w:tcPr>
          <w:p>
            <w:pPr>
              <w:spacing w:after="0"/>
              <w:rPr>
                <w:sz w:val="1"/>
                <w:szCs w:val="1"/>
                <w:color w:val="auto"/>
              </w:rPr>
            </w:pPr>
          </w:p>
        </w:tc>
      </w:tr>
      <w:tr>
        <w:trPr>
          <w:trHeight w:val="302"/>
        </w:trPr>
        <w:tc>
          <w:tcPr>
            <w:tcW w:w="3360" w:type="dxa"/>
            <w:vAlign w:val="bottom"/>
            <w:shd w:val="clear" w:color="auto" w:fill="E9E9E9"/>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Served as Chief Scientific Officer from</w:t>
            </w: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September 2013 to February 2020</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Apple Tree Partners</w:t>
            </w:r>
          </w:p>
        </w:tc>
        <w:tc>
          <w:tcPr>
            <w:tcW w:w="3540" w:type="dxa"/>
            <w:vAlign w:val="bottom"/>
          </w:tcPr>
          <w:p>
            <w:pPr>
              <w:ind w:left="220"/>
              <w:spacing w:after="0"/>
              <w:rPr>
                <w:sz w:val="20"/>
                <w:szCs w:val="20"/>
                <w:color w:val="auto"/>
              </w:rPr>
            </w:pPr>
            <w:r>
              <w:rPr>
                <w:rFonts w:ascii="Arial" w:cs="Arial" w:eastAsia="Arial" w:hAnsi="Arial"/>
                <w:sz w:val="16"/>
                <w:szCs w:val="16"/>
                <w:color w:val="202020"/>
              </w:rPr>
              <w:t>Partner from September 2012 to</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2</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September 2013</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w:t>
            </w:r>
          </w:p>
        </w:tc>
        <w:tc>
          <w:tcPr>
            <w:tcW w:w="3540" w:type="dxa"/>
            <w:vAlign w:val="bottom"/>
          </w:tcPr>
          <w:p>
            <w:pPr>
              <w:ind w:left="220"/>
              <w:spacing w:after="0"/>
              <w:rPr>
                <w:sz w:val="20"/>
                <w:szCs w:val="20"/>
                <w:color w:val="auto"/>
              </w:rPr>
            </w:pPr>
            <w:r>
              <w:rPr>
                <w:rFonts w:ascii="Arial" w:cs="Arial" w:eastAsia="Arial" w:hAnsi="Arial"/>
                <w:sz w:val="16"/>
                <w:szCs w:val="16"/>
                <w:color w:val="202020"/>
              </w:rPr>
              <w:t>Corporate Vice President of Science &amp;</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Audit, Nominating and Corporate</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Technology from November 2007 to</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Governance</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August 2012</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 Pharmaceutical</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Group President</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Research and Development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Merck KGaA/EMD Pharmaceuticals</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Vice President of Research &amp;</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B.S. from the University of Saskatchewan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Development</w:t>
            </w:r>
          </w:p>
        </w:tc>
        <w:tc>
          <w:tcPr>
            <w:tcW w:w="0" w:type="dxa"/>
            <w:vAlign w:val="bottom"/>
          </w:tcPr>
          <w:p>
            <w:pPr>
              <w:spacing w:after="0"/>
              <w:rPr>
                <w:sz w:val="1"/>
                <w:szCs w:val="1"/>
                <w:color w:val="auto"/>
              </w:rPr>
            </w:pPr>
          </w:p>
        </w:tc>
      </w:tr>
      <w:tr>
        <w:trPr>
          <w:trHeight w:val="90"/>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and an M.D. from the University of</w:t>
            </w:r>
          </w:p>
        </w:tc>
        <w:tc>
          <w:tcPr>
            <w:tcW w:w="3220" w:type="dxa"/>
            <w:vAlign w:val="bottom"/>
            <w:tcBorders>
              <w:bottom w:val="single" w:sz="8" w:color="202020"/>
            </w:tcBorders>
            <w:shd w:val="clear" w:color="auto" w:fill="E9E9E9"/>
          </w:tcPr>
          <w:p>
            <w:pPr>
              <w:spacing w:after="0"/>
              <w:rPr>
                <w:sz w:val="7"/>
                <w:szCs w:val="7"/>
                <w:color w:val="auto"/>
              </w:rPr>
            </w:pPr>
          </w:p>
        </w:tc>
        <w:tc>
          <w:tcPr>
            <w:tcW w:w="3540" w:type="dxa"/>
            <w:vAlign w:val="bottom"/>
            <w:tcBorders>
              <w:bottom w:val="single" w:sz="8" w:color="202020"/>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360" w:type="dxa"/>
            <w:vAlign w:val="bottom"/>
            <w:vMerge w:val="continue"/>
          </w:tcPr>
          <w:p>
            <w:pPr>
              <w:spacing w:after="0"/>
              <w:rPr>
                <w:sz w:val="7"/>
                <w:szCs w:val="7"/>
                <w:color w:val="auto"/>
              </w:rPr>
            </w:pPr>
          </w:p>
        </w:tc>
        <w:tc>
          <w:tcPr>
            <w:tcW w:w="3220" w:type="dxa"/>
            <w:vAlign w:val="bottom"/>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AstraZeneca and Astra Merck</w:t>
            </w: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Former Vice President of Clinical Research</w:t>
            </w:r>
          </w:p>
        </w:tc>
        <w:tc>
          <w:tcPr>
            <w:tcW w:w="0" w:type="dxa"/>
            <w:vAlign w:val="bottom"/>
          </w:tcPr>
          <w:p>
            <w:pPr>
              <w:spacing w:after="0"/>
              <w:rPr>
                <w:sz w:val="1"/>
                <w:szCs w:val="1"/>
                <w:color w:val="auto"/>
              </w:rPr>
            </w:pPr>
          </w:p>
        </w:tc>
      </w:tr>
      <w:tr>
        <w:trPr>
          <w:trHeight w:val="240"/>
        </w:trPr>
        <w:tc>
          <w:tcPr>
            <w:tcW w:w="3360" w:type="dxa"/>
            <w:vAlign w:val="bottom"/>
          </w:tcPr>
          <w:p>
            <w:pPr>
              <w:jc w:val="center"/>
              <w:spacing w:after="0"/>
              <w:rPr>
                <w:sz w:val="20"/>
                <w:szCs w:val="20"/>
                <w:color w:val="auto"/>
              </w:rPr>
            </w:pPr>
            <w:r>
              <w:rPr>
                <w:rFonts w:ascii="Arial" w:cs="Arial" w:eastAsia="Arial" w:hAnsi="Arial"/>
                <w:sz w:val="16"/>
                <w:szCs w:val="16"/>
                <w:color w:val="202020"/>
              </w:rPr>
              <w:t>Saskatchewan College of Medicine. He</w:t>
            </w:r>
          </w:p>
        </w:tc>
        <w:tc>
          <w:tcPr>
            <w:tcW w:w="3220" w:type="dxa"/>
            <w:vAlign w:val="bottom"/>
            <w:tcBorders>
              <w:bottom w:val="single" w:sz="8" w:color="E9E9E9"/>
            </w:tcBorders>
            <w:vMerge w:val="continue"/>
            <w:shd w:val="clear" w:color="auto" w:fill="E9E9E9"/>
          </w:tcPr>
          <w:p>
            <w:pPr>
              <w:spacing w:after="0"/>
              <w:rPr>
                <w:sz w:val="20"/>
                <w:szCs w:val="20"/>
                <w:color w:val="auto"/>
              </w:rPr>
            </w:pPr>
          </w:p>
        </w:tc>
        <w:tc>
          <w:tcPr>
            <w:tcW w:w="3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3360" w:type="dxa"/>
            <w:vAlign w:val="bottom"/>
          </w:tcPr>
          <w:p>
            <w:pPr>
              <w:jc w:val="center"/>
              <w:spacing w:after="0" w:line="139" w:lineRule="exact"/>
              <w:rPr>
                <w:sz w:val="20"/>
                <w:szCs w:val="20"/>
                <w:color w:val="auto"/>
              </w:rPr>
            </w:pPr>
            <w:r>
              <w:rPr>
                <w:rFonts w:ascii="Arial" w:cs="Arial" w:eastAsia="Arial" w:hAnsi="Arial"/>
                <w:sz w:val="16"/>
                <w:szCs w:val="16"/>
                <w:color w:val="202020"/>
              </w:rPr>
              <w:t>completed postdoctoral clinical training in</w:t>
            </w:r>
          </w:p>
        </w:tc>
        <w:tc>
          <w:tcPr>
            <w:tcW w:w="3220" w:type="dxa"/>
            <w:vAlign w:val="bottom"/>
            <w:tcBorders>
              <w:top w:val="single" w:sz="8" w:color="202020"/>
            </w:tcBorders>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Arena Pharmaceuticals, Inc.</w:t>
            </w:r>
          </w:p>
        </w:tc>
        <w:tc>
          <w:tcPr>
            <w:tcW w:w="3540" w:type="dxa"/>
            <w:vAlign w:val="bottom"/>
            <w:tcBorders>
              <w:top w:val="single" w:sz="8" w:color="202020"/>
            </w:tcBorders>
            <w:vMerge w:val="restart"/>
          </w:tcPr>
          <w:p>
            <w:pPr>
              <w:ind w:left="220"/>
              <w:spacing w:after="0"/>
              <w:rPr>
                <w:sz w:val="20"/>
                <w:szCs w:val="20"/>
                <w:color w:val="auto"/>
              </w:rPr>
            </w:pPr>
            <w:r>
              <w:rPr>
                <w:rFonts w:ascii="Arial" w:cs="Arial" w:eastAsia="Arial" w:hAnsi="Arial"/>
                <w:sz w:val="16"/>
                <w:szCs w:val="16"/>
                <w:color w:val="202020"/>
              </w:rPr>
              <w:t>Board of directors since February 2017</w:t>
            </w:r>
          </w:p>
        </w:tc>
        <w:tc>
          <w:tcPr>
            <w:tcW w:w="0" w:type="dxa"/>
            <w:vAlign w:val="bottom"/>
          </w:tcPr>
          <w:p>
            <w:pPr>
              <w:spacing w:after="0"/>
              <w:rPr>
                <w:sz w:val="1"/>
                <w:szCs w:val="1"/>
                <w:color w:val="auto"/>
              </w:rPr>
            </w:pPr>
          </w:p>
        </w:tc>
      </w:tr>
      <w:tr>
        <w:trPr>
          <w:trHeight w:val="100"/>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internal medicine and gastroenterology at</w:t>
            </w:r>
          </w:p>
        </w:tc>
        <w:tc>
          <w:tcPr>
            <w:tcW w:w="3220" w:type="dxa"/>
            <w:vAlign w:val="bottom"/>
            <w:vMerge w:val="continue"/>
            <w:shd w:val="clear" w:color="auto" w:fill="E9E9E9"/>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360" w:type="dxa"/>
            <w:vAlign w:val="bottom"/>
            <w:vMerge w:val="continue"/>
          </w:tcPr>
          <w:p>
            <w:pPr>
              <w:spacing w:after="0"/>
              <w:rPr>
                <w:sz w:val="8"/>
                <w:szCs w:val="8"/>
                <w:color w:val="auto"/>
              </w:rPr>
            </w:pPr>
          </w:p>
        </w:tc>
        <w:tc>
          <w:tcPr>
            <w:tcW w:w="3220" w:type="dxa"/>
            <w:vAlign w:val="bottom"/>
            <w:shd w:val="clear" w:color="auto" w:fill="E9E9E9"/>
          </w:tcPr>
          <w:p>
            <w:pPr>
              <w:spacing w:after="0"/>
              <w:rPr>
                <w:sz w:val="8"/>
                <w:szCs w:val="8"/>
                <w:color w:val="auto"/>
              </w:rPr>
            </w:pP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and as its Chair since February 2021</w:t>
            </w:r>
          </w:p>
        </w:tc>
        <w:tc>
          <w:tcPr>
            <w:tcW w:w="0" w:type="dxa"/>
            <w:vAlign w:val="bottom"/>
          </w:tcPr>
          <w:p>
            <w:pPr>
              <w:spacing w:after="0"/>
              <w:rPr>
                <w:sz w:val="1"/>
                <w:szCs w:val="1"/>
                <w:color w:val="auto"/>
              </w:rPr>
            </w:pPr>
          </w:p>
        </w:tc>
      </w:tr>
      <w:tr>
        <w:trPr>
          <w:trHeight w:val="117"/>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the University of Toronto. Dr. Neil also</w:t>
            </w: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360" w:type="dxa"/>
            <w:vAlign w:val="bottom"/>
            <w:vMerge w:val="continue"/>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360" w:type="dxa"/>
            <w:vAlign w:val="bottom"/>
          </w:tcPr>
          <w:p>
            <w:pPr>
              <w:jc w:val="center"/>
              <w:spacing w:after="0"/>
              <w:rPr>
                <w:sz w:val="20"/>
                <w:szCs w:val="20"/>
                <w:color w:val="auto"/>
              </w:rPr>
            </w:pPr>
            <w:r>
              <w:rPr>
                <w:rFonts w:ascii="Arial" w:cs="Arial" w:eastAsia="Arial" w:hAnsi="Arial"/>
                <w:sz w:val="16"/>
                <w:szCs w:val="16"/>
                <w:color w:val="202020"/>
              </w:rPr>
              <w:t>completed a postdoctoral research</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Zura Bio Limited*</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March 2023 to</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fellowship at the Research Institute of</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November 2023</w:t>
            </w:r>
          </w:p>
        </w:tc>
        <w:tc>
          <w:tcPr>
            <w:tcW w:w="0" w:type="dxa"/>
            <w:vAlign w:val="bottom"/>
          </w:tcPr>
          <w:p>
            <w:pPr>
              <w:spacing w:after="0"/>
              <w:rPr>
                <w:sz w:val="1"/>
                <w:szCs w:val="1"/>
                <w:color w:val="auto"/>
              </w:rPr>
            </w:pPr>
          </w:p>
        </w:tc>
      </w:tr>
      <w:tr>
        <w:trPr>
          <w:trHeight w:val="119"/>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w w:val="99"/>
              </w:rPr>
              <w:t>Scripps Clinic</w:t>
            </w:r>
          </w:p>
        </w:tc>
        <w:tc>
          <w:tcPr>
            <w:tcW w:w="3220" w:type="dxa"/>
            <w:vAlign w:val="bottom"/>
            <w:tcBorders>
              <w:bottom w:val="single" w:sz="8" w:color="202020"/>
            </w:tcBorders>
            <w:shd w:val="clear" w:color="auto" w:fill="E9E9E9"/>
          </w:tcPr>
          <w:p>
            <w:pPr>
              <w:spacing w:after="0"/>
              <w:rPr>
                <w:sz w:val="10"/>
                <w:szCs w:val="10"/>
                <w:color w:val="auto"/>
              </w:rPr>
            </w:pPr>
          </w:p>
        </w:tc>
        <w:tc>
          <w:tcPr>
            <w:tcW w:w="3540" w:type="dxa"/>
            <w:vAlign w:val="bottom"/>
            <w:tcBorders>
              <w:bottom w:val="single" w:sz="8" w:color="202020"/>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3360" w:type="dxa"/>
            <w:vAlign w:val="bottom"/>
            <w:vMerge w:val="continue"/>
          </w:tcPr>
          <w:p>
            <w:pPr>
              <w:spacing w:after="0"/>
              <w:rPr>
                <w:sz w:val="6"/>
                <w:szCs w:val="6"/>
                <w:color w:val="auto"/>
              </w:rPr>
            </w:pPr>
          </w:p>
        </w:tc>
        <w:tc>
          <w:tcPr>
            <w:tcW w:w="3220" w:type="dxa"/>
            <w:vAlign w:val="bottom"/>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GTx, Inc.</w:t>
            </w: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Board of directors from August 2016 to</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3220" w:type="dxa"/>
            <w:vAlign w:val="bottom"/>
            <w:vMerge w:val="continue"/>
            <w:shd w:val="clear" w:color="auto" w:fill="E9E9E9"/>
          </w:tcPr>
          <w:p>
            <w:pPr>
              <w:spacing w:after="0"/>
              <w:rPr>
                <w:sz w:val="14"/>
                <w:szCs w:val="14"/>
                <w:color w:val="auto"/>
              </w:rPr>
            </w:pPr>
          </w:p>
        </w:tc>
        <w:tc>
          <w:tcPr>
            <w:tcW w:w="3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May 2019</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Hackensack Meridian Medical</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the Center for Discovery and</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School in Hackensack, New Jersey</w:t>
            </w:r>
          </w:p>
        </w:tc>
        <w:tc>
          <w:tcPr>
            <w:tcW w:w="3540" w:type="dxa"/>
            <w:vAlign w:val="bottom"/>
          </w:tcPr>
          <w:p>
            <w:pPr>
              <w:ind w:left="220"/>
              <w:spacing w:after="0"/>
              <w:rPr>
                <w:sz w:val="20"/>
                <w:szCs w:val="20"/>
                <w:color w:val="auto"/>
              </w:rPr>
            </w:pPr>
            <w:r>
              <w:rPr>
                <w:rFonts w:ascii="Arial" w:cs="Arial" w:eastAsia="Arial" w:hAnsi="Arial"/>
                <w:sz w:val="16"/>
                <w:szCs w:val="16"/>
                <w:color w:val="202020"/>
              </w:rPr>
              <w:t>Innovation</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tcPr>
          <w:p>
            <w:pPr>
              <w:ind w:left="320"/>
              <w:spacing w:after="0"/>
              <w:rPr>
                <w:sz w:val="20"/>
                <w:szCs w:val="20"/>
                <w:color w:val="auto"/>
              </w:rPr>
            </w:pPr>
            <w:r>
              <w:rPr>
                <w:rFonts w:ascii="Arial" w:cs="Arial" w:eastAsia="Arial" w:hAnsi="Arial"/>
                <w:sz w:val="16"/>
                <w:szCs w:val="16"/>
                <w:b w:val="1"/>
                <w:bCs w:val="1"/>
                <w:color w:val="202020"/>
              </w:rPr>
              <w:t>TransCelerate Biopharma,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Founding Chairman and past member of</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the board from 2012 to 2019</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Reagan Udall Foundation for the</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2007 to 2021</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FDA</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National Institutes of Health</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Foundation from 2010 to 2012</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and the Science Management Review</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Board from 2010 to 2012</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Pharmaceutical Research and</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Chairman of Science and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Manufacturers Association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Regulatory Executive Committee and the</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(PhRMA)</w:t>
            </w:r>
          </w:p>
        </w:tc>
        <w:tc>
          <w:tcPr>
            <w:tcW w:w="3540" w:type="dxa"/>
            <w:vAlign w:val="bottom"/>
          </w:tcPr>
          <w:p>
            <w:pPr>
              <w:ind w:left="220"/>
              <w:spacing w:after="0"/>
              <w:rPr>
                <w:sz w:val="20"/>
                <w:szCs w:val="20"/>
                <w:color w:val="auto"/>
              </w:rPr>
            </w:pPr>
            <w:r>
              <w:rPr>
                <w:rFonts w:ascii="Arial" w:cs="Arial" w:eastAsia="Arial" w:hAnsi="Arial"/>
                <w:sz w:val="16"/>
                <w:szCs w:val="16"/>
                <w:color w:val="202020"/>
              </w:rPr>
              <w:t>PhRMA Foundation Board</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-6259195</wp:posOffset>
            </wp:positionV>
            <wp:extent cx="2160905" cy="6259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extLst>
                    </a:blip>
                    <a:srcRect/>
                    <a:stretch>
                      <a:fillRect/>
                    </a:stretch>
                  </pic:blipFill>
                  <pic:spPr bwMode="auto">
                    <a:xfrm>
                      <a:off x="0" y="0"/>
                      <a:ext cx="2160905" cy="6259830"/>
                    </a:xfrm>
                    <a:prstGeom prst="rect">
                      <a:avLst/>
                    </a:prstGeom>
                    <a:noFill/>
                  </pic:spPr>
                </pic:pic>
              </a:graphicData>
            </a:graphic>
          </wp:anchor>
        </w:drawing>
      </w:r>
    </w:p>
    <w:p>
      <w:pPr>
        <w:sectPr>
          <w:pgSz w:w="11880" w:h="15480" w:orient="portrait"/>
          <w:cols w:equalWidth="0" w:num="1">
            <w:col w:w="10120"/>
          </w:cols>
          <w:pgMar w:left="880" w:top="545"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11</w:t>
      </w:r>
    </w:p>
    <w:p>
      <w:pPr>
        <w:sectPr>
          <w:pgSz w:w="11880" w:h="15480" w:orient="portrait"/>
          <w:cols w:equalWidth="0" w:num="1">
            <w:col w:w="10120"/>
          </w:cols>
          <w:pgMar w:left="880" w:top="545" w:right="880" w:bottom="96"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202020"/>
        </w:rPr>
        <w:t>Proposal 1: Election of Directors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3"/>
              </w:rPr>
              <w:t>DENICE TORRES, 66</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r>
      <w:tr>
        <w:trPr>
          <w:trHeight w:val="291"/>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The Ignited Company</w:t>
            </w:r>
          </w:p>
        </w:tc>
        <w:tc>
          <w:tcPr>
            <w:tcW w:w="3540" w:type="dxa"/>
            <w:vAlign w:val="bottom"/>
          </w:tcPr>
          <w:p>
            <w:pPr>
              <w:ind w:left="220"/>
              <w:spacing w:after="0"/>
              <w:rPr>
                <w:sz w:val="20"/>
                <w:szCs w:val="20"/>
                <w:color w:val="auto"/>
              </w:rPr>
            </w:pPr>
            <w:r>
              <w:rPr>
                <w:rFonts w:ascii="Arial" w:cs="Arial" w:eastAsia="Arial" w:hAnsi="Arial"/>
                <w:sz w:val="16"/>
                <w:szCs w:val="16"/>
                <w:color w:val="202020"/>
              </w:rPr>
              <w:t>Chief Executive Officer since 2017</w:t>
            </w: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w w:val="99"/>
              </w:rPr>
              <w:t>since June 2025</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PUBLIC BOARDS: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 Global Medical</w:t>
            </w:r>
          </w:p>
        </w:tc>
        <w:tc>
          <w:tcPr>
            <w:tcW w:w="3540" w:type="dxa"/>
            <w:vAlign w:val="bottom"/>
          </w:tcPr>
          <w:p>
            <w:pPr>
              <w:ind w:left="220"/>
              <w:spacing w:after="0"/>
              <w:rPr>
                <w:sz w:val="20"/>
                <w:szCs w:val="20"/>
                <w:color w:val="auto"/>
              </w:rPr>
            </w:pPr>
            <w:r>
              <w:rPr>
                <w:rFonts w:ascii="Arial" w:cs="Arial" w:eastAsia="Arial" w:hAnsi="Arial"/>
                <w:sz w:val="16"/>
                <w:szCs w:val="16"/>
                <w:color w:val="202020"/>
              </w:rPr>
              <w:t>Chief Strategy and Transformation Officer</w:t>
            </w: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89"/>
              </w:rPr>
              <w:t>2</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Device Business</w:t>
            </w:r>
          </w:p>
        </w:tc>
        <w:tc>
          <w:tcPr>
            <w:tcW w:w="3540" w:type="dxa"/>
            <w:vAlign w:val="bottom"/>
          </w:tcPr>
          <w:p>
            <w:pPr>
              <w:ind w:left="220"/>
              <w:spacing w:after="0"/>
              <w:rPr>
                <w:sz w:val="20"/>
                <w:szCs w:val="20"/>
                <w:color w:val="auto"/>
              </w:rPr>
            </w:pPr>
            <w:r>
              <w:rPr>
                <w:rFonts w:ascii="Arial" w:cs="Arial" w:eastAsia="Arial" w:hAnsi="Arial"/>
                <w:sz w:val="16"/>
                <w:szCs w:val="16"/>
                <w:color w:val="202020"/>
              </w:rPr>
              <w:t>from 2015 to 2017</w:t>
            </w: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6"/>
              </w:rPr>
              <w:t>COMMITTEES:</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 McNeil</w:t>
            </w: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from 2011 to 2015</w:t>
            </w: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Compensation and Organization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Consumer Healthcare</w:t>
            </w:r>
          </w:p>
        </w:tc>
        <w:tc>
          <w:tcPr>
            <w:tcW w:w="3540" w:type="dxa"/>
            <w:vAlign w:val="bottom"/>
          </w:tcPr>
          <w:p>
            <w:pPr>
              <w:spacing w:after="0"/>
              <w:rPr>
                <w:sz w:val="17"/>
                <w:szCs w:val="17"/>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Development, Science and</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rPr>
              <w:t>Commercialization</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r>
      <w:tr>
        <w:trPr>
          <w:trHeight w:val="74"/>
        </w:trPr>
        <w:tc>
          <w:tcPr>
            <w:tcW w:w="3360" w:type="dxa"/>
            <w:vAlign w:val="bottom"/>
            <w:tcBorders>
              <w:bottom w:val="single" w:sz="8" w:color="202020"/>
            </w:tcBorders>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 Janssen</w:t>
            </w: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from 2009 to 2011</w:t>
            </w: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Bachelor of Science, Ball State University</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Pharmaceuticals, Neuroscience</w:t>
            </w:r>
          </w:p>
        </w:tc>
        <w:tc>
          <w:tcPr>
            <w:tcW w:w="3540" w:type="dxa"/>
            <w:vAlign w:val="bottom"/>
          </w:tcPr>
          <w:p>
            <w:pPr>
              <w:spacing w:after="0"/>
              <w:rPr>
                <w:sz w:val="17"/>
                <w:szCs w:val="17"/>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w w:val="99"/>
              </w:rPr>
              <w:t>J.D., Indiana University</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M.B.A., University of Michigan</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M.A. Study of Happiness,</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Centenary University</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Eli Lilly and Company</w:t>
            </w:r>
          </w:p>
        </w:tc>
        <w:tc>
          <w:tcPr>
            <w:tcW w:w="3540" w:type="dxa"/>
            <w:vAlign w:val="bottom"/>
          </w:tcPr>
          <w:p>
            <w:pPr>
              <w:ind w:left="220"/>
              <w:spacing w:after="0"/>
              <w:rPr>
                <w:sz w:val="20"/>
                <w:szCs w:val="20"/>
                <w:color w:val="auto"/>
              </w:rPr>
            </w:pPr>
            <w:r>
              <w:rPr>
                <w:rFonts w:ascii="Arial" w:cs="Arial" w:eastAsia="Arial" w:hAnsi="Arial"/>
                <w:sz w:val="16"/>
                <w:szCs w:val="16"/>
                <w:color w:val="202020"/>
              </w:rPr>
              <w:t>Various Executive Positions from 1990 to</w:t>
            </w: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2004</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2seventybio*</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2021 to 2025</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Glaukos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since 2021</w:t>
            </w: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Karuna Therapeutics,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2020 to 2024</w:t>
            </w: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Surface Oncology</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2021 to 2023</w:t>
            </w: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r>
      <w:tr>
        <w:trPr>
          <w:trHeight w:val="269"/>
        </w:trPr>
        <w:tc>
          <w:tcPr>
            <w:tcW w:w="3360" w:type="dxa"/>
            <w:vAlign w:val="bottom"/>
          </w:tcPr>
          <w:p>
            <w:pPr>
              <w:spacing w:after="0"/>
              <w:rPr>
                <w:sz w:val="23"/>
                <w:szCs w:val="23"/>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Bluebird bio,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2020 to 2021</w:t>
            </w: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-3915410</wp:posOffset>
                </wp:positionV>
                <wp:extent cx="0" cy="391541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15410"/>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308.2999pt" to="167.65pt,0pt" o:allowincell="f" strokecolor="#FFFFFF" strokeweight="14.9669pt"/>
            </w:pict>
          </mc:Fallback>
        </mc:AlternateContent>
      </w:r>
    </w:p>
    <w:p>
      <w:pPr>
        <w:sectPr>
          <w:pgSz w:w="11880" w:h="15480" w:orient="portrait"/>
          <w:cols w:equalWidth="0" w:num="1">
            <w:col w:w="10120"/>
          </w:cols>
          <w:pgMar w:left="880" w:top="545"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12 |</w:t>
        <w:tab/>
        <w:t>Celldex Therapeutics</w:t>
      </w:r>
    </w:p>
    <w:p>
      <w:pPr>
        <w:sectPr>
          <w:pgSz w:w="11880" w:h="15480" w:orient="portrait"/>
          <w:cols w:equalWidth="0" w:num="1">
            <w:col w:w="10120"/>
          </w:cols>
          <w:pgMar w:left="880" w:top="545" w:right="880" w:bottom="96" w:gutter="0" w:footer="0" w:header="0"/>
          <w:type w:val="continuous"/>
        </w:sectPr>
      </w:pPr>
    </w:p>
    <w:bookmarkStart w:id="16" w:name="page17"/>
    <w:bookmarkEnd w:id="16"/>
    <w:p>
      <w:pPr>
        <w:ind w:left="4720"/>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142" w:lineRule="exact"/>
        <w:rPr>
          <w:sz w:val="20"/>
          <w:szCs w:val="20"/>
          <w:color w:val="auto"/>
        </w:rPr>
      </w:pPr>
    </w:p>
    <w:p>
      <w:pPr>
        <w:ind w:right="1240"/>
        <w:spacing w:after="0" w:line="274" w:lineRule="auto"/>
        <w:rPr>
          <w:sz w:val="20"/>
          <w:szCs w:val="20"/>
          <w:color w:val="auto"/>
        </w:rPr>
      </w:pPr>
      <w:r>
        <w:rPr>
          <w:rFonts w:ascii="Arial" w:cs="Arial" w:eastAsia="Arial" w:hAnsi="Arial"/>
          <w:sz w:val="36"/>
          <w:szCs w:val="36"/>
          <w:b w:val="1"/>
          <w:bCs w:val="1"/>
          <w:color w:val="202020"/>
        </w:rPr>
        <w:t>Information Regarding the Board of Directors and Corporate Governance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Independence of the Board of Directors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02020"/>
        </w:rPr>
        <w:t>We are currently managed by a nine member Board of Directors, a majority of whom are “independent” as that term is defined in the applicable NASDAQ listing standards. Other than Mr. Marucci, each of our directors is deemed “independent” as that term is defined in the applicable NASDAQ listing standards. Our Board of Directors met five times in 2025. Each of the directors attended at least 75% of the aggregate of (i) the total number of meetings of our Board of Directors and</w:t>
      </w:r>
    </w:p>
    <w:p>
      <w:pPr>
        <w:spacing w:after="0" w:line="2" w:lineRule="exact"/>
        <w:rPr>
          <w:sz w:val="20"/>
          <w:szCs w:val="20"/>
          <w:color w:val="auto"/>
        </w:rPr>
      </w:pPr>
    </w:p>
    <w:p>
      <w:pPr>
        <w:ind w:right="20" w:firstLine="1"/>
        <w:spacing w:after="0" w:line="265" w:lineRule="auto"/>
        <w:tabs>
          <w:tab w:leader="none" w:pos="256" w:val="left"/>
        </w:tabs>
        <w:numPr>
          <w:ilvl w:val="0"/>
          <w:numId w:val="7"/>
        </w:numPr>
        <w:rPr>
          <w:rFonts w:ascii="Arial" w:cs="Arial" w:eastAsia="Arial" w:hAnsi="Arial"/>
          <w:sz w:val="18"/>
          <w:szCs w:val="18"/>
          <w:color w:val="202020"/>
        </w:rPr>
      </w:pPr>
      <w:r>
        <w:rPr>
          <w:rFonts w:ascii="Arial" w:cs="Arial" w:eastAsia="Arial" w:hAnsi="Arial"/>
          <w:sz w:val="18"/>
          <w:szCs w:val="18"/>
          <w:color w:val="202020"/>
        </w:rPr>
        <w:t>the total number of meetings of all committees of our Board of Directors on which the Director served. Our annual meeting of stockholders is generally held to coincide with one of the Board’s regularly scheduled meetings. We do not have a formal policy requiring members of the Board of Directors to attend our annual meetings, although our directors typically attend the annual meeting. Each of the then current directors attended the 2025 Annual Meeting of Stockholders. As of April 1, 2026, our committee membership has changed. The current members of our committees are listed below.</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Board Leadership Structure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160020</wp:posOffset>
                </wp:positionV>
                <wp:extent cx="1835785" cy="77914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5785" cy="779145"/>
                        </a:xfrm>
                        <a:prstGeom prst="rect">
                          <a:avLst/>
                        </a:prstGeom>
                        <a:solidFill>
                          <a:srgbClr val="202020"/>
                        </a:solidFill>
                      </wps:spPr>
                      <wps:bodyPr/>
                    </wps:wsp>
                  </a:graphicData>
                </a:graphic>
              </wp:anchor>
            </w:drawing>
          </mc:Choice>
          <mc:Fallback>
            <w:pict>
              <v:rect id="Shape 49" o:spid="_x0000_s1074" style="position:absolute;margin-left:0.05pt;margin-top:12.6pt;width:144.55pt;height:6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02020" stroked="f"/>
            </w:pict>
          </mc:Fallback>
        </mc:AlternateContent>
        <mc:AlternateContent>
          <mc:Choice Requires="wps">
            <w:drawing>
              <wp:anchor simplePos="0" relativeHeight="251657728" behindDoc="1" locked="0" layoutInCell="0" allowOverlap="1">
                <wp:simplePos x="0" y="0"/>
                <wp:positionH relativeFrom="column">
                  <wp:posOffset>1836420</wp:posOffset>
                </wp:positionH>
                <wp:positionV relativeFrom="paragraph">
                  <wp:posOffset>160020</wp:posOffset>
                </wp:positionV>
                <wp:extent cx="917575" cy="36703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7575" cy="367030"/>
                        </a:xfrm>
                        <a:prstGeom prst="rect">
                          <a:avLst/>
                        </a:prstGeom>
                        <a:solidFill>
                          <a:srgbClr val="CCCCCC"/>
                        </a:solidFill>
                      </wps:spPr>
                      <wps:bodyPr/>
                    </wps:wsp>
                  </a:graphicData>
                </a:graphic>
              </wp:anchor>
            </w:drawing>
          </mc:Choice>
          <mc:Fallback>
            <w:pict>
              <v:rect id="Shape 50" o:spid="_x0000_s1075" style="position:absolute;margin-left:144.6pt;margin-top:12.6pt;width:72.25pt;height:2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3672205</wp:posOffset>
                </wp:positionH>
                <wp:positionV relativeFrom="paragraph">
                  <wp:posOffset>160020</wp:posOffset>
                </wp:positionV>
                <wp:extent cx="917575" cy="36703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7575" cy="367030"/>
                        </a:xfrm>
                        <a:prstGeom prst="rect">
                          <a:avLst/>
                        </a:prstGeom>
                        <a:solidFill>
                          <a:srgbClr val="CCCCCC"/>
                        </a:solidFill>
                      </wps:spPr>
                      <wps:bodyPr/>
                    </wps:wsp>
                  </a:graphicData>
                </a:graphic>
              </wp:anchor>
            </w:drawing>
          </mc:Choice>
          <mc:Fallback>
            <w:pict>
              <v:rect id="Shape 51" o:spid="_x0000_s1076" style="position:absolute;margin-left:289.15pt;margin-top:12.6pt;width:72.25pt;height:28.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2753995</wp:posOffset>
                </wp:positionH>
                <wp:positionV relativeFrom="paragraph">
                  <wp:posOffset>160020</wp:posOffset>
                </wp:positionV>
                <wp:extent cx="918210" cy="77914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210" cy="779145"/>
                        </a:xfrm>
                        <a:prstGeom prst="rect">
                          <a:avLst/>
                        </a:prstGeom>
                        <a:solidFill>
                          <a:srgbClr val="D2D2D2"/>
                        </a:solidFill>
                      </wps:spPr>
                      <wps:bodyPr/>
                    </wps:wsp>
                  </a:graphicData>
                </a:graphic>
              </wp:anchor>
            </w:drawing>
          </mc:Choice>
          <mc:Fallback>
            <w:pict>
              <v:rect id="Shape 52" o:spid="_x0000_s1077" style="position:absolute;margin-left:216.85pt;margin-top:12.6pt;width:72.3pt;height:6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2D2D2" stroked="f"/>
            </w:pict>
          </mc:Fallback>
        </mc:AlternateContent>
        <mc:AlternateContent>
          <mc:Choice Requires="wps">
            <w:drawing>
              <wp:anchor simplePos="0" relativeHeight="251657728" behindDoc="1" locked="0" layoutInCell="0" allowOverlap="1">
                <wp:simplePos x="0" y="0"/>
                <wp:positionH relativeFrom="column">
                  <wp:posOffset>4589780</wp:posOffset>
                </wp:positionH>
                <wp:positionV relativeFrom="paragraph">
                  <wp:posOffset>160020</wp:posOffset>
                </wp:positionV>
                <wp:extent cx="1835785" cy="77914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5785" cy="779145"/>
                        </a:xfrm>
                        <a:prstGeom prst="rect">
                          <a:avLst/>
                        </a:prstGeom>
                        <a:solidFill>
                          <a:srgbClr val="202020"/>
                        </a:solidFill>
                      </wps:spPr>
                      <wps:bodyPr/>
                    </wps:wsp>
                  </a:graphicData>
                </a:graphic>
              </wp:anchor>
            </w:drawing>
          </mc:Choice>
          <mc:Fallback>
            <w:pict>
              <v:rect id="Shape 53" o:spid="_x0000_s1078" style="position:absolute;margin-left:361.4pt;margin-top:12.6pt;width:144.55pt;height:6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02020"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938530</wp:posOffset>
                </wp:positionV>
                <wp:extent cx="642429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73.9pt" to="505.9pt,73.9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918210</wp:posOffset>
                </wp:positionH>
                <wp:positionV relativeFrom="paragraph">
                  <wp:posOffset>920115</wp:posOffset>
                </wp:positionV>
                <wp:extent cx="0" cy="63309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3095"/>
                        </a:xfrm>
                        <a:prstGeom prst="line">
                          <a:avLst/>
                        </a:prstGeom>
                        <a:solidFill>
                          <a:srgbClr val="FFFFFF"/>
                        </a:solidFill>
                        <a:ln w="63360">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3pt,72.45pt" to="72.3pt,122.3pt" o:allowincell="f" strokecolor="#FFFFFF" strokeweight="4.989pt"/>
            </w:pict>
          </mc:Fallback>
        </mc:AlternateContent>
        <mc:AlternateContent>
          <mc:Choice Requires="wps">
            <w:drawing>
              <wp:anchor simplePos="0" relativeHeight="251657728" behindDoc="1" locked="0" layoutInCell="0" allowOverlap="1">
                <wp:simplePos x="0" y="0"/>
                <wp:positionH relativeFrom="column">
                  <wp:posOffset>1836420</wp:posOffset>
                </wp:positionH>
                <wp:positionV relativeFrom="paragraph">
                  <wp:posOffset>159385</wp:posOffset>
                </wp:positionV>
                <wp:extent cx="0" cy="139382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3825"/>
                        </a:xfrm>
                        <a:prstGeom prst="line">
                          <a:avLst/>
                        </a:prstGeom>
                        <a:solidFill>
                          <a:srgbClr val="FFFFFF"/>
                        </a:solidFill>
                        <a:ln w="63360">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6pt,12.55pt" to="144.6pt,122.3pt" o:allowincell="f" strokecolor="#FFFFFF" strokeweight="4.989pt"/>
            </w:pict>
          </mc:Fallback>
        </mc:AlternateContent>
        <mc:AlternateContent>
          <mc:Choice Requires="wps">
            <w:drawing>
              <wp:anchor simplePos="0" relativeHeight="251657728" behindDoc="1" locked="0" layoutInCell="0" allowOverlap="1">
                <wp:simplePos x="0" y="0"/>
                <wp:positionH relativeFrom="column">
                  <wp:posOffset>2753995</wp:posOffset>
                </wp:positionH>
                <wp:positionV relativeFrom="paragraph">
                  <wp:posOffset>159385</wp:posOffset>
                </wp:positionV>
                <wp:extent cx="0" cy="139382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3825"/>
                        </a:xfrm>
                        <a:prstGeom prst="line">
                          <a:avLst/>
                        </a:prstGeom>
                        <a:solidFill>
                          <a:srgbClr val="FFFFFF"/>
                        </a:solidFill>
                        <a:ln w="63360">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85pt,12.55pt" to="216.85pt,122.3pt" o:allowincell="f" strokecolor="#FFFFFF" strokeweight="4.989pt"/>
            </w:pict>
          </mc:Fallback>
        </mc:AlternateContent>
        <mc:AlternateContent>
          <mc:Choice Requires="wps">
            <w:drawing>
              <wp:anchor simplePos="0" relativeHeight="251657728" behindDoc="1" locked="0" layoutInCell="0" allowOverlap="1">
                <wp:simplePos x="0" y="0"/>
                <wp:positionH relativeFrom="column">
                  <wp:posOffset>3671570</wp:posOffset>
                </wp:positionH>
                <wp:positionV relativeFrom="paragraph">
                  <wp:posOffset>159385</wp:posOffset>
                </wp:positionV>
                <wp:extent cx="0" cy="139382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3825"/>
                        </a:xfrm>
                        <a:prstGeom prst="line">
                          <a:avLst/>
                        </a:prstGeom>
                        <a:solidFill>
                          <a:srgbClr val="FFFFFF"/>
                        </a:solidFill>
                        <a:ln w="63360">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1pt,12.55pt" to="289.1pt,122.3pt" o:allowincell="f" strokecolor="#FFFFFF" strokeweight="4.989pt"/>
            </w:pict>
          </mc:Fallback>
        </mc:AlternateContent>
        <mc:AlternateContent>
          <mc:Choice Requires="wps">
            <w:drawing>
              <wp:anchor simplePos="0" relativeHeight="251657728" behindDoc="1" locked="0" layoutInCell="0" allowOverlap="1">
                <wp:simplePos x="0" y="0"/>
                <wp:positionH relativeFrom="column">
                  <wp:posOffset>4589780</wp:posOffset>
                </wp:positionH>
                <wp:positionV relativeFrom="paragraph">
                  <wp:posOffset>159385</wp:posOffset>
                </wp:positionV>
                <wp:extent cx="0" cy="139382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93825"/>
                        </a:xfrm>
                        <a:prstGeom prst="line">
                          <a:avLst/>
                        </a:prstGeom>
                        <a:solidFill>
                          <a:srgbClr val="FFFFFF"/>
                        </a:solidFill>
                        <a:ln w="63360">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4pt,12.55pt" to="361.4pt,122.3pt" o:allowincell="f" strokecolor="#FFFFFF" strokeweight="4.989pt"/>
            </w:pict>
          </mc:Fallback>
        </mc:AlternateContent>
      </w:r>
    </w:p>
    <w:p>
      <w:pPr>
        <w:spacing w:after="0" w:line="279" w:lineRule="exact"/>
        <w:rPr>
          <w:sz w:val="20"/>
          <w:szCs w:val="20"/>
          <w:color w:val="auto"/>
        </w:rPr>
      </w:pPr>
    </w:p>
    <w:tbl>
      <w:tblPr>
        <w:tblLayout w:type="fixed"/>
        <w:tblInd w:w="740" w:type="dxa"/>
        <w:tblCellMar>
          <w:top w:w="0" w:type="dxa"/>
          <w:left w:w="0" w:type="dxa"/>
          <w:bottom w:w="0" w:type="dxa"/>
          <w:right w:w="0" w:type="dxa"/>
        </w:tblCellMar>
      </w:tblPr>
      <w:tr>
        <w:trPr>
          <w:trHeight w:val="219"/>
        </w:trPr>
        <w:tc>
          <w:tcPr>
            <w:tcW w:w="1900" w:type="dxa"/>
            <w:vAlign w:val="bottom"/>
          </w:tcPr>
          <w:p>
            <w:pPr>
              <w:jc w:val="center"/>
              <w:ind w:right="390"/>
              <w:spacing w:after="0"/>
              <w:rPr>
                <w:sz w:val="20"/>
                <w:szCs w:val="20"/>
                <w:color w:val="auto"/>
              </w:rPr>
            </w:pPr>
            <w:r>
              <w:rPr>
                <w:rFonts w:ascii="Arial" w:cs="Arial" w:eastAsia="Arial" w:hAnsi="Arial"/>
                <w:sz w:val="18"/>
                <w:szCs w:val="18"/>
                <w:b w:val="1"/>
                <w:bCs w:val="1"/>
                <w:color w:val="CCCCCC"/>
              </w:rPr>
              <w:t>Number of</w:t>
            </w:r>
          </w:p>
        </w:tc>
        <w:tc>
          <w:tcPr>
            <w:tcW w:w="2400" w:type="dxa"/>
            <w:vAlign w:val="bottom"/>
          </w:tcPr>
          <w:p>
            <w:pPr>
              <w:jc w:val="center"/>
              <w:ind w:right="350"/>
              <w:spacing w:after="0"/>
              <w:rPr>
                <w:sz w:val="20"/>
                <w:szCs w:val="20"/>
                <w:color w:val="auto"/>
              </w:rPr>
            </w:pPr>
            <w:r>
              <w:rPr>
                <w:rFonts w:ascii="Arial" w:cs="Arial" w:eastAsia="Arial" w:hAnsi="Arial"/>
                <w:sz w:val="18"/>
                <w:szCs w:val="18"/>
                <w:b w:val="1"/>
                <w:bCs w:val="1"/>
                <w:color w:val="202020"/>
                <w:w w:val="96"/>
              </w:rPr>
              <w:t>HARRY H.</w:t>
            </w:r>
          </w:p>
        </w:tc>
        <w:tc>
          <w:tcPr>
            <w:tcW w:w="2560" w:type="dxa"/>
            <w:vAlign w:val="bottom"/>
          </w:tcPr>
          <w:p>
            <w:pPr>
              <w:jc w:val="center"/>
              <w:ind w:left="270"/>
              <w:spacing w:after="0"/>
              <w:rPr>
                <w:sz w:val="20"/>
                <w:szCs w:val="20"/>
                <w:color w:val="auto"/>
              </w:rPr>
            </w:pPr>
            <w:r>
              <w:rPr>
                <w:rFonts w:ascii="Arial" w:cs="Arial" w:eastAsia="Arial" w:hAnsi="Arial"/>
                <w:sz w:val="18"/>
                <w:szCs w:val="18"/>
                <w:b w:val="1"/>
                <w:bCs w:val="1"/>
                <w:color w:val="202020"/>
                <w:w w:val="97"/>
              </w:rPr>
              <w:t>ANTHONY S.</w:t>
            </w:r>
          </w:p>
        </w:tc>
        <w:tc>
          <w:tcPr>
            <w:tcW w:w="1600" w:type="dxa"/>
            <w:vAlign w:val="bottom"/>
          </w:tcPr>
          <w:p>
            <w:pPr>
              <w:jc w:val="center"/>
              <w:ind w:left="450"/>
              <w:spacing w:after="0"/>
              <w:rPr>
                <w:sz w:val="20"/>
                <w:szCs w:val="20"/>
                <w:color w:val="auto"/>
              </w:rPr>
            </w:pPr>
            <w:r>
              <w:rPr>
                <w:rFonts w:ascii="Arial" w:cs="Arial" w:eastAsia="Arial" w:hAnsi="Arial"/>
                <w:sz w:val="18"/>
                <w:szCs w:val="18"/>
                <w:b w:val="1"/>
                <w:bCs w:val="1"/>
                <w:color w:val="CCCCCC"/>
              </w:rPr>
              <w:t>Director</w:t>
            </w:r>
          </w:p>
        </w:tc>
      </w:tr>
      <w:tr>
        <w:trPr>
          <w:trHeight w:val="244"/>
        </w:trPr>
        <w:tc>
          <w:tcPr>
            <w:tcW w:w="1900" w:type="dxa"/>
            <w:vAlign w:val="bottom"/>
          </w:tcPr>
          <w:p>
            <w:pPr>
              <w:jc w:val="center"/>
              <w:ind w:right="390"/>
              <w:spacing w:after="0"/>
              <w:rPr>
                <w:sz w:val="20"/>
                <w:szCs w:val="20"/>
                <w:color w:val="auto"/>
              </w:rPr>
            </w:pPr>
            <w:r>
              <w:rPr>
                <w:rFonts w:ascii="Arial" w:cs="Arial" w:eastAsia="Arial" w:hAnsi="Arial"/>
                <w:sz w:val="18"/>
                <w:szCs w:val="18"/>
                <w:b w:val="1"/>
                <w:bCs w:val="1"/>
                <w:color w:val="CCCCCC"/>
              </w:rPr>
              <w:t>Board meetings</w:t>
            </w:r>
          </w:p>
        </w:tc>
        <w:tc>
          <w:tcPr>
            <w:tcW w:w="2400" w:type="dxa"/>
            <w:vAlign w:val="bottom"/>
          </w:tcPr>
          <w:p>
            <w:pPr>
              <w:jc w:val="center"/>
              <w:ind w:right="350"/>
              <w:spacing w:after="0"/>
              <w:rPr>
                <w:sz w:val="20"/>
                <w:szCs w:val="20"/>
                <w:color w:val="auto"/>
              </w:rPr>
            </w:pPr>
            <w:r>
              <w:rPr>
                <w:rFonts w:ascii="Arial" w:cs="Arial" w:eastAsia="Arial" w:hAnsi="Arial"/>
                <w:sz w:val="18"/>
                <w:szCs w:val="18"/>
                <w:b w:val="1"/>
                <w:bCs w:val="1"/>
                <w:color w:val="202020"/>
                <w:w w:val="92"/>
              </w:rPr>
              <w:t>PENNER, JR</w:t>
            </w:r>
          </w:p>
        </w:tc>
        <w:tc>
          <w:tcPr>
            <w:tcW w:w="2560" w:type="dxa"/>
            <w:vAlign w:val="bottom"/>
          </w:tcPr>
          <w:p>
            <w:pPr>
              <w:jc w:val="center"/>
              <w:ind w:left="290"/>
              <w:spacing w:after="0"/>
              <w:rPr>
                <w:sz w:val="20"/>
                <w:szCs w:val="20"/>
                <w:color w:val="auto"/>
              </w:rPr>
            </w:pPr>
            <w:r>
              <w:rPr>
                <w:rFonts w:ascii="Arial" w:cs="Arial" w:eastAsia="Arial" w:hAnsi="Arial"/>
                <w:sz w:val="18"/>
                <w:szCs w:val="18"/>
                <w:b w:val="1"/>
                <w:bCs w:val="1"/>
                <w:color w:val="202020"/>
                <w:w w:val="96"/>
              </w:rPr>
              <w:t>MARUCCI</w:t>
            </w:r>
          </w:p>
        </w:tc>
        <w:tc>
          <w:tcPr>
            <w:tcW w:w="1600" w:type="dxa"/>
            <w:vAlign w:val="bottom"/>
          </w:tcPr>
          <w:p>
            <w:pPr>
              <w:jc w:val="center"/>
              <w:ind w:left="470"/>
              <w:spacing w:after="0"/>
              <w:rPr>
                <w:sz w:val="20"/>
                <w:szCs w:val="20"/>
                <w:color w:val="auto"/>
              </w:rPr>
            </w:pPr>
            <w:r>
              <w:rPr>
                <w:rFonts w:ascii="Arial" w:cs="Arial" w:eastAsia="Arial" w:hAnsi="Arial"/>
                <w:sz w:val="18"/>
                <w:szCs w:val="18"/>
                <w:b w:val="1"/>
                <w:bCs w:val="1"/>
                <w:color w:val="CCCCCC"/>
              </w:rPr>
              <w:t>Attendance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1260" w:type="dxa"/>
            <w:vAlign w:val="bottom"/>
          </w:tcPr>
          <w:p>
            <w:pPr>
              <w:spacing w:after="0"/>
              <w:rPr>
                <w:sz w:val="5"/>
                <w:szCs w:val="5"/>
                <w:color w:val="auto"/>
              </w:rPr>
            </w:pPr>
          </w:p>
        </w:tc>
        <w:tc>
          <w:tcPr>
            <w:tcW w:w="1640" w:type="dxa"/>
            <w:vAlign w:val="bottom"/>
            <w:vMerge w:val="restart"/>
          </w:tcPr>
          <w:p>
            <w:pPr>
              <w:jc w:val="right"/>
              <w:ind w:right="1231"/>
              <w:spacing w:after="0" w:line="156" w:lineRule="exact"/>
              <w:rPr>
                <w:sz w:val="20"/>
                <w:szCs w:val="20"/>
                <w:color w:val="auto"/>
              </w:rPr>
            </w:pPr>
            <w:r>
              <w:rPr>
                <w:rFonts w:ascii="Arial" w:cs="Arial" w:eastAsia="Arial" w:hAnsi="Arial"/>
                <w:sz w:val="18"/>
                <w:szCs w:val="18"/>
                <w:b w:val="1"/>
                <w:bCs w:val="1"/>
                <w:color w:val="CCCCCC"/>
              </w:rPr>
              <w:t>5</w:t>
            </w:r>
          </w:p>
        </w:tc>
        <w:tc>
          <w:tcPr>
            <w:tcW w:w="1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900" w:type="dxa"/>
            <w:vAlign w:val="bottom"/>
            <w:gridSpan w:val="2"/>
            <w:vMerge w:val="restart"/>
          </w:tcPr>
          <w:p>
            <w:pPr>
              <w:jc w:val="right"/>
              <w:ind w:right="710"/>
              <w:spacing w:after="0" w:line="156" w:lineRule="exact"/>
              <w:rPr>
                <w:sz w:val="20"/>
                <w:szCs w:val="20"/>
                <w:color w:val="auto"/>
              </w:rPr>
            </w:pPr>
            <w:r>
              <w:rPr>
                <w:rFonts w:ascii="Arial" w:cs="Arial" w:eastAsia="Arial" w:hAnsi="Arial"/>
                <w:sz w:val="18"/>
                <w:szCs w:val="18"/>
                <w:b w:val="1"/>
                <w:bCs w:val="1"/>
                <w:color w:val="CCCCCC"/>
              </w:rPr>
              <w:t>&gt;75%</w:t>
            </w:r>
          </w:p>
        </w:tc>
        <w:tc>
          <w:tcPr>
            <w:tcW w:w="0" w:type="dxa"/>
            <w:vAlign w:val="bottom"/>
          </w:tcPr>
          <w:p>
            <w:pPr>
              <w:spacing w:after="0"/>
              <w:rPr>
                <w:sz w:val="1"/>
                <w:szCs w:val="1"/>
                <w:color w:val="auto"/>
              </w:rPr>
            </w:pPr>
          </w:p>
        </w:tc>
      </w:tr>
      <w:tr>
        <w:trPr>
          <w:trHeight w:val="88"/>
        </w:trPr>
        <w:tc>
          <w:tcPr>
            <w:tcW w:w="126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40" w:type="dxa"/>
            <w:vAlign w:val="bottom"/>
            <w:shd w:val="clear" w:color="auto" w:fill="E9E9E9"/>
          </w:tcPr>
          <w:p>
            <w:pPr>
              <w:jc w:val="center"/>
              <w:spacing w:after="0" w:line="88" w:lineRule="exact"/>
              <w:rPr>
                <w:sz w:val="20"/>
                <w:szCs w:val="20"/>
                <w:color w:val="auto"/>
              </w:rPr>
            </w:pPr>
            <w:r>
              <w:rPr>
                <w:rFonts w:ascii="Arial" w:cs="Arial" w:eastAsia="Arial" w:hAnsi="Arial"/>
                <w:sz w:val="10"/>
                <w:szCs w:val="10"/>
                <w:b w:val="1"/>
                <w:bCs w:val="1"/>
                <w:color w:val="202020"/>
              </w:rPr>
              <w:t>Board</w:t>
            </w:r>
          </w:p>
        </w:tc>
        <w:tc>
          <w:tcPr>
            <w:tcW w:w="1440" w:type="dxa"/>
            <w:vAlign w:val="bottom"/>
          </w:tcPr>
          <w:p>
            <w:pPr>
              <w:spacing w:after="0"/>
              <w:rPr>
                <w:sz w:val="7"/>
                <w:szCs w:val="7"/>
                <w:color w:val="auto"/>
              </w:rPr>
            </w:pPr>
          </w:p>
        </w:tc>
        <w:tc>
          <w:tcPr>
            <w:tcW w:w="144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CEO/Director</w:t>
            </w: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4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Chair of the</w:t>
            </w:r>
          </w:p>
        </w:tc>
        <w:tc>
          <w:tcPr>
            <w:tcW w:w="1440" w:type="dxa"/>
            <w:vAlign w:val="bottom"/>
          </w:tcPr>
          <w:p>
            <w:pPr>
              <w:spacing w:after="0"/>
              <w:rPr>
                <w:sz w:val="21"/>
                <w:szCs w:val="21"/>
                <w:color w:val="auto"/>
              </w:rPr>
            </w:pPr>
          </w:p>
        </w:tc>
        <w:tc>
          <w:tcPr>
            <w:tcW w:w="1440" w:type="dxa"/>
            <w:vAlign w:val="bottom"/>
            <w:vMerge w:val="continue"/>
            <w:shd w:val="clear" w:color="auto" w:fill="E9E9E9"/>
          </w:tcPr>
          <w:p>
            <w:pPr>
              <w:spacing w:after="0"/>
              <w:rPr>
                <w:sz w:val="21"/>
                <w:szCs w:val="21"/>
                <w:color w:val="auto"/>
              </w:rPr>
            </w:pPr>
          </w:p>
        </w:tc>
        <w:tc>
          <w:tcPr>
            <w:tcW w:w="1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shd w:val="clear" w:color="auto" w:fill="E9E9E9"/>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shd w:val="clear" w:color="auto" w:fill="E9E9E9"/>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shd w:val="clear" w:color="auto" w:fill="CCCCCC"/>
          </w:tcPr>
          <w:p>
            <w:pPr>
              <w:jc w:val="center"/>
              <w:ind w:left="90"/>
              <w:spacing w:after="0"/>
              <w:rPr>
                <w:sz w:val="20"/>
                <w:szCs w:val="20"/>
                <w:color w:val="auto"/>
              </w:rPr>
            </w:pPr>
            <w:r>
              <w:rPr>
                <w:rFonts w:ascii="Arial" w:cs="Arial" w:eastAsia="Arial" w:hAnsi="Arial"/>
                <w:sz w:val="18"/>
                <w:szCs w:val="18"/>
                <w:b w:val="1"/>
                <w:bCs w:val="1"/>
                <w:color w:val="202020"/>
                <w:w w:val="95"/>
              </w:rPr>
              <w:t>KEITH L.</w:t>
            </w:r>
          </w:p>
        </w:tc>
        <w:tc>
          <w:tcPr>
            <w:tcW w:w="1640" w:type="dxa"/>
            <w:vAlign w:val="bottom"/>
            <w:shd w:val="clear" w:color="auto" w:fill="CCCCCC"/>
          </w:tcPr>
          <w:p>
            <w:pPr>
              <w:jc w:val="center"/>
              <w:ind w:left="91"/>
              <w:spacing w:after="0"/>
              <w:rPr>
                <w:sz w:val="20"/>
                <w:szCs w:val="20"/>
                <w:color w:val="auto"/>
              </w:rPr>
            </w:pPr>
            <w:r>
              <w:rPr>
                <w:rFonts w:ascii="Arial" w:cs="Arial" w:eastAsia="Arial" w:hAnsi="Arial"/>
                <w:sz w:val="18"/>
                <w:szCs w:val="18"/>
                <w:b w:val="1"/>
                <w:bCs w:val="1"/>
                <w:color w:val="202020"/>
                <w:w w:val="90"/>
              </w:rPr>
              <w:t>CHERYL L.</w:t>
            </w:r>
          </w:p>
        </w:tc>
        <w:tc>
          <w:tcPr>
            <w:tcW w:w="144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89"/>
              </w:rPr>
              <w:t>HERBERT J.</w:t>
            </w:r>
          </w:p>
        </w:tc>
        <w:tc>
          <w:tcPr>
            <w:tcW w:w="144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8"/>
              </w:rPr>
              <w:t>RITA I.</w:t>
            </w:r>
          </w:p>
        </w:tc>
        <w:tc>
          <w:tcPr>
            <w:tcW w:w="144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85"/>
              </w:rPr>
              <w:t>JAMES J.</w:t>
            </w:r>
          </w:p>
        </w:tc>
        <w:tc>
          <w:tcPr>
            <w:tcW w:w="15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3"/>
              </w:rPr>
              <w:t>GARRY A.</w:t>
            </w:r>
          </w:p>
        </w:tc>
        <w:tc>
          <w:tcPr>
            <w:tcW w:w="14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Denice</w:t>
            </w:r>
          </w:p>
        </w:tc>
        <w:tc>
          <w:tcPr>
            <w:tcW w:w="0" w:type="dxa"/>
            <w:vAlign w:val="bottom"/>
          </w:tcPr>
          <w:p>
            <w:pPr>
              <w:spacing w:after="0"/>
              <w:rPr>
                <w:sz w:val="1"/>
                <w:szCs w:val="1"/>
                <w:color w:val="auto"/>
              </w:rPr>
            </w:pPr>
          </w:p>
        </w:tc>
      </w:tr>
      <w:tr>
        <w:trPr>
          <w:trHeight w:val="244"/>
        </w:trPr>
        <w:tc>
          <w:tcPr>
            <w:tcW w:w="1260" w:type="dxa"/>
            <w:vAlign w:val="bottom"/>
            <w:shd w:val="clear" w:color="auto" w:fill="CCCCCC"/>
          </w:tcPr>
          <w:p>
            <w:pPr>
              <w:jc w:val="center"/>
              <w:ind w:left="90"/>
              <w:spacing w:after="0"/>
              <w:rPr>
                <w:sz w:val="20"/>
                <w:szCs w:val="20"/>
                <w:color w:val="auto"/>
              </w:rPr>
            </w:pPr>
            <w:r>
              <w:rPr>
                <w:rFonts w:ascii="Arial" w:cs="Arial" w:eastAsia="Arial" w:hAnsi="Arial"/>
                <w:sz w:val="18"/>
                <w:szCs w:val="18"/>
                <w:b w:val="1"/>
                <w:bCs w:val="1"/>
                <w:color w:val="202020"/>
                <w:w w:val="97"/>
              </w:rPr>
              <w:t>BROWNLIE</w:t>
            </w:r>
          </w:p>
        </w:tc>
        <w:tc>
          <w:tcPr>
            <w:tcW w:w="1640" w:type="dxa"/>
            <w:vAlign w:val="bottom"/>
            <w:shd w:val="clear" w:color="auto" w:fill="CCCCCC"/>
          </w:tcPr>
          <w:p>
            <w:pPr>
              <w:jc w:val="center"/>
              <w:ind w:left="91"/>
              <w:spacing w:after="0"/>
              <w:rPr>
                <w:sz w:val="20"/>
                <w:szCs w:val="20"/>
                <w:color w:val="auto"/>
              </w:rPr>
            </w:pPr>
            <w:r>
              <w:rPr>
                <w:rFonts w:ascii="Arial" w:cs="Arial" w:eastAsia="Arial" w:hAnsi="Arial"/>
                <w:sz w:val="18"/>
                <w:szCs w:val="18"/>
                <w:b w:val="1"/>
                <w:bCs w:val="1"/>
                <w:color w:val="202020"/>
                <w:w w:val="95"/>
              </w:rPr>
              <w:t>COHEN</w:t>
            </w:r>
          </w:p>
        </w:tc>
        <w:tc>
          <w:tcPr>
            <w:tcW w:w="144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8"/>
              </w:rPr>
              <w:t>CONRAD</w:t>
            </w:r>
          </w:p>
        </w:tc>
        <w:tc>
          <w:tcPr>
            <w:tcW w:w="144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8"/>
              </w:rPr>
              <w:t>JAIN, M.D.</w:t>
            </w:r>
          </w:p>
        </w:tc>
        <w:tc>
          <w:tcPr>
            <w:tcW w:w="144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MARINO</w:t>
            </w:r>
          </w:p>
        </w:tc>
        <w:tc>
          <w:tcPr>
            <w:tcW w:w="15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NEIL, M.D.</w:t>
            </w:r>
          </w:p>
        </w:tc>
        <w:tc>
          <w:tcPr>
            <w:tcW w:w="14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9"/>
              </w:rPr>
              <w:t>Torres</w:t>
            </w:r>
          </w:p>
        </w:tc>
        <w:tc>
          <w:tcPr>
            <w:tcW w:w="0" w:type="dxa"/>
            <w:vAlign w:val="bottom"/>
          </w:tcPr>
          <w:p>
            <w:pPr>
              <w:spacing w:after="0"/>
              <w:rPr>
                <w:sz w:val="1"/>
                <w:szCs w:val="1"/>
                <w:color w:val="auto"/>
              </w:rPr>
            </w:pPr>
          </w:p>
        </w:tc>
      </w:tr>
      <w:tr>
        <w:trPr>
          <w:trHeight w:val="68"/>
        </w:trPr>
        <w:tc>
          <w:tcPr>
            <w:tcW w:w="1260" w:type="dxa"/>
            <w:vAlign w:val="bottom"/>
            <w:shd w:val="clear" w:color="auto" w:fill="CCCCCC"/>
          </w:tcPr>
          <w:p>
            <w:pPr>
              <w:spacing w:after="0"/>
              <w:rPr>
                <w:sz w:val="5"/>
                <w:szCs w:val="5"/>
                <w:color w:val="auto"/>
              </w:rPr>
            </w:pPr>
          </w:p>
        </w:tc>
        <w:tc>
          <w:tcPr>
            <w:tcW w:w="1640" w:type="dxa"/>
            <w:vAlign w:val="bottom"/>
            <w:shd w:val="clear" w:color="auto" w:fill="CCCCCC"/>
          </w:tcPr>
          <w:p>
            <w:pPr>
              <w:spacing w:after="0"/>
              <w:rPr>
                <w:sz w:val="5"/>
                <w:szCs w:val="5"/>
                <w:color w:val="auto"/>
              </w:rPr>
            </w:pPr>
          </w:p>
        </w:tc>
        <w:tc>
          <w:tcPr>
            <w:tcW w:w="1440" w:type="dxa"/>
            <w:vAlign w:val="bottom"/>
            <w:shd w:val="clear" w:color="auto" w:fill="CCCCCC"/>
          </w:tcPr>
          <w:p>
            <w:pPr>
              <w:spacing w:after="0"/>
              <w:rPr>
                <w:sz w:val="5"/>
                <w:szCs w:val="5"/>
                <w:color w:val="auto"/>
              </w:rPr>
            </w:pPr>
          </w:p>
        </w:tc>
        <w:tc>
          <w:tcPr>
            <w:tcW w:w="1440" w:type="dxa"/>
            <w:vAlign w:val="bottom"/>
            <w:shd w:val="clear" w:color="auto" w:fill="CCCCCC"/>
          </w:tcPr>
          <w:p>
            <w:pPr>
              <w:spacing w:after="0"/>
              <w:rPr>
                <w:sz w:val="5"/>
                <w:szCs w:val="5"/>
                <w:color w:val="auto"/>
              </w:rPr>
            </w:pPr>
          </w:p>
        </w:tc>
        <w:tc>
          <w:tcPr>
            <w:tcW w:w="1440" w:type="dxa"/>
            <w:vAlign w:val="bottom"/>
            <w:shd w:val="clear" w:color="auto" w:fill="CCCCCC"/>
          </w:tcPr>
          <w:p>
            <w:pPr>
              <w:spacing w:after="0"/>
              <w:rPr>
                <w:sz w:val="5"/>
                <w:szCs w:val="5"/>
                <w:color w:val="auto"/>
              </w:rPr>
            </w:pPr>
          </w:p>
        </w:tc>
        <w:tc>
          <w:tcPr>
            <w:tcW w:w="1500" w:type="dxa"/>
            <w:vAlign w:val="bottom"/>
            <w:shd w:val="clear" w:color="auto" w:fill="CCCCCC"/>
          </w:tcPr>
          <w:p>
            <w:pPr>
              <w:spacing w:after="0"/>
              <w:rPr>
                <w:sz w:val="5"/>
                <w:szCs w:val="5"/>
                <w:color w:val="auto"/>
              </w:rPr>
            </w:pPr>
          </w:p>
        </w:tc>
        <w:tc>
          <w:tcPr>
            <w:tcW w:w="1400" w:type="dxa"/>
            <w:vAlign w:val="bottom"/>
            <w:shd w:val="clear" w:color="auto" w:fill="CCCCCC"/>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260" w:type="dxa"/>
            <w:vAlign w:val="bottom"/>
            <w:shd w:val="clear" w:color="auto" w:fill="E9E9E9"/>
          </w:tcPr>
          <w:p>
            <w:pPr>
              <w:jc w:val="center"/>
              <w:ind w:left="110"/>
              <w:spacing w:after="0"/>
              <w:rPr>
                <w:sz w:val="20"/>
                <w:szCs w:val="20"/>
                <w:color w:val="auto"/>
              </w:rPr>
            </w:pPr>
            <w:r>
              <w:rPr>
                <w:rFonts w:ascii="Arial" w:cs="Arial" w:eastAsia="Arial" w:hAnsi="Arial"/>
                <w:sz w:val="18"/>
                <w:szCs w:val="18"/>
                <w:b w:val="1"/>
                <w:bCs w:val="1"/>
                <w:color w:val="202020"/>
              </w:rPr>
              <w:t>Director</w:t>
            </w:r>
          </w:p>
        </w:tc>
        <w:tc>
          <w:tcPr>
            <w:tcW w:w="1640" w:type="dxa"/>
            <w:vAlign w:val="bottom"/>
            <w:shd w:val="clear" w:color="auto" w:fill="E9E9E9"/>
          </w:tcPr>
          <w:p>
            <w:pPr>
              <w:jc w:val="center"/>
              <w:ind w:left="91"/>
              <w:spacing w:after="0"/>
              <w:rPr>
                <w:sz w:val="20"/>
                <w:szCs w:val="20"/>
                <w:color w:val="auto"/>
              </w:rPr>
            </w:pPr>
            <w:r>
              <w:rPr>
                <w:rFonts w:ascii="Arial" w:cs="Arial" w:eastAsia="Arial" w:hAnsi="Arial"/>
                <w:sz w:val="18"/>
                <w:szCs w:val="18"/>
                <w:b w:val="1"/>
                <w:bCs w:val="1"/>
                <w:color w:val="202020"/>
              </w:rPr>
              <w:t>Director</w:t>
            </w:r>
          </w:p>
        </w:tc>
        <w:tc>
          <w:tcPr>
            <w:tcW w:w="144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144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144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150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140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0" w:type="dxa"/>
            <w:vAlign w:val="bottom"/>
          </w:tcPr>
          <w:p>
            <w:pPr>
              <w:spacing w:after="0"/>
              <w:rPr>
                <w:sz w:val="1"/>
                <w:szCs w:val="1"/>
                <w:color w:val="auto"/>
              </w:rPr>
            </w:pPr>
          </w:p>
        </w:tc>
      </w:tr>
      <w:tr>
        <w:trPr>
          <w:trHeight w:val="68"/>
        </w:trPr>
        <w:tc>
          <w:tcPr>
            <w:tcW w:w="1260" w:type="dxa"/>
            <w:vAlign w:val="bottom"/>
            <w:shd w:val="clear" w:color="auto" w:fill="E9E9E9"/>
          </w:tcPr>
          <w:p>
            <w:pPr>
              <w:spacing w:after="0"/>
              <w:rPr>
                <w:sz w:val="5"/>
                <w:szCs w:val="5"/>
                <w:color w:val="auto"/>
              </w:rPr>
            </w:pPr>
          </w:p>
        </w:tc>
        <w:tc>
          <w:tcPr>
            <w:tcW w:w="1640" w:type="dxa"/>
            <w:vAlign w:val="bottom"/>
            <w:shd w:val="clear" w:color="auto" w:fill="E9E9E9"/>
          </w:tcPr>
          <w:p>
            <w:pPr>
              <w:spacing w:after="0"/>
              <w:rPr>
                <w:sz w:val="5"/>
                <w:szCs w:val="5"/>
                <w:color w:val="auto"/>
              </w:rPr>
            </w:pPr>
          </w:p>
        </w:tc>
        <w:tc>
          <w:tcPr>
            <w:tcW w:w="1440" w:type="dxa"/>
            <w:vAlign w:val="bottom"/>
            <w:shd w:val="clear" w:color="auto" w:fill="E9E9E9"/>
          </w:tcPr>
          <w:p>
            <w:pPr>
              <w:spacing w:after="0"/>
              <w:rPr>
                <w:sz w:val="5"/>
                <w:szCs w:val="5"/>
                <w:color w:val="auto"/>
              </w:rPr>
            </w:pPr>
          </w:p>
        </w:tc>
        <w:tc>
          <w:tcPr>
            <w:tcW w:w="1440" w:type="dxa"/>
            <w:vAlign w:val="bottom"/>
            <w:shd w:val="clear" w:color="auto" w:fill="E9E9E9"/>
          </w:tcPr>
          <w:p>
            <w:pPr>
              <w:spacing w:after="0"/>
              <w:rPr>
                <w:sz w:val="5"/>
                <w:szCs w:val="5"/>
                <w:color w:val="auto"/>
              </w:rPr>
            </w:pPr>
          </w:p>
        </w:tc>
        <w:tc>
          <w:tcPr>
            <w:tcW w:w="1440" w:type="dxa"/>
            <w:vAlign w:val="bottom"/>
            <w:shd w:val="clear" w:color="auto" w:fill="E9E9E9"/>
          </w:tcPr>
          <w:p>
            <w:pPr>
              <w:spacing w:after="0"/>
              <w:rPr>
                <w:sz w:val="5"/>
                <w:szCs w:val="5"/>
                <w:color w:val="auto"/>
              </w:rPr>
            </w:pPr>
          </w:p>
        </w:tc>
        <w:tc>
          <w:tcPr>
            <w:tcW w:w="1500" w:type="dxa"/>
            <w:vAlign w:val="bottom"/>
            <w:shd w:val="clear" w:color="auto" w:fill="E9E9E9"/>
          </w:tcPr>
          <w:p>
            <w:pPr>
              <w:spacing w:after="0"/>
              <w:rPr>
                <w:sz w:val="5"/>
                <w:szCs w:val="5"/>
                <w:color w:val="auto"/>
              </w:rPr>
            </w:pPr>
          </w:p>
        </w:tc>
        <w:tc>
          <w:tcPr>
            <w:tcW w:w="1400" w:type="dxa"/>
            <w:vAlign w:val="bottom"/>
            <w:shd w:val="clear" w:color="auto" w:fill="E9E9E9"/>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5507355</wp:posOffset>
                </wp:positionH>
                <wp:positionV relativeFrom="paragraph">
                  <wp:posOffset>-633095</wp:posOffset>
                </wp:positionV>
                <wp:extent cx="0" cy="63309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3095"/>
                        </a:xfrm>
                        <a:prstGeom prst="line">
                          <a:avLst/>
                        </a:prstGeom>
                        <a:solidFill>
                          <a:srgbClr val="FFFFFF"/>
                        </a:solidFill>
                        <a:ln w="63360">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5pt,-49.8499pt" to="433.65pt,0pt" o:allowincell="f" strokecolor="#FFFFFF" strokeweight="4.989pt"/>
            </w:pict>
          </mc:Fallback>
        </mc:AlternateConten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202020"/>
        </w:rPr>
        <w:t>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given the dynamic and competitive environment in which we operate, the right Board leadership structure may vary as circumstances warrant. Consistent with this understanding, the Nominating and Corporate Governance Committee considers the Board’s leadership structure on an annual basis. This consideration includes the pros and cons of alternative leadership structures in light of the Company’s operating and governance environment at the time, with the goal of achieving the optimal model for effective oversight of management by the Board. Currently, the roles of Chief Executive Officer and Chair of the Board are separate. Mr. Marucci, our Chief Executive Officer, is a member of our Board. Mr. Penner, an independent director, serves as our current Chair of the Board. The Board believes that its current leadership structure provides independent board leadership, engagement and oversight.</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202020"/>
        </w:rPr>
        <w:t>In addition, our independent committee chairs are responsible for leading committee meetings, determining committee meeting schedules, agenda and information flow, and reporting to the full Board on the committee’s actions and areas of responsibilities.</w:t>
      </w:r>
    </w:p>
    <w:p>
      <w:pPr>
        <w:sectPr>
          <w:pgSz w:w="11880" w:h="15480" w:orient="portrait"/>
          <w:cols w:equalWidth="0" w:num="1">
            <w:col w:w="10140"/>
          </w:cols>
          <w:pgMar w:left="880" w:top="544" w:right="86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13</w:t>
      </w:r>
    </w:p>
    <w:p>
      <w:pPr>
        <w:sectPr>
          <w:pgSz w:w="11880" w:h="15480" w:orient="portrait"/>
          <w:cols w:equalWidth="0" w:num="1">
            <w:col w:w="10140"/>
          </w:cols>
          <w:pgMar w:left="880" w:top="544" w:right="860" w:bottom="96"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Role of the Board in Risk Oversight</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8"/>
          <w:szCs w:val="18"/>
          <w:color w:val="202020"/>
        </w:rPr>
        <w:t>Our management is responsible for assessing and managing risk and the Board of Directors oversees and reviews certain aspects of our risk management processes. The Board of Directors is involved in risk oversight through direct decision-making authority with respect to significant matters and the oversight of management and its committees. The Board is responsible for overseeing risks related to our overall operations and strategy, including, among others, product development, potential asset acquisitions, financial reporting, business continuity (including succession planning) and reputational risks faced by us.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202020"/>
        </w:rPr>
        <w:t>The committees of the Board execute their oversight responsibility for risk management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154940</wp:posOffset>
            </wp:positionV>
            <wp:extent cx="6450330" cy="4105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7">
                      <a:extLst>
                        <a:ext uri="{28A0092B-C50C-407E-A947-70E740481C1C}"/>
                      </a:extLst>
                    </a:blip>
                    <a:srcRect/>
                    <a:stretch>
                      <a:fillRect/>
                    </a:stretch>
                  </pic:blipFill>
                  <pic:spPr bwMode="auto">
                    <a:xfrm>
                      <a:off x="0" y="0"/>
                      <a:ext cx="6450330" cy="4105275"/>
                    </a:xfrm>
                    <a:prstGeom prst="rect">
                      <a:avLst/>
                    </a:prstGeom>
                    <a:noFill/>
                  </pic:spPr>
                </pic:pic>
              </a:graphicData>
            </a:graphic>
          </wp:anchor>
        </w:drawing>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Audit Committee</w:t>
      </w:r>
    </w:p>
    <w:p>
      <w:pPr>
        <w:spacing w:after="0" w:line="112" w:lineRule="exact"/>
        <w:rPr>
          <w:sz w:val="20"/>
          <w:szCs w:val="20"/>
          <w:color w:val="auto"/>
        </w:rPr>
      </w:pPr>
    </w:p>
    <w:p>
      <w:pPr>
        <w:ind w:left="280" w:right="160" w:hanging="159"/>
        <w:spacing w:after="0" w:line="275" w:lineRule="auto"/>
        <w:tabs>
          <w:tab w:leader="none" w:pos="280" w:val="left"/>
        </w:tabs>
        <w:numPr>
          <w:ilvl w:val="0"/>
          <w:numId w:val="8"/>
        </w:numPr>
        <w:rPr>
          <w:rFonts w:ascii="Arial" w:cs="Arial" w:eastAsia="Arial" w:hAnsi="Arial"/>
          <w:sz w:val="18"/>
          <w:szCs w:val="18"/>
          <w:color w:val="202020"/>
        </w:rPr>
      </w:pPr>
      <w:r>
        <w:rPr>
          <w:rFonts w:ascii="Arial" w:cs="Arial" w:eastAsia="Arial" w:hAnsi="Arial"/>
          <w:sz w:val="18"/>
          <w:szCs w:val="18"/>
          <w:color w:val="202020"/>
        </w:rPr>
        <w:t>Overseeing our internal financial and accounting controls and the work performed by the independent registered public accounting firm.</w:t>
      </w:r>
    </w:p>
    <w:p>
      <w:pPr>
        <w:spacing w:after="0" w:line="66" w:lineRule="exact"/>
        <w:rPr>
          <w:rFonts w:ascii="Arial" w:cs="Arial" w:eastAsia="Arial" w:hAnsi="Arial"/>
          <w:sz w:val="18"/>
          <w:szCs w:val="18"/>
          <w:color w:val="202020"/>
        </w:rPr>
      </w:pPr>
    </w:p>
    <w:p>
      <w:pPr>
        <w:ind w:left="280" w:right="20" w:hanging="159"/>
        <w:spacing w:after="0" w:line="265" w:lineRule="auto"/>
        <w:tabs>
          <w:tab w:leader="none" w:pos="280" w:val="left"/>
        </w:tabs>
        <w:numPr>
          <w:ilvl w:val="0"/>
          <w:numId w:val="8"/>
        </w:numPr>
        <w:rPr>
          <w:rFonts w:ascii="Arial" w:cs="Arial" w:eastAsia="Arial" w:hAnsi="Arial"/>
          <w:sz w:val="18"/>
          <w:szCs w:val="18"/>
          <w:color w:val="202020"/>
        </w:rPr>
      </w:pPr>
      <w:r>
        <w:rPr>
          <w:rFonts w:ascii="Arial" w:cs="Arial" w:eastAsia="Arial" w:hAnsi="Arial"/>
          <w:sz w:val="18"/>
          <w:szCs w:val="18"/>
          <w:color w:val="202020"/>
        </w:rPr>
        <w:t>Regularly discusses with management and the independent registered public accounting firm our major financial and controls-related risk exposures and steps that management has taken to monitor and control such exposures.</w:t>
      </w:r>
    </w:p>
    <w:p>
      <w:pPr>
        <w:spacing w:after="0" w:line="74" w:lineRule="exact"/>
        <w:rPr>
          <w:rFonts w:ascii="Arial" w:cs="Arial" w:eastAsia="Arial" w:hAnsi="Arial"/>
          <w:sz w:val="18"/>
          <w:szCs w:val="18"/>
          <w:color w:val="202020"/>
        </w:rPr>
      </w:pPr>
    </w:p>
    <w:p>
      <w:pPr>
        <w:ind w:left="280" w:hanging="159"/>
        <w:spacing w:after="0"/>
        <w:tabs>
          <w:tab w:leader="none" w:pos="280" w:val="left"/>
        </w:tabs>
        <w:numPr>
          <w:ilvl w:val="0"/>
          <w:numId w:val="8"/>
        </w:numPr>
        <w:rPr>
          <w:rFonts w:ascii="Arial" w:cs="Arial" w:eastAsia="Arial" w:hAnsi="Arial"/>
          <w:sz w:val="18"/>
          <w:szCs w:val="18"/>
          <w:color w:val="202020"/>
        </w:rPr>
      </w:pPr>
      <w:r>
        <w:rPr>
          <w:rFonts w:ascii="Arial" w:cs="Arial" w:eastAsia="Arial" w:hAnsi="Arial"/>
          <w:sz w:val="18"/>
          <w:szCs w:val="18"/>
          <w:color w:val="202020"/>
        </w:rPr>
        <w:t>Reviews our risk management insurance programs.</w:t>
      </w:r>
    </w:p>
    <w:p>
      <w:pPr>
        <w:spacing w:after="0" w:line="132" w:lineRule="exact"/>
        <w:rPr>
          <w:rFonts w:ascii="Arial" w:cs="Arial" w:eastAsia="Arial" w:hAnsi="Arial"/>
          <w:sz w:val="18"/>
          <w:szCs w:val="18"/>
          <w:color w:val="202020"/>
        </w:rPr>
      </w:pPr>
    </w:p>
    <w:p>
      <w:pPr>
        <w:ind w:left="280" w:right="400" w:hanging="159"/>
        <w:spacing w:after="0" w:line="297" w:lineRule="auto"/>
        <w:tabs>
          <w:tab w:leader="none" w:pos="280" w:val="left"/>
        </w:tabs>
        <w:numPr>
          <w:ilvl w:val="0"/>
          <w:numId w:val="8"/>
        </w:numPr>
        <w:rPr>
          <w:rFonts w:ascii="Arial" w:cs="Arial" w:eastAsia="Arial" w:hAnsi="Arial"/>
          <w:sz w:val="18"/>
          <w:szCs w:val="18"/>
          <w:color w:val="202020"/>
        </w:rPr>
      </w:pPr>
      <w:r>
        <w:rPr>
          <w:rFonts w:ascii="Arial" w:cs="Arial" w:eastAsia="Arial" w:hAnsi="Arial"/>
          <w:sz w:val="18"/>
          <w:szCs w:val="18"/>
          <w:color w:val="202020"/>
        </w:rPr>
        <w:t>Responsible for reviewing our information security programs, including cybersecurity.</w:t>
      </w:r>
    </w:p>
    <w:p>
      <w:pPr>
        <w:spacing w:after="0" w:line="46" w:lineRule="exact"/>
        <w:rPr>
          <w:rFonts w:ascii="Arial" w:cs="Arial" w:eastAsia="Arial" w:hAnsi="Arial"/>
          <w:sz w:val="18"/>
          <w:szCs w:val="18"/>
          <w:color w:val="202020"/>
        </w:rPr>
      </w:pPr>
    </w:p>
    <w:p>
      <w:pPr>
        <w:ind w:left="280" w:hanging="159"/>
        <w:spacing w:after="0" w:line="259" w:lineRule="auto"/>
        <w:tabs>
          <w:tab w:leader="none" w:pos="280" w:val="left"/>
        </w:tabs>
        <w:numPr>
          <w:ilvl w:val="0"/>
          <w:numId w:val="8"/>
        </w:numPr>
        <w:rPr>
          <w:rFonts w:ascii="Arial" w:cs="Arial" w:eastAsia="Arial" w:hAnsi="Arial"/>
          <w:sz w:val="18"/>
          <w:szCs w:val="18"/>
          <w:color w:val="202020"/>
        </w:rPr>
      </w:pPr>
      <w:r>
        <w:rPr>
          <w:rFonts w:ascii="Arial" w:cs="Arial" w:eastAsia="Arial" w:hAnsi="Arial"/>
          <w:sz w:val="18"/>
          <w:szCs w:val="18"/>
          <w:color w:val="202020"/>
        </w:rPr>
        <w:t>Our information technology (“IT”) function provides regular updates to the Audit Committee on our IT security strategy, secure score assessments, penetration testing results, and status of risk mitigation activities, where applicable. IT also notifies the Audit Committee and our Executive Committee of any cybersecurity incidents (suspected or actual) and provides updates on the incidents as well as cybersecurity risk mitigation activities,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219710</wp:posOffset>
            </wp:positionV>
            <wp:extent cx="445770" cy="445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a:extLst>
                        <a:ext uri="{28A0092B-C50C-407E-A947-70E740481C1C}"/>
                      </a:extLst>
                    </a:blip>
                    <a:srcRect/>
                    <a:stretch>
                      <a:fillRect/>
                    </a:stretch>
                  </pic:blipFill>
                  <pic:spPr bwMode="auto">
                    <a:xfrm>
                      <a:off x="0" y="0"/>
                      <a:ext cx="445770" cy="445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FFFFFF"/>
        </w:rPr>
        <w:t>Compensation and Organization</w:t>
      </w:r>
    </w:p>
    <w:p>
      <w:pPr>
        <w:jc w:val="center"/>
        <w:ind w:right="120"/>
        <w:spacing w:after="0"/>
        <w:rPr>
          <w:sz w:val="20"/>
          <w:szCs w:val="20"/>
          <w:color w:val="auto"/>
        </w:rPr>
      </w:pPr>
      <w:r>
        <w:rPr>
          <w:rFonts w:ascii="Arial" w:cs="Arial" w:eastAsia="Arial" w:hAnsi="Arial"/>
          <w:sz w:val="18"/>
          <w:szCs w:val="18"/>
          <w:b w:val="1"/>
          <w:bCs w:val="1"/>
          <w:color w:val="FFFFFF"/>
        </w:rPr>
        <w:t>Development Committee</w:t>
      </w:r>
    </w:p>
    <w:p>
      <w:pPr>
        <w:spacing w:after="0" w:line="112" w:lineRule="exact"/>
        <w:rPr>
          <w:sz w:val="20"/>
          <w:szCs w:val="20"/>
          <w:color w:val="auto"/>
        </w:rPr>
      </w:pPr>
    </w:p>
    <w:p>
      <w:pPr>
        <w:ind w:left="160" w:right="460" w:hanging="160"/>
        <w:spacing w:after="0" w:line="275" w:lineRule="auto"/>
        <w:tabs>
          <w:tab w:leader="none" w:pos="160" w:val="left"/>
        </w:tabs>
        <w:numPr>
          <w:ilvl w:val="0"/>
          <w:numId w:val="9"/>
        </w:numPr>
        <w:rPr>
          <w:rFonts w:ascii="Arial" w:cs="Arial" w:eastAsia="Arial" w:hAnsi="Arial"/>
          <w:sz w:val="18"/>
          <w:szCs w:val="18"/>
          <w:color w:val="202020"/>
        </w:rPr>
      </w:pPr>
      <w:r>
        <w:rPr>
          <w:rFonts w:ascii="Arial" w:cs="Arial" w:eastAsia="Arial" w:hAnsi="Arial"/>
          <w:sz w:val="18"/>
          <w:szCs w:val="18"/>
          <w:color w:val="202020"/>
        </w:rPr>
        <w:t>Responsible for overseeing risks related to our cash and equity-based compensation programs and practices.</w:t>
      </w:r>
    </w:p>
    <w:p>
      <w:pPr>
        <w:spacing w:after="0" w:line="66" w:lineRule="exact"/>
        <w:rPr>
          <w:rFonts w:ascii="Arial" w:cs="Arial" w:eastAsia="Arial" w:hAnsi="Arial"/>
          <w:sz w:val="18"/>
          <w:szCs w:val="18"/>
          <w:color w:val="202020"/>
        </w:rPr>
      </w:pPr>
    </w:p>
    <w:p>
      <w:pPr>
        <w:ind w:left="160" w:right="360" w:hanging="160"/>
        <w:spacing w:after="0" w:line="259" w:lineRule="auto"/>
        <w:tabs>
          <w:tab w:leader="none" w:pos="160" w:val="left"/>
        </w:tabs>
        <w:numPr>
          <w:ilvl w:val="0"/>
          <w:numId w:val="9"/>
        </w:numPr>
        <w:rPr>
          <w:rFonts w:ascii="Arial" w:cs="Arial" w:eastAsia="Arial" w:hAnsi="Arial"/>
          <w:sz w:val="18"/>
          <w:szCs w:val="18"/>
          <w:color w:val="202020"/>
        </w:rPr>
      </w:pPr>
      <w:r>
        <w:rPr>
          <w:rFonts w:ascii="Arial" w:cs="Arial" w:eastAsia="Arial" w:hAnsi="Arial"/>
          <w:sz w:val="18"/>
          <w:szCs w:val="18"/>
          <w:color w:val="202020"/>
        </w:rPr>
        <w:t>Periodically discusses with the President and Chief Executive Officer as well as the Board of Directors, as necessary, the compensation plan for both Executive Officers and the independent directors, performance goals and objectives for the period and related achievement, peer group and other relevant compensation benchmarks and practices and other matters to ensure our compensation practices are in our best interest and that of our shareholders.</w:t>
      </w:r>
    </w:p>
    <w:p>
      <w:pPr>
        <w:spacing w:after="0" w:line="84" w:lineRule="exact"/>
        <w:rPr>
          <w:rFonts w:ascii="Arial" w:cs="Arial" w:eastAsia="Arial" w:hAnsi="Arial"/>
          <w:sz w:val="18"/>
          <w:szCs w:val="18"/>
          <w:color w:val="202020"/>
        </w:rPr>
      </w:pPr>
    </w:p>
    <w:p>
      <w:pPr>
        <w:ind w:left="160" w:right="580" w:hanging="160"/>
        <w:spacing w:after="0" w:line="297" w:lineRule="auto"/>
        <w:tabs>
          <w:tab w:leader="none" w:pos="160" w:val="left"/>
        </w:tabs>
        <w:numPr>
          <w:ilvl w:val="0"/>
          <w:numId w:val="9"/>
        </w:numPr>
        <w:rPr>
          <w:rFonts w:ascii="Arial" w:cs="Arial" w:eastAsia="Arial" w:hAnsi="Arial"/>
          <w:sz w:val="18"/>
          <w:szCs w:val="18"/>
          <w:color w:val="202020"/>
        </w:rPr>
      </w:pPr>
      <w:r>
        <w:rPr>
          <w:rFonts w:ascii="Arial" w:cs="Arial" w:eastAsia="Arial" w:hAnsi="Arial"/>
          <w:sz w:val="18"/>
          <w:szCs w:val="18"/>
          <w:color w:val="202020"/>
        </w:rPr>
        <w:t>Has oversight responsibilities for our Diversity and Inclusion (D&amp;I) initiatives.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1122045</wp:posOffset>
                </wp:positionV>
                <wp:extent cx="0" cy="248348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83485"/>
                        </a:xfrm>
                        <a:prstGeom prst="line">
                          <a:avLst/>
                        </a:prstGeom>
                        <a:solidFill>
                          <a:srgbClr val="FFFFFF"/>
                        </a:solidFill>
                        <a:ln w="25349">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88.35pt" to="-5.9499pt,283.9pt" o:allowincell="f" strokecolor="#FFFFFF" strokeweight="1.996pt"/>
            </w:pict>
          </mc:Fallback>
        </mc:AlternateContent>
        <w:drawing>
          <wp:anchor simplePos="0" relativeHeight="251657728" behindDoc="1" locked="0" layoutInCell="0" allowOverlap="1">
            <wp:simplePos x="0" y="0"/>
            <wp:positionH relativeFrom="column">
              <wp:posOffset>1301750</wp:posOffset>
            </wp:positionH>
            <wp:positionV relativeFrom="paragraph">
              <wp:posOffset>1184275</wp:posOffset>
            </wp:positionV>
            <wp:extent cx="445135" cy="4451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9">
                      <a:extLst>
                        <a:ext uri="{28A0092B-C50C-407E-A947-70E740481C1C}"/>
                      </a:extLst>
                    </a:blip>
                    <a:srcRect/>
                    <a:stretch>
                      <a:fillRect/>
                    </a:stretch>
                  </pic:blipFill>
                  <pic:spPr bwMode="auto">
                    <a:xfrm>
                      <a:off x="0" y="0"/>
                      <a:ext cx="445135" cy="445135"/>
                    </a:xfrm>
                    <a:prstGeom prst="rect">
                      <a:avLst/>
                    </a:prstGeom>
                    <a:noFill/>
                  </pic:spPr>
                </pic:pic>
              </a:graphicData>
            </a:graphic>
          </wp:anchor>
        </w:drawing>
      </w:r>
    </w:p>
    <w:p>
      <w:pPr>
        <w:spacing w:after="0" w:line="1718" w:lineRule="exact"/>
        <w:rPr>
          <w:sz w:val="20"/>
          <w:szCs w:val="20"/>
          <w:color w:val="auto"/>
        </w:rPr>
      </w:pPr>
    </w:p>
    <w:p>
      <w:pPr>
        <w:sectPr>
          <w:pgSz w:w="11880" w:h="15480" w:orient="portrait"/>
          <w:cols w:equalWidth="0" w:num="2">
            <w:col w:w="4900" w:space="280"/>
            <w:col w:w="4940"/>
          </w:cols>
          <w:pgMar w:left="880" w:top="544" w:right="88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20" w:type="dxa"/>
            <w:vAlign w:val="bottom"/>
            <w:shd w:val="clear" w:color="auto" w:fill="8F8F8F"/>
          </w:tcPr>
          <w:p>
            <w:pPr>
              <w:ind w:left="1340"/>
              <w:spacing w:after="0"/>
              <w:rPr>
                <w:sz w:val="20"/>
                <w:szCs w:val="20"/>
                <w:color w:val="auto"/>
              </w:rPr>
            </w:pPr>
            <w:r>
              <w:rPr>
                <w:rFonts w:ascii="Arial" w:cs="Arial" w:eastAsia="Arial" w:hAnsi="Arial"/>
                <w:sz w:val="18"/>
                <w:szCs w:val="18"/>
                <w:b w:val="1"/>
                <w:bCs w:val="1"/>
                <w:color w:val="FFFFFF"/>
              </w:rPr>
              <w:t>Nominating and Corporate</w:t>
            </w:r>
          </w:p>
        </w:tc>
        <w:tc>
          <w:tcPr>
            <w:tcW w:w="5100" w:type="dxa"/>
            <w:vAlign w:val="bottom"/>
            <w:shd w:val="clear" w:color="auto" w:fill="8F8F8F"/>
          </w:tcPr>
          <w:p>
            <w:pPr>
              <w:ind w:left="1180"/>
              <w:spacing w:after="0"/>
              <w:rPr>
                <w:sz w:val="20"/>
                <w:szCs w:val="20"/>
                <w:color w:val="auto"/>
              </w:rPr>
            </w:pPr>
            <w:r>
              <w:rPr>
                <w:rFonts w:ascii="Arial" w:cs="Arial" w:eastAsia="Arial" w:hAnsi="Arial"/>
                <w:sz w:val="18"/>
                <w:szCs w:val="18"/>
                <w:b w:val="1"/>
                <w:bCs w:val="1"/>
                <w:color w:val="FFFFFF"/>
              </w:rPr>
              <w:t>Science and Commercialization</w:t>
            </w:r>
          </w:p>
        </w:tc>
        <w:tc>
          <w:tcPr>
            <w:tcW w:w="0" w:type="dxa"/>
            <w:vAlign w:val="bottom"/>
          </w:tcPr>
          <w:p>
            <w:pPr>
              <w:spacing w:after="0"/>
              <w:rPr>
                <w:sz w:val="1"/>
                <w:szCs w:val="1"/>
                <w:color w:val="auto"/>
              </w:rPr>
            </w:pPr>
          </w:p>
        </w:tc>
      </w:tr>
      <w:tr>
        <w:trPr>
          <w:trHeight w:val="272"/>
        </w:trPr>
        <w:tc>
          <w:tcPr>
            <w:tcW w:w="5020" w:type="dxa"/>
            <w:vAlign w:val="bottom"/>
            <w:tcBorders>
              <w:bottom w:val="single" w:sz="8" w:color="8F8F8F"/>
            </w:tcBorders>
            <w:shd w:val="clear" w:color="auto" w:fill="8F8F8F"/>
          </w:tcPr>
          <w:p>
            <w:pPr>
              <w:ind w:left="1480"/>
              <w:spacing w:after="0"/>
              <w:rPr>
                <w:sz w:val="20"/>
                <w:szCs w:val="20"/>
                <w:color w:val="auto"/>
              </w:rPr>
            </w:pPr>
            <w:r>
              <w:rPr>
                <w:rFonts w:ascii="Arial" w:cs="Arial" w:eastAsia="Arial" w:hAnsi="Arial"/>
                <w:sz w:val="18"/>
                <w:szCs w:val="18"/>
                <w:b w:val="1"/>
                <w:bCs w:val="1"/>
                <w:color w:val="FFFFFF"/>
              </w:rPr>
              <w:t>Governance Committee</w:t>
            </w:r>
          </w:p>
        </w:tc>
        <w:tc>
          <w:tcPr>
            <w:tcW w:w="5100" w:type="dxa"/>
            <w:vAlign w:val="bottom"/>
            <w:tcBorders>
              <w:bottom w:val="single" w:sz="8" w:color="8F8F8F"/>
            </w:tcBorders>
            <w:shd w:val="clear" w:color="auto" w:fill="8F8F8F"/>
          </w:tcPr>
          <w:p>
            <w:pPr>
              <w:ind w:left="2080"/>
              <w:spacing w:after="0"/>
              <w:rPr>
                <w:sz w:val="20"/>
                <w:szCs w:val="20"/>
                <w:color w:val="auto"/>
              </w:rPr>
            </w:pPr>
            <w:r>
              <w:rPr>
                <w:rFonts w:ascii="Arial" w:cs="Arial" w:eastAsia="Arial" w:hAnsi="Arial"/>
                <w:sz w:val="18"/>
                <w:szCs w:val="18"/>
                <w:b w:val="1"/>
                <w:bCs w:val="1"/>
                <w:color w:val="FFFFFF"/>
              </w:rPr>
              <w:t>Committee</w:t>
            </w:r>
          </w:p>
        </w:tc>
        <w:tc>
          <w:tcPr>
            <w:tcW w:w="0" w:type="dxa"/>
            <w:vAlign w:val="bottom"/>
          </w:tcPr>
          <w:p>
            <w:pPr>
              <w:spacing w:after="0"/>
              <w:rPr>
                <w:sz w:val="1"/>
                <w:szCs w:val="1"/>
                <w:color w:val="auto"/>
              </w:rPr>
            </w:pPr>
          </w:p>
        </w:tc>
      </w:tr>
      <w:tr>
        <w:trPr>
          <w:trHeight w:val="247"/>
        </w:trPr>
        <w:tc>
          <w:tcPr>
            <w:tcW w:w="5020" w:type="dxa"/>
            <w:vAlign w:val="bottom"/>
            <w:shd w:val="clear" w:color="auto" w:fill="E9E9E9"/>
          </w:tcPr>
          <w:p>
            <w:pPr>
              <w:ind w:left="120"/>
              <w:spacing w:after="0"/>
              <w:rPr>
                <w:sz w:val="20"/>
                <w:szCs w:val="20"/>
                <w:color w:val="auto"/>
              </w:rPr>
            </w:pPr>
            <w:r>
              <w:rPr>
                <w:rFonts w:ascii="Arial" w:cs="Arial" w:eastAsia="Arial" w:hAnsi="Arial"/>
                <w:sz w:val="18"/>
                <w:szCs w:val="18"/>
                <w:color w:val="202020"/>
              </w:rPr>
              <w:t>• Responsible for overseeing risks related to the</w:t>
            </w:r>
          </w:p>
        </w:tc>
        <w:tc>
          <w:tcPr>
            <w:tcW w:w="5100" w:type="dxa"/>
            <w:vAlign w:val="bottom"/>
            <w:shd w:val="clear" w:color="auto" w:fill="E9E9E9"/>
          </w:tcPr>
          <w:p>
            <w:pPr>
              <w:ind w:left="160"/>
              <w:spacing w:after="0"/>
              <w:rPr>
                <w:sz w:val="20"/>
                <w:szCs w:val="20"/>
                <w:color w:val="auto"/>
              </w:rPr>
            </w:pPr>
            <w:r>
              <w:rPr>
                <w:rFonts w:ascii="Arial" w:cs="Arial" w:eastAsia="Arial" w:hAnsi="Arial"/>
                <w:sz w:val="18"/>
                <w:szCs w:val="18"/>
                <w:color w:val="202020"/>
              </w:rPr>
              <w:t>• Responsible for overseeing the scientific, regulatory</w:t>
            </w:r>
          </w:p>
        </w:tc>
        <w:tc>
          <w:tcPr>
            <w:tcW w:w="0" w:type="dxa"/>
            <w:vAlign w:val="bottom"/>
          </w:tcPr>
          <w:p>
            <w:pPr>
              <w:spacing w:after="0"/>
              <w:rPr>
                <w:sz w:val="1"/>
                <w:szCs w:val="1"/>
                <w:color w:val="auto"/>
              </w:rPr>
            </w:pPr>
          </w:p>
        </w:tc>
      </w:tr>
      <w:tr>
        <w:trPr>
          <w:trHeight w:val="220"/>
        </w:trPr>
        <w:tc>
          <w:tcPr>
            <w:tcW w:w="5020" w:type="dxa"/>
            <w:vAlign w:val="bottom"/>
            <w:shd w:val="clear" w:color="auto" w:fill="E9E9E9"/>
          </w:tcPr>
          <w:p>
            <w:pPr>
              <w:ind w:left="280"/>
              <w:spacing w:after="0"/>
              <w:rPr>
                <w:sz w:val="20"/>
                <w:szCs w:val="20"/>
                <w:color w:val="auto"/>
              </w:rPr>
            </w:pPr>
            <w:r>
              <w:rPr>
                <w:rFonts w:ascii="Arial" w:cs="Arial" w:eastAsia="Arial" w:hAnsi="Arial"/>
                <w:sz w:val="18"/>
                <w:szCs w:val="18"/>
                <w:color w:val="202020"/>
              </w:rPr>
              <w:t>composition and structure of the Board of Directors</w:t>
            </w:r>
          </w:p>
        </w:tc>
        <w:tc>
          <w:tcPr>
            <w:tcW w:w="5100" w:type="dxa"/>
            <w:vAlign w:val="bottom"/>
            <w:shd w:val="clear" w:color="auto" w:fill="E9E9E9"/>
          </w:tcPr>
          <w:p>
            <w:pPr>
              <w:ind w:left="320"/>
              <w:spacing w:after="0"/>
              <w:rPr>
                <w:sz w:val="20"/>
                <w:szCs w:val="20"/>
                <w:color w:val="auto"/>
              </w:rPr>
            </w:pPr>
            <w:r>
              <w:rPr>
                <w:rFonts w:ascii="Arial" w:cs="Arial" w:eastAsia="Arial" w:hAnsi="Arial"/>
                <w:sz w:val="18"/>
                <w:szCs w:val="18"/>
                <w:color w:val="202020"/>
              </w:rPr>
              <w:t>and commercial aspects of our business.</w:t>
            </w:r>
          </w:p>
        </w:tc>
        <w:tc>
          <w:tcPr>
            <w:tcW w:w="0" w:type="dxa"/>
            <w:vAlign w:val="bottom"/>
          </w:tcPr>
          <w:p>
            <w:pPr>
              <w:spacing w:after="0"/>
              <w:rPr>
                <w:sz w:val="1"/>
                <w:szCs w:val="1"/>
                <w:color w:val="auto"/>
              </w:rPr>
            </w:pPr>
          </w:p>
        </w:tc>
      </w:tr>
      <w:tr>
        <w:trPr>
          <w:trHeight w:val="244"/>
        </w:trPr>
        <w:tc>
          <w:tcPr>
            <w:tcW w:w="5020" w:type="dxa"/>
            <w:vAlign w:val="bottom"/>
            <w:shd w:val="clear" w:color="auto" w:fill="E9E9E9"/>
          </w:tcPr>
          <w:p>
            <w:pPr>
              <w:ind w:left="280"/>
              <w:spacing w:after="0"/>
              <w:rPr>
                <w:sz w:val="20"/>
                <w:szCs w:val="20"/>
                <w:color w:val="auto"/>
              </w:rPr>
            </w:pPr>
            <w:r>
              <w:rPr>
                <w:rFonts w:ascii="Arial" w:cs="Arial" w:eastAsia="Arial" w:hAnsi="Arial"/>
                <w:sz w:val="18"/>
                <w:szCs w:val="18"/>
                <w:color w:val="202020"/>
              </w:rPr>
              <w:t>and its committees and our corporate governance.</w:t>
            </w:r>
          </w:p>
        </w:tc>
        <w:tc>
          <w:tcPr>
            <w:tcW w:w="5100" w:type="dxa"/>
            <w:vAlign w:val="bottom"/>
            <w:vMerge w:val="restart"/>
            <w:shd w:val="clear" w:color="auto" w:fill="E9E9E9"/>
          </w:tcPr>
          <w:p>
            <w:pPr>
              <w:ind w:left="160"/>
              <w:spacing w:after="0"/>
              <w:rPr>
                <w:sz w:val="20"/>
                <w:szCs w:val="20"/>
                <w:color w:val="auto"/>
              </w:rPr>
            </w:pPr>
            <w:r>
              <w:rPr>
                <w:rFonts w:ascii="Arial" w:cs="Arial" w:eastAsia="Arial" w:hAnsi="Arial"/>
                <w:sz w:val="18"/>
                <w:szCs w:val="18"/>
                <w:color w:val="202020"/>
              </w:rPr>
              <w:t>• Monitor and review the overall strategy, direction and</w:t>
            </w:r>
          </w:p>
        </w:tc>
        <w:tc>
          <w:tcPr>
            <w:tcW w:w="0" w:type="dxa"/>
            <w:vAlign w:val="bottom"/>
          </w:tcPr>
          <w:p>
            <w:pPr>
              <w:spacing w:after="0"/>
              <w:rPr>
                <w:sz w:val="1"/>
                <w:szCs w:val="1"/>
                <w:color w:val="auto"/>
              </w:rPr>
            </w:pPr>
          </w:p>
        </w:tc>
      </w:tr>
      <w:tr>
        <w:trPr>
          <w:trHeight w:val="95"/>
        </w:trPr>
        <w:tc>
          <w:tcPr>
            <w:tcW w:w="5020" w:type="dxa"/>
            <w:vAlign w:val="bottom"/>
            <w:shd w:val="clear" w:color="auto" w:fill="E9E9E9"/>
          </w:tcPr>
          <w:p>
            <w:pPr>
              <w:spacing w:after="0"/>
              <w:rPr>
                <w:sz w:val="8"/>
                <w:szCs w:val="8"/>
                <w:color w:val="auto"/>
              </w:rPr>
            </w:pPr>
          </w:p>
        </w:tc>
        <w:tc>
          <w:tcPr>
            <w:tcW w:w="5100" w:type="dxa"/>
            <w:vAlign w:val="bottom"/>
            <w:vMerge w:val="continue"/>
            <w:shd w:val="clear" w:color="auto" w:fill="E9E9E9"/>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E9E9E9"/>
          </w:tcPr>
          <w:p>
            <w:pPr>
              <w:ind w:left="120"/>
              <w:spacing w:after="0"/>
              <w:rPr>
                <w:sz w:val="20"/>
                <w:szCs w:val="20"/>
                <w:color w:val="auto"/>
              </w:rPr>
            </w:pPr>
            <w:r>
              <w:rPr>
                <w:rFonts w:ascii="Arial" w:cs="Arial" w:eastAsia="Arial" w:hAnsi="Arial"/>
                <w:sz w:val="18"/>
                <w:szCs w:val="18"/>
                <w:color w:val="202020"/>
              </w:rPr>
              <w:t>• Assesses the qualifications and independence of</w:t>
            </w:r>
          </w:p>
        </w:tc>
        <w:tc>
          <w:tcPr>
            <w:tcW w:w="5100" w:type="dxa"/>
            <w:vAlign w:val="bottom"/>
            <w:shd w:val="clear" w:color="auto" w:fill="E9E9E9"/>
          </w:tcPr>
          <w:p>
            <w:pPr>
              <w:ind w:left="320"/>
              <w:spacing w:after="0"/>
              <w:rPr>
                <w:sz w:val="20"/>
                <w:szCs w:val="20"/>
                <w:color w:val="auto"/>
              </w:rPr>
            </w:pPr>
            <w:r>
              <w:rPr>
                <w:rFonts w:ascii="Arial" w:cs="Arial" w:eastAsia="Arial" w:hAnsi="Arial"/>
                <w:sz w:val="18"/>
                <w:szCs w:val="18"/>
                <w:color w:val="202020"/>
              </w:rPr>
              <w:t>effectiveness of our research and development.</w:t>
            </w:r>
          </w:p>
        </w:tc>
        <w:tc>
          <w:tcPr>
            <w:tcW w:w="0" w:type="dxa"/>
            <w:vAlign w:val="bottom"/>
          </w:tcPr>
          <w:p>
            <w:pPr>
              <w:spacing w:after="0"/>
              <w:rPr>
                <w:sz w:val="1"/>
                <w:szCs w:val="1"/>
                <w:color w:val="auto"/>
              </w:rPr>
            </w:pPr>
          </w:p>
        </w:tc>
      </w:tr>
      <w:tr>
        <w:trPr>
          <w:trHeight w:val="219"/>
        </w:trPr>
        <w:tc>
          <w:tcPr>
            <w:tcW w:w="5020" w:type="dxa"/>
            <w:vAlign w:val="bottom"/>
            <w:shd w:val="clear" w:color="auto" w:fill="E9E9E9"/>
          </w:tcPr>
          <w:p>
            <w:pPr>
              <w:ind w:left="280"/>
              <w:spacing w:after="0"/>
              <w:rPr>
                <w:sz w:val="20"/>
                <w:szCs w:val="20"/>
                <w:color w:val="auto"/>
              </w:rPr>
            </w:pPr>
            <w:r>
              <w:rPr>
                <w:rFonts w:ascii="Arial" w:cs="Arial" w:eastAsia="Arial" w:hAnsi="Arial"/>
                <w:sz w:val="18"/>
                <w:szCs w:val="18"/>
                <w:color w:val="202020"/>
              </w:rPr>
              <w:t>members of the Board, makes annual</w:t>
            </w:r>
          </w:p>
        </w:tc>
        <w:tc>
          <w:tcPr>
            <w:tcW w:w="5100" w:type="dxa"/>
            <w:vAlign w:val="bottom"/>
            <w:vMerge w:val="restart"/>
            <w:shd w:val="clear" w:color="auto" w:fill="E9E9E9"/>
          </w:tcPr>
          <w:p>
            <w:pPr>
              <w:ind w:left="160"/>
              <w:spacing w:after="0"/>
              <w:rPr>
                <w:sz w:val="20"/>
                <w:szCs w:val="20"/>
                <w:color w:val="auto"/>
              </w:rPr>
            </w:pPr>
            <w:r>
              <w:rPr>
                <w:rFonts w:ascii="Arial" w:cs="Arial" w:eastAsia="Arial" w:hAnsi="Arial"/>
                <w:sz w:val="18"/>
                <w:szCs w:val="18"/>
                <w:color w:val="202020"/>
              </w:rPr>
              <w:t>• Provide oversight and guidance regarding the</w:t>
            </w:r>
          </w:p>
        </w:tc>
        <w:tc>
          <w:tcPr>
            <w:tcW w:w="0" w:type="dxa"/>
            <w:vAlign w:val="bottom"/>
          </w:tcPr>
          <w:p>
            <w:pPr>
              <w:spacing w:after="0"/>
              <w:rPr>
                <w:sz w:val="1"/>
                <w:szCs w:val="1"/>
                <w:color w:val="auto"/>
              </w:rPr>
            </w:pPr>
          </w:p>
        </w:tc>
      </w:tr>
      <w:tr>
        <w:trPr>
          <w:trHeight w:val="119"/>
        </w:trPr>
        <w:tc>
          <w:tcPr>
            <w:tcW w:w="5020" w:type="dxa"/>
            <w:vAlign w:val="bottom"/>
            <w:vMerge w:val="restart"/>
            <w:shd w:val="clear" w:color="auto" w:fill="E9E9E9"/>
          </w:tcPr>
          <w:p>
            <w:pPr>
              <w:ind w:left="280"/>
              <w:spacing w:after="0"/>
              <w:rPr>
                <w:sz w:val="20"/>
                <w:szCs w:val="20"/>
                <w:color w:val="auto"/>
              </w:rPr>
            </w:pPr>
            <w:r>
              <w:rPr>
                <w:rFonts w:ascii="Arial" w:cs="Arial" w:eastAsia="Arial" w:hAnsi="Arial"/>
                <w:sz w:val="18"/>
                <w:szCs w:val="18"/>
                <w:color w:val="202020"/>
              </w:rPr>
              <w:t>recommendations regarding Board and committee</w:t>
            </w:r>
          </w:p>
        </w:tc>
        <w:tc>
          <w:tcPr>
            <w:tcW w:w="5100" w:type="dxa"/>
            <w:vAlign w:val="bottom"/>
            <w:vMerge w:val="continue"/>
            <w:shd w:val="clear" w:color="auto" w:fill="E9E9E9"/>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020" w:type="dxa"/>
            <w:vAlign w:val="bottom"/>
            <w:vMerge w:val="continue"/>
            <w:shd w:val="clear" w:color="auto" w:fill="E9E9E9"/>
          </w:tcPr>
          <w:p>
            <w:pPr>
              <w:spacing w:after="0"/>
              <w:rPr>
                <w:sz w:val="8"/>
                <w:szCs w:val="8"/>
                <w:color w:val="auto"/>
              </w:rPr>
            </w:pPr>
          </w:p>
        </w:tc>
        <w:tc>
          <w:tcPr>
            <w:tcW w:w="5100" w:type="dxa"/>
            <w:vAlign w:val="bottom"/>
            <w:vMerge w:val="restart"/>
            <w:shd w:val="clear" w:color="auto" w:fill="E9E9E9"/>
          </w:tcPr>
          <w:p>
            <w:pPr>
              <w:ind w:left="320"/>
              <w:spacing w:after="0"/>
              <w:rPr>
                <w:sz w:val="20"/>
                <w:szCs w:val="20"/>
                <w:color w:val="auto"/>
              </w:rPr>
            </w:pPr>
            <w:r>
              <w:rPr>
                <w:rFonts w:ascii="Arial" w:cs="Arial" w:eastAsia="Arial" w:hAnsi="Arial"/>
                <w:sz w:val="18"/>
                <w:szCs w:val="18"/>
                <w:color w:val="202020"/>
              </w:rPr>
              <w:t>commercial aspects of our business</w:t>
            </w:r>
          </w:p>
        </w:tc>
        <w:tc>
          <w:tcPr>
            <w:tcW w:w="0" w:type="dxa"/>
            <w:vAlign w:val="bottom"/>
          </w:tcPr>
          <w:p>
            <w:pPr>
              <w:spacing w:after="0"/>
              <w:rPr>
                <w:sz w:val="1"/>
                <w:szCs w:val="1"/>
                <w:color w:val="auto"/>
              </w:rPr>
            </w:pPr>
          </w:p>
        </w:tc>
      </w:tr>
      <w:tr>
        <w:trPr>
          <w:trHeight w:val="144"/>
        </w:trPr>
        <w:tc>
          <w:tcPr>
            <w:tcW w:w="5020" w:type="dxa"/>
            <w:vAlign w:val="bottom"/>
            <w:vMerge w:val="restart"/>
            <w:shd w:val="clear" w:color="auto" w:fill="E9E9E9"/>
          </w:tcPr>
          <w:p>
            <w:pPr>
              <w:ind w:left="280"/>
              <w:spacing w:after="0"/>
              <w:rPr>
                <w:sz w:val="20"/>
                <w:szCs w:val="20"/>
                <w:color w:val="auto"/>
              </w:rPr>
            </w:pPr>
            <w:r>
              <w:rPr>
                <w:rFonts w:ascii="Arial" w:cs="Arial" w:eastAsia="Arial" w:hAnsi="Arial"/>
                <w:sz w:val="18"/>
                <w:szCs w:val="18"/>
                <w:color w:val="202020"/>
              </w:rPr>
              <w:t>membership, and reviews any transactions between us</w:t>
            </w:r>
          </w:p>
        </w:tc>
        <w:tc>
          <w:tcPr>
            <w:tcW w:w="5100" w:type="dxa"/>
            <w:vAlign w:val="bottom"/>
            <w:vMerge w:val="continue"/>
            <w:shd w:val="clear" w:color="auto" w:fill="E9E9E9"/>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020" w:type="dxa"/>
            <w:vAlign w:val="bottom"/>
            <w:vMerge w:val="continue"/>
            <w:shd w:val="clear" w:color="auto" w:fill="E9E9E9"/>
          </w:tcPr>
          <w:p>
            <w:pPr>
              <w:spacing w:after="0"/>
              <w:rPr>
                <w:sz w:val="6"/>
                <w:szCs w:val="6"/>
                <w:color w:val="auto"/>
              </w:rPr>
            </w:pPr>
          </w:p>
        </w:tc>
        <w:tc>
          <w:tcPr>
            <w:tcW w:w="5100" w:type="dxa"/>
            <w:vAlign w:val="bottom"/>
            <w:shd w:val="clear" w:color="auto" w:fill="E9E9E9"/>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E9E9E9"/>
          </w:tcPr>
          <w:p>
            <w:pPr>
              <w:ind w:left="280"/>
              <w:spacing w:after="0"/>
              <w:rPr>
                <w:sz w:val="20"/>
                <w:szCs w:val="20"/>
                <w:color w:val="auto"/>
              </w:rPr>
            </w:pPr>
            <w:r>
              <w:rPr>
                <w:rFonts w:ascii="Arial" w:cs="Arial" w:eastAsia="Arial" w:hAnsi="Arial"/>
                <w:sz w:val="18"/>
                <w:szCs w:val="18"/>
                <w:color w:val="202020"/>
              </w:rPr>
              <w:t>and our officers, directors, affiliates of officers and</w:t>
            </w:r>
          </w:p>
        </w:tc>
        <w:tc>
          <w:tcPr>
            <w:tcW w:w="5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E9E9E9"/>
          </w:tcPr>
          <w:p>
            <w:pPr>
              <w:ind w:left="280"/>
              <w:spacing w:after="0"/>
              <w:rPr>
                <w:sz w:val="20"/>
                <w:szCs w:val="20"/>
                <w:color w:val="auto"/>
              </w:rPr>
            </w:pPr>
            <w:r>
              <w:rPr>
                <w:rFonts w:ascii="Arial" w:cs="Arial" w:eastAsia="Arial" w:hAnsi="Arial"/>
                <w:sz w:val="18"/>
                <w:szCs w:val="18"/>
                <w:color w:val="202020"/>
              </w:rPr>
              <w:t>directors or other related parties for conflicts of</w:t>
            </w:r>
          </w:p>
        </w:tc>
        <w:tc>
          <w:tcPr>
            <w:tcW w:w="5100" w:type="dxa"/>
            <w:vAlign w:val="bottom"/>
            <w:shd w:val="clear" w:color="auto" w:fill="E9E9E9"/>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020" w:type="dxa"/>
            <w:vAlign w:val="bottom"/>
            <w:tcBorders>
              <w:bottom w:val="single" w:sz="8" w:color="E9E9E9"/>
            </w:tcBorders>
            <w:shd w:val="clear" w:color="auto" w:fill="E9E9E9"/>
          </w:tcPr>
          <w:p>
            <w:pPr>
              <w:ind w:left="280"/>
              <w:spacing w:after="0"/>
              <w:rPr>
                <w:sz w:val="20"/>
                <w:szCs w:val="20"/>
                <w:color w:val="auto"/>
              </w:rPr>
            </w:pPr>
            <w:r>
              <w:rPr>
                <w:rFonts w:ascii="Arial" w:cs="Arial" w:eastAsia="Arial" w:hAnsi="Arial"/>
                <w:sz w:val="18"/>
                <w:szCs w:val="18"/>
                <w:color w:val="202020"/>
              </w:rPr>
              <w:t>interest.</w:t>
            </w:r>
          </w:p>
        </w:tc>
        <w:tc>
          <w:tcPr>
            <w:tcW w:w="5100" w:type="dxa"/>
            <w:vAlign w:val="bottom"/>
            <w:tcBorders>
              <w:bottom w:val="single" w:sz="8" w:color="E9E9E9"/>
            </w:tcBorders>
            <w:shd w:val="clear" w:color="auto" w:fill="E9E9E9"/>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5020" w:type="dxa"/>
            <w:vAlign w:val="bottom"/>
            <w:shd w:val="clear" w:color="auto" w:fill="8F8F8F"/>
          </w:tcPr>
          <w:p>
            <w:pPr>
              <w:spacing w:after="0"/>
              <w:rPr>
                <w:sz w:val="6"/>
                <w:szCs w:val="6"/>
                <w:color w:val="auto"/>
              </w:rPr>
            </w:pPr>
          </w:p>
        </w:tc>
        <w:tc>
          <w:tcPr>
            <w:tcW w:w="5100" w:type="dxa"/>
            <w:vAlign w:val="bottom"/>
            <w:shd w:val="clear" w:color="auto" w:fill="8F8F8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20"/>
          </w:cols>
          <w:pgMar w:left="880" w:top="544" w:right="88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14 |</w:t>
        <w:tab/>
        <w:t>Celldex Therapeutics</w:t>
      </w:r>
    </w:p>
    <w:p>
      <w:pPr>
        <w:sectPr>
          <w:pgSz w:w="11880" w:h="15480" w:orient="portrait"/>
          <w:cols w:equalWidth="0" w:num="1">
            <w:col w:w="10120"/>
          </w:cols>
          <w:pgMar w:left="880" w:top="544" w:right="880" w:bottom="96" w:gutter="0" w:footer="0" w:header="0"/>
          <w:type w:val="continuous"/>
        </w:sectPr>
      </w:pPr>
    </w:p>
    <w:bookmarkStart w:id="18" w:name="page19"/>
    <w:bookmarkEnd w:id="18"/>
    <w:p>
      <w:pPr>
        <w:ind w:left="4720"/>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685800</wp:posOffset>
                </wp:positionV>
                <wp:extent cx="6424930" cy="24701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47015"/>
                        </a:xfrm>
                        <a:prstGeom prst="rect">
                          <a:avLst/>
                        </a:prstGeom>
                        <a:solidFill>
                          <a:srgbClr val="8F8F8F"/>
                        </a:solidFill>
                      </wps:spPr>
                      <wps:bodyPr/>
                    </wps:wsp>
                  </a:graphicData>
                </a:graphic>
              </wp:anchor>
            </w:drawing>
          </mc:Choice>
          <mc:Fallback>
            <w:pict>
              <v:rect id="Shape 65" o:spid="_x0000_s1090" style="position:absolute;margin-left:0.05pt;margin-top:54pt;width:505.9pt;height:1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685165</wp:posOffset>
                </wp:positionV>
                <wp:extent cx="64242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3.95pt" to="505.9pt,53.9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2141855</wp:posOffset>
                </wp:positionH>
                <wp:positionV relativeFrom="paragraph">
                  <wp:posOffset>159385</wp:posOffset>
                </wp:positionV>
                <wp:extent cx="0" cy="54483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48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65pt,12.55pt" to="168.65pt,55.4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4283710</wp:posOffset>
                </wp:positionH>
                <wp:positionV relativeFrom="paragraph">
                  <wp:posOffset>159385</wp:posOffset>
                </wp:positionV>
                <wp:extent cx="0" cy="54483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48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pt,12.55pt" to="337.3pt,55.45pt" o:allowincell="f" strokecolor="#FFFFFF" strokeweight="2.993pt"/>
            </w:pict>
          </mc:Fallback>
        </mc:AlternateConten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00" w:type="dxa"/>
            <w:vAlign w:val="bottom"/>
            <w:shd w:val="clear" w:color="auto" w:fill="CCCCCC"/>
          </w:tcPr>
          <w:p>
            <w:pPr>
              <w:spacing w:after="0"/>
              <w:rPr>
                <w:sz w:val="10"/>
                <w:szCs w:val="10"/>
                <w:color w:val="auto"/>
              </w:rPr>
            </w:pPr>
          </w:p>
        </w:tc>
        <w:tc>
          <w:tcPr>
            <w:tcW w:w="1780" w:type="dxa"/>
            <w:vAlign w:val="bottom"/>
            <w:shd w:val="clear" w:color="auto" w:fill="CCCCCC"/>
          </w:tcPr>
          <w:p>
            <w:pPr>
              <w:spacing w:after="0"/>
              <w:rPr>
                <w:sz w:val="10"/>
                <w:szCs w:val="10"/>
                <w:color w:val="auto"/>
              </w:rPr>
            </w:pPr>
          </w:p>
        </w:tc>
        <w:tc>
          <w:tcPr>
            <w:tcW w:w="1640" w:type="dxa"/>
            <w:vAlign w:val="bottom"/>
            <w:shd w:val="clear" w:color="auto" w:fill="CCCCCC"/>
          </w:tcPr>
          <w:p>
            <w:pPr>
              <w:spacing w:after="0"/>
              <w:rPr>
                <w:sz w:val="10"/>
                <w:szCs w:val="10"/>
                <w:color w:val="auto"/>
              </w:rPr>
            </w:pPr>
          </w:p>
        </w:tc>
        <w:tc>
          <w:tcPr>
            <w:tcW w:w="1680" w:type="dxa"/>
            <w:vAlign w:val="bottom"/>
            <w:shd w:val="clear" w:color="auto" w:fill="CCCCCC"/>
          </w:tcPr>
          <w:p>
            <w:pPr>
              <w:spacing w:after="0"/>
              <w:rPr>
                <w:sz w:val="10"/>
                <w:szCs w:val="10"/>
                <w:color w:val="auto"/>
              </w:rPr>
            </w:pPr>
          </w:p>
        </w:tc>
        <w:tc>
          <w:tcPr>
            <w:tcW w:w="1720" w:type="dxa"/>
            <w:vAlign w:val="bottom"/>
            <w:shd w:val="clear" w:color="auto" w:fill="CCCCCC"/>
          </w:tcPr>
          <w:p>
            <w:pPr>
              <w:spacing w:after="0"/>
              <w:rPr>
                <w:sz w:val="10"/>
                <w:szCs w:val="10"/>
                <w:color w:val="auto"/>
              </w:rPr>
            </w:pPr>
          </w:p>
        </w:tc>
        <w:tc>
          <w:tcPr>
            <w:tcW w:w="1620" w:type="dxa"/>
            <w:vAlign w:val="bottom"/>
            <w:shd w:val="clear" w:color="auto" w:fill="CCCCCC"/>
          </w:tcPr>
          <w:p>
            <w:pPr>
              <w:spacing w:after="0"/>
              <w:rPr>
                <w:sz w:val="10"/>
                <w:szCs w:val="10"/>
                <w:color w:val="auto"/>
              </w:rPr>
            </w:pPr>
          </w:p>
        </w:tc>
        <w:tc>
          <w:tcPr>
            <w:tcW w:w="880" w:type="dxa"/>
            <w:vAlign w:val="bottom"/>
            <w:shd w:val="clear" w:color="auto" w:fill="CCCCCC"/>
          </w:tcPr>
          <w:p>
            <w:pPr>
              <w:spacing w:after="0"/>
              <w:rPr>
                <w:sz w:val="10"/>
                <w:szCs w:val="10"/>
                <w:color w:val="auto"/>
              </w:rPr>
            </w:pPr>
          </w:p>
        </w:tc>
      </w:tr>
      <w:tr>
        <w:trPr>
          <w:trHeight w:val="259"/>
        </w:trPr>
        <w:tc>
          <w:tcPr>
            <w:tcW w:w="800" w:type="dxa"/>
            <w:vAlign w:val="bottom"/>
            <w:shd w:val="clear" w:color="auto" w:fill="CCCCCC"/>
          </w:tcPr>
          <w:p>
            <w:pPr>
              <w:spacing w:after="0"/>
              <w:rPr>
                <w:sz w:val="22"/>
                <w:szCs w:val="22"/>
                <w:color w:val="auto"/>
              </w:rPr>
            </w:pPr>
          </w:p>
        </w:tc>
        <w:tc>
          <w:tcPr>
            <w:tcW w:w="1780" w:type="dxa"/>
            <w:vAlign w:val="bottom"/>
            <w:shd w:val="clear" w:color="auto" w:fill="8F8F8F"/>
          </w:tcPr>
          <w:p>
            <w:pPr>
              <w:jc w:val="center"/>
              <w:spacing w:after="0"/>
              <w:rPr>
                <w:sz w:val="20"/>
                <w:szCs w:val="20"/>
                <w:color w:val="auto"/>
              </w:rPr>
            </w:pPr>
            <w:r>
              <w:rPr>
                <w:rFonts w:ascii="Arial" w:cs="Arial" w:eastAsia="Arial" w:hAnsi="Arial"/>
                <w:sz w:val="18"/>
                <w:szCs w:val="18"/>
                <w:b w:val="1"/>
                <w:bCs w:val="1"/>
                <w:color w:val="FFFFFF"/>
                <w:w w:val="96"/>
                <w:shd w:val="clear" w:color="auto" w:fill="8F8F8F"/>
              </w:rPr>
              <w:t>KEITH L. BROWNLIE</w:t>
            </w:r>
          </w:p>
        </w:tc>
        <w:tc>
          <w:tcPr>
            <w:tcW w:w="1640" w:type="dxa"/>
            <w:vAlign w:val="bottom"/>
            <w:shd w:val="clear" w:color="auto" w:fill="CCCCCC"/>
          </w:tcPr>
          <w:p>
            <w:pPr>
              <w:spacing w:after="0"/>
              <w:rPr>
                <w:sz w:val="22"/>
                <w:szCs w:val="22"/>
                <w:color w:val="auto"/>
              </w:rPr>
            </w:pPr>
          </w:p>
        </w:tc>
        <w:tc>
          <w:tcPr>
            <w:tcW w:w="1680" w:type="dxa"/>
            <w:vAlign w:val="bottom"/>
            <w:shd w:val="clear" w:color="auto" w:fill="8F8F8F"/>
          </w:tcPr>
          <w:p>
            <w:pPr>
              <w:ind w:left="80"/>
              <w:spacing w:after="0"/>
              <w:rPr>
                <w:sz w:val="20"/>
                <w:szCs w:val="20"/>
                <w:color w:val="auto"/>
              </w:rPr>
            </w:pPr>
            <w:r>
              <w:rPr>
                <w:rFonts w:ascii="Arial" w:cs="Arial" w:eastAsia="Arial" w:hAnsi="Arial"/>
                <w:sz w:val="18"/>
                <w:szCs w:val="18"/>
                <w:b w:val="1"/>
                <w:bCs w:val="1"/>
                <w:color w:val="FFFFFF"/>
                <w:w w:val="98"/>
              </w:rPr>
              <w:t>JAMES J. MARINO</w:t>
            </w:r>
          </w:p>
        </w:tc>
        <w:tc>
          <w:tcPr>
            <w:tcW w:w="1720" w:type="dxa"/>
            <w:vAlign w:val="bottom"/>
            <w:shd w:val="clear" w:color="auto" w:fill="CCCCCC"/>
          </w:tcPr>
          <w:p>
            <w:pPr>
              <w:spacing w:after="0"/>
              <w:rPr>
                <w:sz w:val="22"/>
                <w:szCs w:val="22"/>
                <w:color w:val="auto"/>
              </w:rPr>
            </w:pPr>
          </w:p>
        </w:tc>
        <w:tc>
          <w:tcPr>
            <w:tcW w:w="162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8"/>
                <w:shd w:val="clear" w:color="auto" w:fill="8F8F8F"/>
              </w:rPr>
              <w:t>GARRY NEIL, M.D.</w:t>
            </w:r>
          </w:p>
        </w:tc>
        <w:tc>
          <w:tcPr>
            <w:tcW w:w="880" w:type="dxa"/>
            <w:vAlign w:val="bottom"/>
            <w:shd w:val="clear" w:color="auto" w:fill="CCCCCC"/>
          </w:tcPr>
          <w:p>
            <w:pPr>
              <w:spacing w:after="0"/>
              <w:rPr>
                <w:sz w:val="22"/>
                <w:szCs w:val="22"/>
                <w:color w:val="auto"/>
              </w:rPr>
            </w:pPr>
          </w:p>
        </w:tc>
      </w:tr>
      <w:tr>
        <w:trPr>
          <w:trHeight w:val="351"/>
        </w:trPr>
        <w:tc>
          <w:tcPr>
            <w:tcW w:w="800" w:type="dxa"/>
            <w:vAlign w:val="bottom"/>
            <w:shd w:val="clear" w:color="auto" w:fill="CCCCCC"/>
          </w:tcPr>
          <w:p>
            <w:pPr>
              <w:spacing w:after="0"/>
              <w:rPr>
                <w:sz w:val="24"/>
                <w:szCs w:val="24"/>
                <w:color w:val="auto"/>
              </w:rPr>
            </w:pPr>
          </w:p>
        </w:tc>
        <w:tc>
          <w:tcPr>
            <w:tcW w:w="178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Chair</w:t>
            </w:r>
          </w:p>
        </w:tc>
        <w:tc>
          <w:tcPr>
            <w:tcW w:w="1640" w:type="dxa"/>
            <w:vAlign w:val="bottom"/>
            <w:shd w:val="clear" w:color="auto" w:fill="CCCCCC"/>
          </w:tcPr>
          <w:p>
            <w:pPr>
              <w:spacing w:after="0"/>
              <w:rPr>
                <w:sz w:val="24"/>
                <w:szCs w:val="24"/>
                <w:color w:val="auto"/>
              </w:rPr>
            </w:pPr>
          </w:p>
        </w:tc>
        <w:tc>
          <w:tcPr>
            <w:tcW w:w="1680" w:type="dxa"/>
            <w:vAlign w:val="bottom"/>
            <w:shd w:val="clear" w:color="auto" w:fill="CCCCCC"/>
          </w:tcPr>
          <w:p>
            <w:pPr>
              <w:spacing w:after="0"/>
              <w:rPr>
                <w:sz w:val="24"/>
                <w:szCs w:val="24"/>
                <w:color w:val="auto"/>
              </w:rPr>
            </w:pPr>
          </w:p>
        </w:tc>
        <w:tc>
          <w:tcPr>
            <w:tcW w:w="1720" w:type="dxa"/>
            <w:vAlign w:val="bottom"/>
            <w:shd w:val="clear" w:color="auto" w:fill="CCCCCC"/>
          </w:tcPr>
          <w:p>
            <w:pPr>
              <w:spacing w:after="0"/>
              <w:rPr>
                <w:sz w:val="24"/>
                <w:szCs w:val="24"/>
                <w:color w:val="auto"/>
              </w:rPr>
            </w:pPr>
          </w:p>
        </w:tc>
        <w:tc>
          <w:tcPr>
            <w:tcW w:w="1620" w:type="dxa"/>
            <w:vAlign w:val="bottom"/>
            <w:shd w:val="clear" w:color="auto" w:fill="CCCCCC"/>
          </w:tcPr>
          <w:p>
            <w:pPr>
              <w:spacing w:after="0"/>
              <w:rPr>
                <w:sz w:val="24"/>
                <w:szCs w:val="24"/>
                <w:color w:val="auto"/>
              </w:rPr>
            </w:pPr>
          </w:p>
        </w:tc>
        <w:tc>
          <w:tcPr>
            <w:tcW w:w="880" w:type="dxa"/>
            <w:vAlign w:val="bottom"/>
            <w:shd w:val="clear" w:color="auto" w:fill="CCCCCC"/>
          </w:tcPr>
          <w:p>
            <w:pPr>
              <w:spacing w:after="0"/>
              <w:rPr>
                <w:sz w:val="24"/>
                <w:szCs w:val="24"/>
                <w:color w:val="auto"/>
              </w:rPr>
            </w:pPr>
          </w:p>
        </w:tc>
      </w:tr>
      <w:tr>
        <w:trPr>
          <w:trHeight w:val="98"/>
        </w:trPr>
        <w:tc>
          <w:tcPr>
            <w:tcW w:w="800" w:type="dxa"/>
            <w:vAlign w:val="bottom"/>
            <w:shd w:val="clear" w:color="auto" w:fill="CCCCCC"/>
          </w:tcPr>
          <w:p>
            <w:pPr>
              <w:spacing w:after="0"/>
              <w:rPr>
                <w:sz w:val="8"/>
                <w:szCs w:val="8"/>
                <w:color w:val="auto"/>
              </w:rPr>
            </w:pPr>
          </w:p>
        </w:tc>
        <w:tc>
          <w:tcPr>
            <w:tcW w:w="1780" w:type="dxa"/>
            <w:vAlign w:val="bottom"/>
            <w:shd w:val="clear" w:color="auto" w:fill="CCCCCC"/>
          </w:tcPr>
          <w:p>
            <w:pPr>
              <w:spacing w:after="0"/>
              <w:rPr>
                <w:sz w:val="8"/>
                <w:szCs w:val="8"/>
                <w:color w:val="auto"/>
              </w:rPr>
            </w:pPr>
          </w:p>
        </w:tc>
        <w:tc>
          <w:tcPr>
            <w:tcW w:w="1640" w:type="dxa"/>
            <w:vAlign w:val="bottom"/>
            <w:shd w:val="clear" w:color="auto" w:fill="CCCCCC"/>
          </w:tcPr>
          <w:p>
            <w:pPr>
              <w:spacing w:after="0"/>
              <w:rPr>
                <w:sz w:val="8"/>
                <w:szCs w:val="8"/>
                <w:color w:val="auto"/>
              </w:rPr>
            </w:pPr>
          </w:p>
        </w:tc>
        <w:tc>
          <w:tcPr>
            <w:tcW w:w="1680" w:type="dxa"/>
            <w:vAlign w:val="bottom"/>
            <w:shd w:val="clear" w:color="auto" w:fill="CCCCCC"/>
          </w:tcPr>
          <w:p>
            <w:pPr>
              <w:spacing w:after="0"/>
              <w:rPr>
                <w:sz w:val="8"/>
                <w:szCs w:val="8"/>
                <w:color w:val="auto"/>
              </w:rPr>
            </w:pPr>
          </w:p>
        </w:tc>
        <w:tc>
          <w:tcPr>
            <w:tcW w:w="1720" w:type="dxa"/>
            <w:vAlign w:val="bottom"/>
            <w:shd w:val="clear" w:color="auto" w:fill="CCCCCC"/>
          </w:tcPr>
          <w:p>
            <w:pPr>
              <w:spacing w:after="0"/>
              <w:rPr>
                <w:sz w:val="8"/>
                <w:szCs w:val="8"/>
                <w:color w:val="auto"/>
              </w:rPr>
            </w:pPr>
          </w:p>
        </w:tc>
        <w:tc>
          <w:tcPr>
            <w:tcW w:w="1620" w:type="dxa"/>
            <w:vAlign w:val="bottom"/>
            <w:shd w:val="clear" w:color="auto" w:fill="CCCCCC"/>
          </w:tcPr>
          <w:p>
            <w:pPr>
              <w:spacing w:after="0"/>
              <w:rPr>
                <w:sz w:val="8"/>
                <w:szCs w:val="8"/>
                <w:color w:val="auto"/>
              </w:rPr>
            </w:pPr>
          </w:p>
        </w:tc>
        <w:tc>
          <w:tcPr>
            <w:tcW w:w="880" w:type="dxa"/>
            <w:vAlign w:val="bottom"/>
            <w:shd w:val="clear" w:color="auto" w:fill="CCCCCC"/>
          </w:tcPr>
          <w:p>
            <w:pPr>
              <w:spacing w:after="0"/>
              <w:rPr>
                <w:sz w:val="8"/>
                <w:szCs w:val="8"/>
                <w:color w:val="auto"/>
              </w:rPr>
            </w:pPr>
          </w:p>
        </w:tc>
      </w:tr>
    </w:tbl>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 xml:space="preserve">MEETINGS IN 2025: </w:t>
      </w:r>
      <w:r>
        <w:rPr>
          <w:rFonts w:ascii="Arial" w:cs="Arial" w:eastAsia="Arial" w:hAnsi="Arial"/>
          <w:sz w:val="18"/>
          <w:szCs w:val="18"/>
          <w:b w:val="1"/>
          <w:bCs w:val="1"/>
          <w:color w:val="FFFFFF"/>
        </w:rPr>
        <w:t>7</w:t>
      </w:r>
    </w:p>
    <w:p>
      <w:pPr>
        <w:spacing w:after="0" w:line="152" w:lineRule="exact"/>
        <w:rPr>
          <w:sz w:val="20"/>
          <w:szCs w:val="20"/>
          <w:color w:val="auto"/>
        </w:rPr>
      </w:pPr>
    </w:p>
    <w:p>
      <w:pPr>
        <w:ind w:left="260" w:right="420" w:hanging="159"/>
        <w:spacing w:after="0" w:line="297" w:lineRule="auto"/>
        <w:tabs>
          <w:tab w:leader="none" w:pos="260" w:val="left"/>
        </w:tabs>
        <w:numPr>
          <w:ilvl w:val="0"/>
          <w:numId w:val="10"/>
        </w:numPr>
        <w:rPr>
          <w:rFonts w:ascii="Arial" w:cs="Arial" w:eastAsia="Arial" w:hAnsi="Arial"/>
          <w:sz w:val="18"/>
          <w:szCs w:val="18"/>
          <w:color w:val="202020"/>
        </w:rPr>
      </w:pPr>
      <w:r>
        <w:rPr>
          <w:rFonts w:ascii="Arial" w:cs="Arial" w:eastAsia="Arial" w:hAnsi="Arial"/>
          <w:sz w:val="18"/>
          <w:szCs w:val="18"/>
          <w:color w:val="202020"/>
        </w:rPr>
        <w:t>The Audit Committee makes recommendations concerning the engagement of our independent registered public accounting firm,</w:t>
      </w:r>
    </w:p>
    <w:p>
      <w:pPr>
        <w:spacing w:after="0" w:line="46" w:lineRule="exact"/>
        <w:rPr>
          <w:rFonts w:ascii="Arial" w:cs="Arial" w:eastAsia="Arial" w:hAnsi="Arial"/>
          <w:sz w:val="18"/>
          <w:szCs w:val="18"/>
          <w:color w:val="202020"/>
        </w:rPr>
      </w:pPr>
    </w:p>
    <w:p>
      <w:pPr>
        <w:ind w:left="260" w:hanging="159"/>
        <w:spacing w:after="0"/>
        <w:tabs>
          <w:tab w:leader="none" w:pos="260" w:val="left"/>
        </w:tabs>
        <w:numPr>
          <w:ilvl w:val="0"/>
          <w:numId w:val="10"/>
        </w:numPr>
        <w:rPr>
          <w:rFonts w:ascii="Arial" w:cs="Arial" w:eastAsia="Arial" w:hAnsi="Arial"/>
          <w:sz w:val="18"/>
          <w:szCs w:val="18"/>
          <w:color w:val="202020"/>
        </w:rPr>
      </w:pPr>
      <w:r>
        <w:rPr>
          <w:rFonts w:ascii="Arial" w:cs="Arial" w:eastAsia="Arial" w:hAnsi="Arial"/>
          <w:sz w:val="18"/>
          <w:szCs w:val="18"/>
          <w:color w:val="202020"/>
        </w:rPr>
        <w:t>Reviews with our independent registered public accounting firm the scope and results of the audit engagement,</w:t>
      </w:r>
    </w:p>
    <w:p>
      <w:pPr>
        <w:spacing w:after="0" w:line="132" w:lineRule="exact"/>
        <w:rPr>
          <w:rFonts w:ascii="Arial" w:cs="Arial" w:eastAsia="Arial" w:hAnsi="Arial"/>
          <w:sz w:val="18"/>
          <w:szCs w:val="18"/>
          <w:color w:val="202020"/>
        </w:rPr>
      </w:pPr>
    </w:p>
    <w:p>
      <w:pPr>
        <w:ind w:left="260" w:hanging="159"/>
        <w:spacing w:after="0"/>
        <w:tabs>
          <w:tab w:leader="none" w:pos="260" w:val="left"/>
        </w:tabs>
        <w:numPr>
          <w:ilvl w:val="0"/>
          <w:numId w:val="10"/>
        </w:numPr>
        <w:rPr>
          <w:rFonts w:ascii="Arial" w:cs="Arial" w:eastAsia="Arial" w:hAnsi="Arial"/>
          <w:sz w:val="18"/>
          <w:szCs w:val="18"/>
          <w:color w:val="202020"/>
        </w:rPr>
      </w:pPr>
      <w:r>
        <w:rPr>
          <w:rFonts w:ascii="Arial" w:cs="Arial" w:eastAsia="Arial" w:hAnsi="Arial"/>
          <w:sz w:val="18"/>
          <w:szCs w:val="18"/>
          <w:color w:val="202020"/>
        </w:rPr>
        <w:t>Approves professional services provided by our independent registered public accounting firm,</w:t>
      </w:r>
    </w:p>
    <w:p>
      <w:pPr>
        <w:spacing w:after="0" w:line="132" w:lineRule="exact"/>
        <w:rPr>
          <w:rFonts w:ascii="Arial" w:cs="Arial" w:eastAsia="Arial" w:hAnsi="Arial"/>
          <w:sz w:val="18"/>
          <w:szCs w:val="18"/>
          <w:color w:val="202020"/>
        </w:rPr>
      </w:pPr>
    </w:p>
    <w:p>
      <w:pPr>
        <w:ind w:left="260" w:right="360" w:hanging="159"/>
        <w:spacing w:after="0" w:line="297" w:lineRule="auto"/>
        <w:tabs>
          <w:tab w:leader="none" w:pos="260" w:val="left"/>
        </w:tabs>
        <w:numPr>
          <w:ilvl w:val="0"/>
          <w:numId w:val="10"/>
        </w:numPr>
        <w:rPr>
          <w:rFonts w:ascii="Arial" w:cs="Arial" w:eastAsia="Arial" w:hAnsi="Arial"/>
          <w:sz w:val="18"/>
          <w:szCs w:val="18"/>
          <w:color w:val="202020"/>
        </w:rPr>
      </w:pPr>
      <w:r>
        <w:rPr>
          <w:rFonts w:ascii="Arial" w:cs="Arial" w:eastAsia="Arial" w:hAnsi="Arial"/>
          <w:sz w:val="18"/>
          <w:szCs w:val="18"/>
          <w:color w:val="202020"/>
        </w:rPr>
        <w:t>Reviews the independence of our independent registered public accounting firm, considers the range of audit and non-audit fees, and</w:t>
      </w:r>
    </w:p>
    <w:p>
      <w:pPr>
        <w:spacing w:after="0" w:line="46" w:lineRule="exact"/>
        <w:rPr>
          <w:rFonts w:ascii="Arial" w:cs="Arial" w:eastAsia="Arial" w:hAnsi="Arial"/>
          <w:sz w:val="18"/>
          <w:szCs w:val="18"/>
          <w:color w:val="202020"/>
        </w:rPr>
      </w:pPr>
    </w:p>
    <w:p>
      <w:pPr>
        <w:ind w:left="260" w:hanging="159"/>
        <w:spacing w:after="0"/>
        <w:tabs>
          <w:tab w:leader="none" w:pos="260" w:val="left"/>
        </w:tabs>
        <w:numPr>
          <w:ilvl w:val="0"/>
          <w:numId w:val="10"/>
        </w:numPr>
        <w:rPr>
          <w:rFonts w:ascii="Arial" w:cs="Arial" w:eastAsia="Arial" w:hAnsi="Arial"/>
          <w:sz w:val="18"/>
          <w:szCs w:val="18"/>
          <w:color w:val="202020"/>
        </w:rPr>
      </w:pPr>
      <w:r>
        <w:rPr>
          <w:rFonts w:ascii="Arial" w:cs="Arial" w:eastAsia="Arial" w:hAnsi="Arial"/>
          <w:sz w:val="18"/>
          <w:szCs w:val="18"/>
          <w:color w:val="202020"/>
        </w:rPr>
        <w:t>Reviews the adequacy of our internal accounting controls.</w:t>
      </w:r>
    </w:p>
    <w:p>
      <w:pPr>
        <w:spacing w:after="0" w:line="132" w:lineRule="exact"/>
        <w:rPr>
          <w:rFonts w:ascii="Arial" w:cs="Arial" w:eastAsia="Arial" w:hAnsi="Arial"/>
          <w:sz w:val="18"/>
          <w:szCs w:val="18"/>
          <w:color w:val="202020"/>
        </w:rPr>
      </w:pPr>
    </w:p>
    <w:p>
      <w:pPr>
        <w:ind w:left="260" w:right="20" w:hanging="159"/>
        <w:spacing w:after="0" w:line="268" w:lineRule="auto"/>
        <w:tabs>
          <w:tab w:leader="none" w:pos="260" w:val="left"/>
        </w:tabs>
        <w:numPr>
          <w:ilvl w:val="0"/>
          <w:numId w:val="10"/>
        </w:numPr>
        <w:rPr>
          <w:rFonts w:ascii="Arial" w:cs="Arial" w:eastAsia="Arial" w:hAnsi="Arial"/>
          <w:sz w:val="18"/>
          <w:szCs w:val="18"/>
          <w:color w:val="202020"/>
        </w:rPr>
      </w:pPr>
      <w:r>
        <w:rPr>
          <w:rFonts w:ascii="Arial" w:cs="Arial" w:eastAsia="Arial" w:hAnsi="Arial"/>
          <w:sz w:val="18"/>
          <w:szCs w:val="18"/>
          <w:color w:val="202020"/>
        </w:rPr>
        <w:t>Oversee risks related to information technology and cybersecurity. Celldex mitigates its cybersecurity risk in many ways including leveraging standard industry tools from a software and hardware perspective, required annual training and maintaining a cybersecurity risk insurance policy. The Audit Committee reviews these information technology and cybersecurity risks at least annually.</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02020"/>
        </w:rPr>
        <w:t>Each member of the Audit Committee is “independent” as that term is defined in the rules of the Securities and Exchange Commission (the “SEC”) and the applicable NASDAQ listing standards. The Board has determined that each Audit Committee member has sufficient knowledge in financial and auditing matters to serve on the Committee.</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color w:val="202020"/>
        </w:rPr>
        <w:t xml:space="preserve">The Board has designated </w:t>
      </w:r>
      <w:r>
        <w:rPr>
          <w:rFonts w:ascii="Arial" w:cs="Arial" w:eastAsia="Arial" w:hAnsi="Arial"/>
          <w:sz w:val="18"/>
          <w:szCs w:val="18"/>
          <w:b w:val="1"/>
          <w:bCs w:val="1"/>
          <w:color w:val="202020"/>
        </w:rPr>
        <w:t>Mr. Brownlie</w:t>
      </w:r>
      <w:r>
        <w:rPr>
          <w:rFonts w:ascii="Arial" w:cs="Arial" w:eastAsia="Arial" w:hAnsi="Arial"/>
          <w:sz w:val="18"/>
          <w:szCs w:val="18"/>
          <w:color w:val="202020"/>
        </w:rPr>
        <w:t xml:space="preserve"> as an “audit committee financial expert,” as defined under the applicable rules of the SEC and the applicable NASDAQ listing standards. The Audit Committee met seven times during 2025. Our Board has adopted an Audit Committee Charter, which is available for viewing at www.celldex.com.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69215</wp:posOffset>
                </wp:positionV>
                <wp:extent cx="64242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63360">
                          <a:solidFill>
                            <a:srgbClr val="8F8F8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45pt" to="505.9pt,5.45pt" o:allowincell="f" strokecolor="#8F8F8F" strokeweight="4.989pt"/>
            </w:pict>
          </mc:Fallback>
        </mc:AlternateConten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Compensation and Organization Development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160020</wp:posOffset>
                </wp:positionV>
                <wp:extent cx="6424930" cy="56388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563880"/>
                        </a:xfrm>
                        <a:prstGeom prst="rect">
                          <a:avLst/>
                        </a:prstGeom>
                        <a:solidFill>
                          <a:srgbClr val="CCCCCC"/>
                        </a:solidFill>
                      </wps:spPr>
                      <wps:bodyPr/>
                    </wps:wsp>
                  </a:graphicData>
                </a:graphic>
              </wp:anchor>
            </w:drawing>
          </mc:Choice>
          <mc:Fallback>
            <w:pict>
              <v:rect id="Shape 70" o:spid="_x0000_s1095" style="position:absolute;margin-left:0.05pt;margin-top:12.6pt;width:505.9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723900</wp:posOffset>
                </wp:positionV>
                <wp:extent cx="6424930" cy="247015"/>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47015"/>
                        </a:xfrm>
                        <a:prstGeom prst="rect">
                          <a:avLst/>
                        </a:prstGeom>
                        <a:solidFill>
                          <a:srgbClr val="8F8F8F"/>
                        </a:solidFill>
                      </wps:spPr>
                      <wps:bodyPr/>
                    </wps:wsp>
                  </a:graphicData>
                </a:graphic>
              </wp:anchor>
            </w:drawing>
          </mc:Choice>
          <mc:Fallback>
            <w:pict>
              <v:rect id="Shape 71" o:spid="_x0000_s1096" style="position:absolute;margin-left:0.05pt;margin-top:57pt;width:505.9pt;height:1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723265</wp:posOffset>
                </wp:positionV>
                <wp:extent cx="642429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6.95pt" to="505.9pt,56.9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2141855</wp:posOffset>
                </wp:positionH>
                <wp:positionV relativeFrom="paragraph">
                  <wp:posOffset>159385</wp:posOffset>
                </wp:positionV>
                <wp:extent cx="0" cy="58293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29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65pt,12.55pt" to="168.65pt,58.4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4283710</wp:posOffset>
                </wp:positionH>
                <wp:positionV relativeFrom="paragraph">
                  <wp:posOffset>159385</wp:posOffset>
                </wp:positionV>
                <wp:extent cx="0" cy="58293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29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pt,12.55pt" to="337.3pt,58.45pt" o:allowincell="f" strokecolor="#FFFFFF" strokeweight="2.993pt"/>
            </w:pict>
          </mc:Fallback>
        </mc:AlternateContent>
      </w:r>
    </w:p>
    <w:p>
      <w:pPr>
        <w:spacing w:after="0" w:line="351" w:lineRule="exact"/>
        <w:rPr>
          <w:sz w:val="20"/>
          <w:szCs w:val="20"/>
          <w:color w:val="auto"/>
        </w:rPr>
      </w:pPr>
    </w:p>
    <w:tbl>
      <w:tblPr>
        <w:tblLayout w:type="fixed"/>
        <w:tblInd w:w="900" w:type="dxa"/>
        <w:tblCellMar>
          <w:top w:w="0" w:type="dxa"/>
          <w:left w:w="0" w:type="dxa"/>
          <w:bottom w:w="0" w:type="dxa"/>
          <w:right w:w="0" w:type="dxa"/>
        </w:tblCellMar>
      </w:tblPr>
      <w:tr>
        <w:trPr>
          <w:trHeight w:val="259"/>
        </w:trPr>
        <w:tc>
          <w:tcPr>
            <w:tcW w:w="158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4"/>
                <w:shd w:val="clear" w:color="auto" w:fill="8F8F8F"/>
              </w:rPr>
              <w:t>JAMES J. MARINO</w:t>
            </w:r>
          </w:p>
        </w:tc>
        <w:tc>
          <w:tcPr>
            <w:tcW w:w="1760" w:type="dxa"/>
            <w:vAlign w:val="bottom"/>
          </w:tcPr>
          <w:p>
            <w:pPr>
              <w:spacing w:after="0"/>
              <w:rPr>
                <w:sz w:val="22"/>
                <w:szCs w:val="22"/>
                <w:color w:val="auto"/>
              </w:rPr>
            </w:pPr>
          </w:p>
        </w:tc>
        <w:tc>
          <w:tcPr>
            <w:tcW w:w="164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5"/>
                <w:shd w:val="clear" w:color="auto" w:fill="8F8F8F"/>
              </w:rPr>
              <w:t>CHERYL L. COHEN</w:t>
            </w:r>
          </w:p>
        </w:tc>
        <w:tc>
          <w:tcPr>
            <w:tcW w:w="1820" w:type="dxa"/>
            <w:vAlign w:val="bottom"/>
          </w:tcPr>
          <w:p>
            <w:pPr>
              <w:spacing w:after="0"/>
              <w:rPr>
                <w:sz w:val="22"/>
                <w:szCs w:val="22"/>
                <w:color w:val="auto"/>
              </w:rPr>
            </w:pPr>
          </w:p>
        </w:tc>
        <w:tc>
          <w:tcPr>
            <w:tcW w:w="146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4"/>
                <w:shd w:val="clear" w:color="auto" w:fill="8F8F8F"/>
              </w:rPr>
              <w:t>DENICE TORRES</w:t>
            </w:r>
          </w:p>
        </w:tc>
      </w:tr>
    </w:tbl>
    <w:p>
      <w:pPr>
        <w:spacing w:after="0" w:line="16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202020"/>
        </w:rPr>
        <w:t>Chair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 xml:space="preserve">MEETINGS IN 2025: </w:t>
      </w:r>
      <w:r>
        <w:rPr>
          <w:rFonts w:ascii="Arial" w:cs="Arial" w:eastAsia="Arial" w:hAnsi="Arial"/>
          <w:sz w:val="18"/>
          <w:szCs w:val="18"/>
          <w:b w:val="1"/>
          <w:bCs w:val="1"/>
          <w:color w:val="FFFFFF"/>
        </w:rPr>
        <w:t>8</w:t>
      </w:r>
    </w:p>
    <w:p>
      <w:pPr>
        <w:spacing w:after="0" w:line="152" w:lineRule="exact"/>
        <w:rPr>
          <w:sz w:val="20"/>
          <w:szCs w:val="20"/>
          <w:color w:val="auto"/>
        </w:rPr>
      </w:pPr>
    </w:p>
    <w:p>
      <w:pPr>
        <w:ind w:left="260" w:hanging="159"/>
        <w:spacing w:after="0"/>
        <w:tabs>
          <w:tab w:leader="none" w:pos="260" w:val="left"/>
        </w:tabs>
        <w:numPr>
          <w:ilvl w:val="0"/>
          <w:numId w:val="11"/>
        </w:numPr>
        <w:rPr>
          <w:rFonts w:ascii="Arial" w:cs="Arial" w:eastAsia="Arial" w:hAnsi="Arial"/>
          <w:sz w:val="18"/>
          <w:szCs w:val="18"/>
          <w:color w:val="202020"/>
        </w:rPr>
      </w:pPr>
      <w:r>
        <w:rPr>
          <w:rFonts w:ascii="Arial" w:cs="Arial" w:eastAsia="Arial" w:hAnsi="Arial"/>
          <w:sz w:val="18"/>
          <w:szCs w:val="18"/>
          <w:color w:val="202020"/>
        </w:rPr>
        <w:t>To assist the Board in the establishment of compensation for the Chief Executive Officer,</w:t>
      </w:r>
    </w:p>
    <w:p>
      <w:pPr>
        <w:spacing w:after="0" w:line="132" w:lineRule="exact"/>
        <w:rPr>
          <w:rFonts w:ascii="Arial" w:cs="Arial" w:eastAsia="Arial" w:hAnsi="Arial"/>
          <w:sz w:val="18"/>
          <w:szCs w:val="18"/>
          <w:color w:val="202020"/>
        </w:rPr>
      </w:pPr>
    </w:p>
    <w:p>
      <w:pPr>
        <w:ind w:left="260" w:hanging="159"/>
        <w:spacing w:after="0"/>
        <w:tabs>
          <w:tab w:leader="none" w:pos="260" w:val="left"/>
        </w:tabs>
        <w:numPr>
          <w:ilvl w:val="0"/>
          <w:numId w:val="11"/>
        </w:numPr>
        <w:rPr>
          <w:rFonts w:ascii="Arial" w:cs="Arial" w:eastAsia="Arial" w:hAnsi="Arial"/>
          <w:sz w:val="18"/>
          <w:szCs w:val="18"/>
          <w:color w:val="202020"/>
        </w:rPr>
      </w:pPr>
      <w:r>
        <w:rPr>
          <w:rFonts w:ascii="Arial" w:cs="Arial" w:eastAsia="Arial" w:hAnsi="Arial"/>
          <w:sz w:val="18"/>
          <w:szCs w:val="18"/>
          <w:color w:val="202020"/>
        </w:rPr>
        <w:t>To approve the compensation of other officers and senior employees, and</w:t>
      </w:r>
    </w:p>
    <w:p>
      <w:pPr>
        <w:spacing w:after="0" w:line="132" w:lineRule="exact"/>
        <w:rPr>
          <w:rFonts w:ascii="Arial" w:cs="Arial" w:eastAsia="Arial" w:hAnsi="Arial"/>
          <w:sz w:val="18"/>
          <w:szCs w:val="18"/>
          <w:color w:val="202020"/>
        </w:rPr>
      </w:pPr>
    </w:p>
    <w:p>
      <w:pPr>
        <w:ind w:left="260" w:hanging="159"/>
        <w:spacing w:after="0"/>
        <w:tabs>
          <w:tab w:leader="none" w:pos="260" w:val="left"/>
        </w:tabs>
        <w:numPr>
          <w:ilvl w:val="0"/>
          <w:numId w:val="11"/>
        </w:numPr>
        <w:rPr>
          <w:rFonts w:ascii="Arial" w:cs="Arial" w:eastAsia="Arial" w:hAnsi="Arial"/>
          <w:sz w:val="18"/>
          <w:szCs w:val="18"/>
          <w:color w:val="202020"/>
        </w:rPr>
      </w:pPr>
      <w:r>
        <w:rPr>
          <w:rFonts w:ascii="Arial" w:cs="Arial" w:eastAsia="Arial" w:hAnsi="Arial"/>
          <w:sz w:val="18"/>
          <w:szCs w:val="18"/>
          <w:color w:val="202020"/>
        </w:rPr>
        <w:t>To approve certain other personnel and employee benefit matters.</w:t>
      </w:r>
    </w:p>
    <w:p>
      <w:pPr>
        <w:spacing w:after="0" w:line="132" w:lineRule="exact"/>
        <w:rPr>
          <w:rFonts w:ascii="Arial" w:cs="Arial" w:eastAsia="Arial" w:hAnsi="Arial"/>
          <w:sz w:val="18"/>
          <w:szCs w:val="18"/>
          <w:color w:val="202020"/>
        </w:rPr>
      </w:pPr>
    </w:p>
    <w:p>
      <w:pPr>
        <w:ind w:left="260" w:hanging="159"/>
        <w:spacing w:after="0" w:line="275" w:lineRule="auto"/>
        <w:tabs>
          <w:tab w:leader="none" w:pos="260" w:val="left"/>
        </w:tabs>
        <w:numPr>
          <w:ilvl w:val="0"/>
          <w:numId w:val="11"/>
        </w:numPr>
        <w:rPr>
          <w:rFonts w:ascii="Arial" w:cs="Arial" w:eastAsia="Arial" w:hAnsi="Arial"/>
          <w:sz w:val="18"/>
          <w:szCs w:val="18"/>
          <w:color w:val="202020"/>
        </w:rPr>
      </w:pPr>
      <w:r>
        <w:rPr>
          <w:rFonts w:ascii="Arial" w:cs="Arial" w:eastAsia="Arial" w:hAnsi="Arial"/>
          <w:sz w:val="18"/>
          <w:szCs w:val="18"/>
          <w:color w:val="202020"/>
        </w:rPr>
        <w:t>The Compensation and Organization Development Committee has oversight of the Company’s strategies and policies related to human capital management, provided, however, that the full Board has retained oversight of the Company’s strategies and policies related to diversity and inclusion.</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202020"/>
        </w:rPr>
        <w:t>Each member of the Compensation and Organization Development Committee is “independent” as that term is defined in the rules of the SEC and the applicable NASDAQ listing standards. The Compensation and Organization Development Committee met eight times during 2025. Our Board has adopted a Compensation and Organization Development Committee Charter, which is available for viewing at www.celldex.com.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73025</wp:posOffset>
                </wp:positionV>
                <wp:extent cx="64242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63360">
                          <a:solidFill>
                            <a:srgbClr val="8F8F8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75pt" to="505.9pt,5.75pt" o:allowincell="f" strokecolor="#8F8F8F" strokeweight="4.989pt"/>
            </w:pict>
          </mc:Fallback>
        </mc:AlternateConten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15</w:t>
      </w:r>
    </w:p>
    <w:p>
      <w:pPr>
        <w:sectPr>
          <w:pgSz w:w="11880" w:h="15480" w:orient="portrait"/>
          <w:cols w:equalWidth="0" w:num="1">
            <w:col w:w="10120"/>
          </w:cols>
          <w:pgMar w:left="880" w:top="544" w:right="880" w:bottom="96"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Nominating and Corporate Governance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685800</wp:posOffset>
                </wp:positionV>
                <wp:extent cx="6424930" cy="24701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47015"/>
                        </a:xfrm>
                        <a:prstGeom prst="rect">
                          <a:avLst/>
                        </a:prstGeom>
                        <a:solidFill>
                          <a:srgbClr val="8F8F8F"/>
                        </a:solidFill>
                      </wps:spPr>
                      <wps:bodyPr/>
                    </wps:wsp>
                  </a:graphicData>
                </a:graphic>
              </wp:anchor>
            </w:drawing>
          </mc:Choice>
          <mc:Fallback>
            <w:pict>
              <v:rect id="Shape 76" o:spid="_x0000_s1101" style="position:absolute;margin-left:0.05pt;margin-top:54pt;width:505.9pt;height:1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685165</wp:posOffset>
                </wp:positionV>
                <wp:extent cx="64242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3.95pt" to="505.9pt,53.9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2141855</wp:posOffset>
                </wp:positionH>
                <wp:positionV relativeFrom="paragraph">
                  <wp:posOffset>159385</wp:posOffset>
                </wp:positionV>
                <wp:extent cx="0" cy="54483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48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65pt,12.55pt" to="168.65pt,55.4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4283710</wp:posOffset>
                </wp:positionH>
                <wp:positionV relativeFrom="paragraph">
                  <wp:posOffset>159385</wp:posOffset>
                </wp:positionV>
                <wp:extent cx="0" cy="54483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48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pt,12.55pt" to="337.3pt,55.45pt" o:allowincell="f" strokecolor="#FFFFFF" strokeweight="2.993pt"/>
            </w:pict>
          </mc:Fallback>
        </mc:AlternateConten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80" w:type="dxa"/>
            <w:vAlign w:val="bottom"/>
            <w:shd w:val="clear" w:color="auto" w:fill="CCCCCC"/>
          </w:tcPr>
          <w:p>
            <w:pPr>
              <w:spacing w:after="0"/>
              <w:rPr>
                <w:sz w:val="10"/>
                <w:szCs w:val="10"/>
                <w:color w:val="auto"/>
              </w:rPr>
            </w:pPr>
          </w:p>
        </w:tc>
        <w:tc>
          <w:tcPr>
            <w:tcW w:w="1620" w:type="dxa"/>
            <w:vAlign w:val="bottom"/>
            <w:shd w:val="clear" w:color="auto" w:fill="CCCCCC"/>
          </w:tcPr>
          <w:p>
            <w:pPr>
              <w:spacing w:after="0"/>
              <w:rPr>
                <w:sz w:val="10"/>
                <w:szCs w:val="10"/>
                <w:color w:val="auto"/>
              </w:rPr>
            </w:pPr>
          </w:p>
        </w:tc>
        <w:tc>
          <w:tcPr>
            <w:tcW w:w="1640" w:type="dxa"/>
            <w:vAlign w:val="bottom"/>
            <w:shd w:val="clear" w:color="auto" w:fill="CCCCCC"/>
          </w:tcPr>
          <w:p>
            <w:pPr>
              <w:spacing w:after="0"/>
              <w:rPr>
                <w:sz w:val="10"/>
                <w:szCs w:val="10"/>
                <w:color w:val="auto"/>
              </w:rPr>
            </w:pPr>
          </w:p>
        </w:tc>
        <w:tc>
          <w:tcPr>
            <w:tcW w:w="1840" w:type="dxa"/>
            <w:vAlign w:val="bottom"/>
            <w:shd w:val="clear" w:color="auto" w:fill="CCCCCC"/>
          </w:tcPr>
          <w:p>
            <w:pPr>
              <w:spacing w:after="0"/>
              <w:rPr>
                <w:sz w:val="10"/>
                <w:szCs w:val="10"/>
                <w:color w:val="auto"/>
              </w:rPr>
            </w:pPr>
          </w:p>
        </w:tc>
        <w:tc>
          <w:tcPr>
            <w:tcW w:w="1760" w:type="dxa"/>
            <w:vAlign w:val="bottom"/>
            <w:shd w:val="clear" w:color="auto" w:fill="CCCCCC"/>
          </w:tcPr>
          <w:p>
            <w:pPr>
              <w:spacing w:after="0"/>
              <w:rPr>
                <w:sz w:val="10"/>
                <w:szCs w:val="10"/>
                <w:color w:val="auto"/>
              </w:rPr>
            </w:pPr>
          </w:p>
        </w:tc>
        <w:tc>
          <w:tcPr>
            <w:tcW w:w="1380" w:type="dxa"/>
            <w:vAlign w:val="bottom"/>
            <w:shd w:val="clear" w:color="auto" w:fill="CCCCCC"/>
          </w:tcPr>
          <w:p>
            <w:pPr>
              <w:spacing w:after="0"/>
              <w:rPr>
                <w:sz w:val="10"/>
                <w:szCs w:val="10"/>
                <w:color w:val="auto"/>
              </w:rPr>
            </w:pPr>
          </w:p>
        </w:tc>
        <w:tc>
          <w:tcPr>
            <w:tcW w:w="1000" w:type="dxa"/>
            <w:vAlign w:val="bottom"/>
            <w:shd w:val="clear" w:color="auto" w:fill="CCCCCC"/>
          </w:tcPr>
          <w:p>
            <w:pPr>
              <w:spacing w:after="0"/>
              <w:rPr>
                <w:sz w:val="10"/>
                <w:szCs w:val="10"/>
                <w:color w:val="auto"/>
              </w:rPr>
            </w:pPr>
          </w:p>
        </w:tc>
      </w:tr>
      <w:tr>
        <w:trPr>
          <w:trHeight w:val="259"/>
        </w:trPr>
        <w:tc>
          <w:tcPr>
            <w:tcW w:w="880" w:type="dxa"/>
            <w:vAlign w:val="bottom"/>
            <w:shd w:val="clear" w:color="auto" w:fill="CCCCCC"/>
          </w:tcPr>
          <w:p>
            <w:pPr>
              <w:spacing w:after="0"/>
              <w:rPr>
                <w:sz w:val="22"/>
                <w:szCs w:val="22"/>
                <w:color w:val="auto"/>
              </w:rPr>
            </w:pPr>
          </w:p>
        </w:tc>
        <w:tc>
          <w:tcPr>
            <w:tcW w:w="1620" w:type="dxa"/>
            <w:vAlign w:val="bottom"/>
            <w:shd w:val="clear" w:color="auto" w:fill="8F8F8F"/>
          </w:tcPr>
          <w:p>
            <w:pPr>
              <w:jc w:val="center"/>
              <w:spacing w:after="0"/>
              <w:rPr>
                <w:sz w:val="20"/>
                <w:szCs w:val="20"/>
                <w:color w:val="auto"/>
              </w:rPr>
            </w:pPr>
            <w:r>
              <w:rPr>
                <w:rFonts w:ascii="Arial" w:cs="Arial" w:eastAsia="Arial" w:hAnsi="Arial"/>
                <w:sz w:val="18"/>
                <w:szCs w:val="18"/>
                <w:b w:val="1"/>
                <w:bCs w:val="1"/>
                <w:color w:val="FFFFFF"/>
                <w:w w:val="96"/>
                <w:shd w:val="clear" w:color="auto" w:fill="8F8F8F"/>
              </w:rPr>
              <w:t>GARRY NEIL, M.D.</w:t>
            </w:r>
          </w:p>
        </w:tc>
        <w:tc>
          <w:tcPr>
            <w:tcW w:w="1640" w:type="dxa"/>
            <w:vAlign w:val="bottom"/>
            <w:shd w:val="clear" w:color="auto" w:fill="CCCCCC"/>
          </w:tcPr>
          <w:p>
            <w:pPr>
              <w:spacing w:after="0"/>
              <w:rPr>
                <w:sz w:val="22"/>
                <w:szCs w:val="22"/>
                <w:color w:val="auto"/>
              </w:rPr>
            </w:pPr>
          </w:p>
        </w:tc>
        <w:tc>
          <w:tcPr>
            <w:tcW w:w="184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3"/>
                <w:shd w:val="clear" w:color="auto" w:fill="8F8F8F"/>
              </w:rPr>
              <w:t>HERBERT J. CONRAD</w:t>
            </w:r>
          </w:p>
        </w:tc>
        <w:tc>
          <w:tcPr>
            <w:tcW w:w="1760" w:type="dxa"/>
            <w:vAlign w:val="bottom"/>
            <w:shd w:val="clear" w:color="auto" w:fill="CCCCCC"/>
          </w:tcPr>
          <w:p>
            <w:pPr>
              <w:spacing w:after="0"/>
              <w:rPr>
                <w:sz w:val="22"/>
                <w:szCs w:val="22"/>
                <w:color w:val="auto"/>
              </w:rPr>
            </w:pPr>
          </w:p>
        </w:tc>
        <w:tc>
          <w:tcPr>
            <w:tcW w:w="138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7"/>
                <w:shd w:val="clear" w:color="auto" w:fill="8F8F8F"/>
              </w:rPr>
              <w:t>RITA JAIN, M.D.</w:t>
            </w:r>
          </w:p>
        </w:tc>
        <w:tc>
          <w:tcPr>
            <w:tcW w:w="1000" w:type="dxa"/>
            <w:vAlign w:val="bottom"/>
            <w:shd w:val="clear" w:color="auto" w:fill="CCCCCC"/>
          </w:tcPr>
          <w:p>
            <w:pPr>
              <w:spacing w:after="0"/>
              <w:rPr>
                <w:sz w:val="22"/>
                <w:szCs w:val="22"/>
                <w:color w:val="auto"/>
              </w:rPr>
            </w:pPr>
          </w:p>
        </w:tc>
      </w:tr>
      <w:tr>
        <w:trPr>
          <w:trHeight w:val="351"/>
        </w:trPr>
        <w:tc>
          <w:tcPr>
            <w:tcW w:w="880" w:type="dxa"/>
            <w:vAlign w:val="bottom"/>
            <w:shd w:val="clear" w:color="auto" w:fill="CCCCCC"/>
          </w:tcPr>
          <w:p>
            <w:pPr>
              <w:spacing w:after="0"/>
              <w:rPr>
                <w:sz w:val="24"/>
                <w:szCs w:val="24"/>
                <w:color w:val="auto"/>
              </w:rPr>
            </w:pPr>
          </w:p>
        </w:tc>
        <w:tc>
          <w:tcPr>
            <w:tcW w:w="16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Chair</w:t>
            </w:r>
          </w:p>
        </w:tc>
        <w:tc>
          <w:tcPr>
            <w:tcW w:w="1640" w:type="dxa"/>
            <w:vAlign w:val="bottom"/>
            <w:shd w:val="clear" w:color="auto" w:fill="CCCCCC"/>
          </w:tcPr>
          <w:p>
            <w:pPr>
              <w:spacing w:after="0"/>
              <w:rPr>
                <w:sz w:val="24"/>
                <w:szCs w:val="24"/>
                <w:color w:val="auto"/>
              </w:rPr>
            </w:pPr>
          </w:p>
        </w:tc>
        <w:tc>
          <w:tcPr>
            <w:tcW w:w="1840" w:type="dxa"/>
            <w:vAlign w:val="bottom"/>
            <w:shd w:val="clear" w:color="auto" w:fill="CCCCCC"/>
          </w:tcPr>
          <w:p>
            <w:pPr>
              <w:spacing w:after="0"/>
              <w:rPr>
                <w:sz w:val="24"/>
                <w:szCs w:val="24"/>
                <w:color w:val="auto"/>
              </w:rPr>
            </w:pPr>
          </w:p>
        </w:tc>
        <w:tc>
          <w:tcPr>
            <w:tcW w:w="1760" w:type="dxa"/>
            <w:vAlign w:val="bottom"/>
            <w:shd w:val="clear" w:color="auto" w:fill="CCCCCC"/>
          </w:tcPr>
          <w:p>
            <w:pPr>
              <w:spacing w:after="0"/>
              <w:rPr>
                <w:sz w:val="24"/>
                <w:szCs w:val="24"/>
                <w:color w:val="auto"/>
              </w:rPr>
            </w:pPr>
          </w:p>
        </w:tc>
        <w:tc>
          <w:tcPr>
            <w:tcW w:w="1380" w:type="dxa"/>
            <w:vAlign w:val="bottom"/>
            <w:shd w:val="clear" w:color="auto" w:fill="CCCCCC"/>
          </w:tcPr>
          <w:p>
            <w:pPr>
              <w:spacing w:after="0"/>
              <w:rPr>
                <w:sz w:val="24"/>
                <w:szCs w:val="24"/>
                <w:color w:val="auto"/>
              </w:rPr>
            </w:pPr>
          </w:p>
        </w:tc>
        <w:tc>
          <w:tcPr>
            <w:tcW w:w="1000" w:type="dxa"/>
            <w:vAlign w:val="bottom"/>
            <w:shd w:val="clear" w:color="auto" w:fill="CCCCCC"/>
          </w:tcPr>
          <w:p>
            <w:pPr>
              <w:spacing w:after="0"/>
              <w:rPr>
                <w:sz w:val="24"/>
                <w:szCs w:val="24"/>
                <w:color w:val="auto"/>
              </w:rPr>
            </w:pPr>
          </w:p>
        </w:tc>
      </w:tr>
      <w:tr>
        <w:trPr>
          <w:trHeight w:val="98"/>
        </w:trPr>
        <w:tc>
          <w:tcPr>
            <w:tcW w:w="880" w:type="dxa"/>
            <w:vAlign w:val="bottom"/>
            <w:shd w:val="clear" w:color="auto" w:fill="CCCCCC"/>
          </w:tcPr>
          <w:p>
            <w:pPr>
              <w:spacing w:after="0"/>
              <w:rPr>
                <w:sz w:val="8"/>
                <w:szCs w:val="8"/>
                <w:color w:val="auto"/>
              </w:rPr>
            </w:pPr>
          </w:p>
        </w:tc>
        <w:tc>
          <w:tcPr>
            <w:tcW w:w="1620" w:type="dxa"/>
            <w:vAlign w:val="bottom"/>
            <w:shd w:val="clear" w:color="auto" w:fill="CCCCCC"/>
          </w:tcPr>
          <w:p>
            <w:pPr>
              <w:spacing w:after="0"/>
              <w:rPr>
                <w:sz w:val="8"/>
                <w:szCs w:val="8"/>
                <w:color w:val="auto"/>
              </w:rPr>
            </w:pPr>
          </w:p>
        </w:tc>
        <w:tc>
          <w:tcPr>
            <w:tcW w:w="1640" w:type="dxa"/>
            <w:vAlign w:val="bottom"/>
            <w:shd w:val="clear" w:color="auto" w:fill="CCCCCC"/>
          </w:tcPr>
          <w:p>
            <w:pPr>
              <w:spacing w:after="0"/>
              <w:rPr>
                <w:sz w:val="8"/>
                <w:szCs w:val="8"/>
                <w:color w:val="auto"/>
              </w:rPr>
            </w:pPr>
          </w:p>
        </w:tc>
        <w:tc>
          <w:tcPr>
            <w:tcW w:w="1840" w:type="dxa"/>
            <w:vAlign w:val="bottom"/>
            <w:shd w:val="clear" w:color="auto" w:fill="CCCCCC"/>
          </w:tcPr>
          <w:p>
            <w:pPr>
              <w:spacing w:after="0"/>
              <w:rPr>
                <w:sz w:val="8"/>
                <w:szCs w:val="8"/>
                <w:color w:val="auto"/>
              </w:rPr>
            </w:pPr>
          </w:p>
        </w:tc>
        <w:tc>
          <w:tcPr>
            <w:tcW w:w="1760" w:type="dxa"/>
            <w:vAlign w:val="bottom"/>
            <w:shd w:val="clear" w:color="auto" w:fill="CCCCCC"/>
          </w:tcPr>
          <w:p>
            <w:pPr>
              <w:spacing w:after="0"/>
              <w:rPr>
                <w:sz w:val="8"/>
                <w:szCs w:val="8"/>
                <w:color w:val="auto"/>
              </w:rPr>
            </w:pPr>
          </w:p>
        </w:tc>
        <w:tc>
          <w:tcPr>
            <w:tcW w:w="1380" w:type="dxa"/>
            <w:vAlign w:val="bottom"/>
            <w:shd w:val="clear" w:color="auto" w:fill="CCCCCC"/>
          </w:tcPr>
          <w:p>
            <w:pPr>
              <w:spacing w:after="0"/>
              <w:rPr>
                <w:sz w:val="8"/>
                <w:szCs w:val="8"/>
                <w:color w:val="auto"/>
              </w:rPr>
            </w:pPr>
          </w:p>
        </w:tc>
        <w:tc>
          <w:tcPr>
            <w:tcW w:w="1000" w:type="dxa"/>
            <w:vAlign w:val="bottom"/>
            <w:shd w:val="clear" w:color="auto" w:fill="CCCCCC"/>
          </w:tcPr>
          <w:p>
            <w:pPr>
              <w:spacing w:after="0"/>
              <w:rPr>
                <w:sz w:val="8"/>
                <w:szCs w:val="8"/>
                <w:color w:val="auto"/>
              </w:rPr>
            </w:pPr>
          </w:p>
        </w:tc>
      </w:tr>
    </w:tbl>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 xml:space="preserve">MEETINGS IN 2025: </w:t>
      </w:r>
      <w:r>
        <w:rPr>
          <w:rFonts w:ascii="Arial" w:cs="Arial" w:eastAsia="Arial" w:hAnsi="Arial"/>
          <w:sz w:val="18"/>
          <w:szCs w:val="18"/>
          <w:b w:val="1"/>
          <w:bCs w:val="1"/>
          <w:color w:val="FFFFFF"/>
        </w:rPr>
        <w:t>6</w:t>
      </w:r>
    </w:p>
    <w:p>
      <w:pPr>
        <w:spacing w:after="0" w:line="148" w:lineRule="exact"/>
        <w:rPr>
          <w:sz w:val="20"/>
          <w:szCs w:val="20"/>
          <w:color w:val="auto"/>
        </w:rPr>
      </w:pPr>
    </w:p>
    <w:p>
      <w:pPr>
        <w:ind w:left="260" w:right="20" w:hanging="159"/>
        <w:spacing w:after="0" w:line="292" w:lineRule="auto"/>
        <w:tabs>
          <w:tab w:leader="none" w:pos="260" w:val="left"/>
        </w:tabs>
        <w:numPr>
          <w:ilvl w:val="0"/>
          <w:numId w:val="12"/>
        </w:numPr>
        <w:rPr>
          <w:rFonts w:ascii="Arial" w:cs="Arial" w:eastAsia="Arial" w:hAnsi="Arial"/>
          <w:sz w:val="18"/>
          <w:szCs w:val="18"/>
          <w:color w:val="202020"/>
        </w:rPr>
      </w:pPr>
      <w:r>
        <w:rPr>
          <w:rFonts w:ascii="Arial" w:cs="Arial" w:eastAsia="Arial" w:hAnsi="Arial"/>
          <w:sz w:val="18"/>
          <w:szCs w:val="18"/>
          <w:color w:val="202020"/>
        </w:rPr>
        <w:t>To assist the Board in reviewing, investigating and addressing issues regarding Board composition, policy and structure; membership on Board committees; and other matters regarding our governance.</w:t>
      </w:r>
    </w:p>
    <w:p>
      <w:pPr>
        <w:spacing w:after="0" w:line="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202020"/>
        </w:rPr>
        <w:t>Each member of the Nominating and Corporate Governance Committee is “independent” as that term is defined in the rules of the SEC and the applicable NASDAQ listing standards. The Nominating and Corporate Governance Committee met six times during 2025. Our Board has adopted a Nominating and Corporate Governance Committee Charter, which is available for viewing at www.celldex.com.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72390</wp:posOffset>
                </wp:positionV>
                <wp:extent cx="64242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63360">
                          <a:solidFill>
                            <a:srgbClr val="8F8F8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7pt" to="505.9pt,5.7pt" o:allowincell="f" strokecolor="#8F8F8F" strokeweight="4.989pt"/>
            </w:pict>
          </mc:Fallback>
        </mc:AlternateContent>
      </w:r>
    </w:p>
    <w:p>
      <w:pPr>
        <w:spacing w:after="0" w:line="200" w:lineRule="exact"/>
        <w:rPr>
          <w:sz w:val="20"/>
          <w:szCs w:val="20"/>
          <w:color w:val="auto"/>
        </w:rPr>
      </w:pPr>
    </w:p>
    <w:p>
      <w:pPr>
        <w:spacing w:after="0" w:line="297" w:lineRule="exact"/>
        <w:rPr>
          <w:sz w:val="20"/>
          <w:szCs w:val="20"/>
          <w:color w:val="auto"/>
        </w:rPr>
      </w:pPr>
    </w:p>
    <w:p>
      <w:pPr>
        <w:ind w:right="680"/>
        <w:spacing w:after="0" w:line="287" w:lineRule="auto"/>
        <w:rPr>
          <w:sz w:val="20"/>
          <w:szCs w:val="20"/>
          <w:color w:val="auto"/>
        </w:rPr>
      </w:pPr>
      <w:r>
        <w:rPr>
          <w:rFonts w:ascii="Arial" w:cs="Arial" w:eastAsia="Arial" w:hAnsi="Arial"/>
          <w:sz w:val="21"/>
          <w:szCs w:val="21"/>
          <w:b w:val="1"/>
          <w:bCs w:val="1"/>
          <w:color w:val="202020"/>
        </w:rPr>
        <w:t xml:space="preserve">Science and Commercialization Committee </w:t>
      </w:r>
      <w:r>
        <w:rPr>
          <w:rFonts w:ascii="Arial" w:cs="Arial" w:eastAsia="Arial" w:hAnsi="Arial"/>
          <w:sz w:val="21"/>
          <w:szCs w:val="21"/>
          <w:color w:val="202020"/>
        </w:rPr>
        <w:t>(formerly referred to as the Science and Regulatory</w:t>
      </w:r>
      <w:r>
        <w:rPr>
          <w:rFonts w:ascii="Arial" w:cs="Arial" w:eastAsia="Arial" w:hAnsi="Arial"/>
          <w:sz w:val="21"/>
          <w:szCs w:val="21"/>
          <w:b w:val="1"/>
          <w:bCs w:val="1"/>
          <w:color w:val="202020"/>
        </w:rPr>
        <w:t xml:space="preserve"> </w:t>
      </w:r>
      <w:r>
        <w:rPr>
          <w:rFonts w:ascii="Arial" w:cs="Arial" w:eastAsia="Arial" w:hAnsi="Arial"/>
          <w:sz w:val="21"/>
          <w:szCs w:val="21"/>
          <w:color w:val="202020"/>
        </w:rPr>
        <w:t>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629285</wp:posOffset>
                </wp:positionV>
                <wp:extent cx="6424930" cy="24701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247015"/>
                        </a:xfrm>
                        <a:prstGeom prst="rect">
                          <a:avLst/>
                        </a:prstGeom>
                        <a:solidFill>
                          <a:srgbClr val="8F8F8F"/>
                        </a:solidFill>
                      </wps:spPr>
                      <wps:bodyPr/>
                    </wps:wsp>
                  </a:graphicData>
                </a:graphic>
              </wp:anchor>
            </w:drawing>
          </mc:Choice>
          <mc:Fallback>
            <w:pict>
              <v:rect id="Shape 81" o:spid="_x0000_s1106" style="position:absolute;margin-left:0.05pt;margin-top:49.55pt;width:505.9pt;height:19.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629285</wp:posOffset>
                </wp:positionV>
                <wp:extent cx="642429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9.55pt" to="505.9pt,49.5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2141855</wp:posOffset>
                </wp:positionH>
                <wp:positionV relativeFrom="paragraph">
                  <wp:posOffset>103505</wp:posOffset>
                </wp:positionV>
                <wp:extent cx="0" cy="54483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48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65pt,8.15pt" to="168.65pt,51.05pt" o:allowincell="f" strokecolor="#FFFFFF" strokeweight="2.993pt"/>
            </w:pict>
          </mc:Fallback>
        </mc:AlternateContent>
        <mc:AlternateContent>
          <mc:Choice Requires="wps">
            <w:drawing>
              <wp:anchor simplePos="0" relativeHeight="251657728" behindDoc="1" locked="0" layoutInCell="0" allowOverlap="1">
                <wp:simplePos x="0" y="0"/>
                <wp:positionH relativeFrom="column">
                  <wp:posOffset>4283710</wp:posOffset>
                </wp:positionH>
                <wp:positionV relativeFrom="paragraph">
                  <wp:posOffset>103505</wp:posOffset>
                </wp:positionV>
                <wp:extent cx="0" cy="54483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4830"/>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3pt,8.15pt" to="337.3pt,51.05pt" o:allowincell="f" strokecolor="#FFFFFF" strokeweight="2.993pt"/>
            </w:pict>
          </mc:Fallback>
        </mc:AlternateConten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80" w:type="dxa"/>
            <w:vAlign w:val="bottom"/>
            <w:shd w:val="clear" w:color="auto" w:fill="CCCCCC"/>
          </w:tcPr>
          <w:p>
            <w:pPr>
              <w:spacing w:after="0"/>
              <w:rPr>
                <w:sz w:val="10"/>
                <w:szCs w:val="10"/>
                <w:color w:val="auto"/>
              </w:rPr>
            </w:pPr>
          </w:p>
        </w:tc>
        <w:tc>
          <w:tcPr>
            <w:tcW w:w="1620" w:type="dxa"/>
            <w:vAlign w:val="bottom"/>
            <w:shd w:val="clear" w:color="auto" w:fill="CCCCCC"/>
          </w:tcPr>
          <w:p>
            <w:pPr>
              <w:spacing w:after="0"/>
              <w:rPr>
                <w:sz w:val="10"/>
                <w:szCs w:val="10"/>
                <w:color w:val="auto"/>
              </w:rPr>
            </w:pPr>
          </w:p>
        </w:tc>
        <w:tc>
          <w:tcPr>
            <w:tcW w:w="1860" w:type="dxa"/>
            <w:vAlign w:val="bottom"/>
            <w:shd w:val="clear" w:color="auto" w:fill="CCCCCC"/>
          </w:tcPr>
          <w:p>
            <w:pPr>
              <w:spacing w:after="0"/>
              <w:rPr>
                <w:sz w:val="10"/>
                <w:szCs w:val="10"/>
                <w:color w:val="auto"/>
              </w:rPr>
            </w:pPr>
          </w:p>
        </w:tc>
        <w:tc>
          <w:tcPr>
            <w:tcW w:w="1400" w:type="dxa"/>
            <w:vAlign w:val="bottom"/>
            <w:shd w:val="clear" w:color="auto" w:fill="CCCCCC"/>
          </w:tcPr>
          <w:p>
            <w:pPr>
              <w:spacing w:after="0"/>
              <w:rPr>
                <w:sz w:val="10"/>
                <w:szCs w:val="10"/>
                <w:color w:val="auto"/>
              </w:rPr>
            </w:pPr>
          </w:p>
        </w:tc>
        <w:tc>
          <w:tcPr>
            <w:tcW w:w="1940" w:type="dxa"/>
            <w:vAlign w:val="bottom"/>
            <w:shd w:val="clear" w:color="auto" w:fill="CCCCCC"/>
          </w:tcPr>
          <w:p>
            <w:pPr>
              <w:spacing w:after="0"/>
              <w:rPr>
                <w:sz w:val="10"/>
                <w:szCs w:val="10"/>
                <w:color w:val="auto"/>
              </w:rPr>
            </w:pPr>
          </w:p>
        </w:tc>
        <w:tc>
          <w:tcPr>
            <w:tcW w:w="1460" w:type="dxa"/>
            <w:vAlign w:val="bottom"/>
            <w:shd w:val="clear" w:color="auto" w:fill="CCCCCC"/>
          </w:tcPr>
          <w:p>
            <w:pPr>
              <w:spacing w:after="0"/>
              <w:rPr>
                <w:sz w:val="10"/>
                <w:szCs w:val="10"/>
                <w:color w:val="auto"/>
              </w:rPr>
            </w:pPr>
          </w:p>
        </w:tc>
        <w:tc>
          <w:tcPr>
            <w:tcW w:w="960" w:type="dxa"/>
            <w:vAlign w:val="bottom"/>
            <w:shd w:val="clear" w:color="auto" w:fill="CCCCCC"/>
          </w:tcPr>
          <w:p>
            <w:pPr>
              <w:spacing w:after="0"/>
              <w:rPr>
                <w:sz w:val="10"/>
                <w:szCs w:val="10"/>
                <w:color w:val="auto"/>
              </w:rPr>
            </w:pPr>
          </w:p>
        </w:tc>
      </w:tr>
      <w:tr>
        <w:trPr>
          <w:trHeight w:val="259"/>
        </w:trPr>
        <w:tc>
          <w:tcPr>
            <w:tcW w:w="880" w:type="dxa"/>
            <w:vAlign w:val="bottom"/>
            <w:shd w:val="clear" w:color="auto" w:fill="CCCCCC"/>
          </w:tcPr>
          <w:p>
            <w:pPr>
              <w:spacing w:after="0"/>
              <w:rPr>
                <w:sz w:val="22"/>
                <w:szCs w:val="22"/>
                <w:color w:val="auto"/>
              </w:rPr>
            </w:pPr>
          </w:p>
        </w:tc>
        <w:tc>
          <w:tcPr>
            <w:tcW w:w="1620" w:type="dxa"/>
            <w:vAlign w:val="bottom"/>
            <w:shd w:val="clear" w:color="auto" w:fill="8F8F8F"/>
          </w:tcPr>
          <w:p>
            <w:pPr>
              <w:jc w:val="center"/>
              <w:spacing w:after="0"/>
              <w:rPr>
                <w:sz w:val="20"/>
                <w:szCs w:val="20"/>
                <w:color w:val="auto"/>
              </w:rPr>
            </w:pPr>
            <w:r>
              <w:rPr>
                <w:rFonts w:ascii="Arial" w:cs="Arial" w:eastAsia="Arial" w:hAnsi="Arial"/>
                <w:sz w:val="18"/>
                <w:szCs w:val="18"/>
                <w:b w:val="1"/>
                <w:bCs w:val="1"/>
                <w:color w:val="FFFFFF"/>
                <w:w w:val="93"/>
                <w:shd w:val="clear" w:color="auto" w:fill="8F8F8F"/>
              </w:rPr>
              <w:t>CHERYL L. COHEN</w:t>
            </w:r>
          </w:p>
        </w:tc>
        <w:tc>
          <w:tcPr>
            <w:tcW w:w="1860" w:type="dxa"/>
            <w:vAlign w:val="bottom"/>
            <w:shd w:val="clear" w:color="auto" w:fill="CCCCCC"/>
          </w:tcPr>
          <w:p>
            <w:pPr>
              <w:spacing w:after="0"/>
              <w:rPr>
                <w:sz w:val="22"/>
                <w:szCs w:val="22"/>
                <w:color w:val="auto"/>
              </w:rPr>
            </w:pPr>
          </w:p>
        </w:tc>
        <w:tc>
          <w:tcPr>
            <w:tcW w:w="140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8"/>
                <w:shd w:val="clear" w:color="auto" w:fill="8F8F8F"/>
              </w:rPr>
              <w:t>RITA JAIN, M.D.</w:t>
            </w:r>
          </w:p>
        </w:tc>
        <w:tc>
          <w:tcPr>
            <w:tcW w:w="1940" w:type="dxa"/>
            <w:vAlign w:val="bottom"/>
            <w:shd w:val="clear" w:color="auto" w:fill="CCCCCC"/>
          </w:tcPr>
          <w:p>
            <w:pPr>
              <w:spacing w:after="0"/>
              <w:rPr>
                <w:sz w:val="22"/>
                <w:szCs w:val="22"/>
                <w:color w:val="auto"/>
              </w:rPr>
            </w:pPr>
          </w:p>
        </w:tc>
        <w:tc>
          <w:tcPr>
            <w:tcW w:w="1460" w:type="dxa"/>
            <w:vAlign w:val="bottom"/>
            <w:shd w:val="clear" w:color="auto" w:fill="8F8F8F"/>
          </w:tcPr>
          <w:p>
            <w:pPr>
              <w:ind w:left="40"/>
              <w:spacing w:after="0"/>
              <w:rPr>
                <w:sz w:val="20"/>
                <w:szCs w:val="20"/>
                <w:color w:val="auto"/>
              </w:rPr>
            </w:pPr>
            <w:r>
              <w:rPr>
                <w:rFonts w:ascii="Arial" w:cs="Arial" w:eastAsia="Arial" w:hAnsi="Arial"/>
                <w:sz w:val="18"/>
                <w:szCs w:val="18"/>
                <w:b w:val="1"/>
                <w:bCs w:val="1"/>
                <w:color w:val="FFFFFF"/>
                <w:w w:val="94"/>
                <w:shd w:val="clear" w:color="auto" w:fill="8F8F8F"/>
              </w:rPr>
              <w:t>DENICE TORRES</w:t>
            </w:r>
          </w:p>
        </w:tc>
        <w:tc>
          <w:tcPr>
            <w:tcW w:w="960" w:type="dxa"/>
            <w:vAlign w:val="bottom"/>
            <w:shd w:val="clear" w:color="auto" w:fill="CCCCCC"/>
          </w:tcPr>
          <w:p>
            <w:pPr>
              <w:spacing w:after="0"/>
              <w:rPr>
                <w:sz w:val="22"/>
                <w:szCs w:val="22"/>
                <w:color w:val="auto"/>
              </w:rPr>
            </w:pPr>
          </w:p>
        </w:tc>
      </w:tr>
      <w:tr>
        <w:trPr>
          <w:trHeight w:val="351"/>
        </w:trPr>
        <w:tc>
          <w:tcPr>
            <w:tcW w:w="880" w:type="dxa"/>
            <w:vAlign w:val="bottom"/>
            <w:shd w:val="clear" w:color="auto" w:fill="CCCCCC"/>
          </w:tcPr>
          <w:p>
            <w:pPr>
              <w:spacing w:after="0"/>
              <w:rPr>
                <w:sz w:val="24"/>
                <w:szCs w:val="24"/>
                <w:color w:val="auto"/>
              </w:rPr>
            </w:pPr>
          </w:p>
        </w:tc>
        <w:tc>
          <w:tcPr>
            <w:tcW w:w="16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Chair</w:t>
            </w:r>
          </w:p>
        </w:tc>
        <w:tc>
          <w:tcPr>
            <w:tcW w:w="1860" w:type="dxa"/>
            <w:vAlign w:val="bottom"/>
            <w:shd w:val="clear" w:color="auto" w:fill="CCCCCC"/>
          </w:tcPr>
          <w:p>
            <w:pPr>
              <w:spacing w:after="0"/>
              <w:rPr>
                <w:sz w:val="24"/>
                <w:szCs w:val="24"/>
                <w:color w:val="auto"/>
              </w:rPr>
            </w:pPr>
          </w:p>
        </w:tc>
        <w:tc>
          <w:tcPr>
            <w:tcW w:w="1400" w:type="dxa"/>
            <w:vAlign w:val="bottom"/>
            <w:shd w:val="clear" w:color="auto" w:fill="CCCCCC"/>
          </w:tcPr>
          <w:p>
            <w:pPr>
              <w:spacing w:after="0"/>
              <w:rPr>
                <w:sz w:val="24"/>
                <w:szCs w:val="24"/>
                <w:color w:val="auto"/>
              </w:rPr>
            </w:pPr>
          </w:p>
        </w:tc>
        <w:tc>
          <w:tcPr>
            <w:tcW w:w="1940" w:type="dxa"/>
            <w:vAlign w:val="bottom"/>
            <w:shd w:val="clear" w:color="auto" w:fill="CCCCCC"/>
          </w:tcPr>
          <w:p>
            <w:pPr>
              <w:spacing w:after="0"/>
              <w:rPr>
                <w:sz w:val="24"/>
                <w:szCs w:val="24"/>
                <w:color w:val="auto"/>
              </w:rPr>
            </w:pPr>
          </w:p>
        </w:tc>
        <w:tc>
          <w:tcPr>
            <w:tcW w:w="1460" w:type="dxa"/>
            <w:vAlign w:val="bottom"/>
            <w:shd w:val="clear" w:color="auto" w:fill="CCCCCC"/>
          </w:tcPr>
          <w:p>
            <w:pPr>
              <w:spacing w:after="0"/>
              <w:rPr>
                <w:sz w:val="24"/>
                <w:szCs w:val="24"/>
                <w:color w:val="auto"/>
              </w:rPr>
            </w:pPr>
          </w:p>
        </w:tc>
        <w:tc>
          <w:tcPr>
            <w:tcW w:w="960" w:type="dxa"/>
            <w:vAlign w:val="bottom"/>
            <w:shd w:val="clear" w:color="auto" w:fill="CCCCCC"/>
          </w:tcPr>
          <w:p>
            <w:pPr>
              <w:spacing w:after="0"/>
              <w:rPr>
                <w:sz w:val="24"/>
                <w:szCs w:val="24"/>
                <w:color w:val="auto"/>
              </w:rPr>
            </w:pPr>
          </w:p>
        </w:tc>
      </w:tr>
      <w:tr>
        <w:trPr>
          <w:trHeight w:val="98"/>
        </w:trPr>
        <w:tc>
          <w:tcPr>
            <w:tcW w:w="880" w:type="dxa"/>
            <w:vAlign w:val="bottom"/>
            <w:shd w:val="clear" w:color="auto" w:fill="CCCCCC"/>
          </w:tcPr>
          <w:p>
            <w:pPr>
              <w:spacing w:after="0"/>
              <w:rPr>
                <w:sz w:val="8"/>
                <w:szCs w:val="8"/>
                <w:color w:val="auto"/>
              </w:rPr>
            </w:pPr>
          </w:p>
        </w:tc>
        <w:tc>
          <w:tcPr>
            <w:tcW w:w="1620" w:type="dxa"/>
            <w:vAlign w:val="bottom"/>
            <w:shd w:val="clear" w:color="auto" w:fill="CCCCCC"/>
          </w:tcPr>
          <w:p>
            <w:pPr>
              <w:spacing w:after="0"/>
              <w:rPr>
                <w:sz w:val="8"/>
                <w:szCs w:val="8"/>
                <w:color w:val="auto"/>
              </w:rPr>
            </w:pPr>
          </w:p>
        </w:tc>
        <w:tc>
          <w:tcPr>
            <w:tcW w:w="1860" w:type="dxa"/>
            <w:vAlign w:val="bottom"/>
            <w:shd w:val="clear" w:color="auto" w:fill="CCCCCC"/>
          </w:tcPr>
          <w:p>
            <w:pPr>
              <w:spacing w:after="0"/>
              <w:rPr>
                <w:sz w:val="8"/>
                <w:szCs w:val="8"/>
                <w:color w:val="auto"/>
              </w:rPr>
            </w:pPr>
          </w:p>
        </w:tc>
        <w:tc>
          <w:tcPr>
            <w:tcW w:w="1400" w:type="dxa"/>
            <w:vAlign w:val="bottom"/>
            <w:shd w:val="clear" w:color="auto" w:fill="CCCCCC"/>
          </w:tcPr>
          <w:p>
            <w:pPr>
              <w:spacing w:after="0"/>
              <w:rPr>
                <w:sz w:val="8"/>
                <w:szCs w:val="8"/>
                <w:color w:val="auto"/>
              </w:rPr>
            </w:pPr>
          </w:p>
        </w:tc>
        <w:tc>
          <w:tcPr>
            <w:tcW w:w="1940" w:type="dxa"/>
            <w:vAlign w:val="bottom"/>
            <w:shd w:val="clear" w:color="auto" w:fill="CCCCCC"/>
          </w:tcPr>
          <w:p>
            <w:pPr>
              <w:spacing w:after="0"/>
              <w:rPr>
                <w:sz w:val="8"/>
                <w:szCs w:val="8"/>
                <w:color w:val="auto"/>
              </w:rPr>
            </w:pPr>
          </w:p>
        </w:tc>
        <w:tc>
          <w:tcPr>
            <w:tcW w:w="1460" w:type="dxa"/>
            <w:vAlign w:val="bottom"/>
            <w:shd w:val="clear" w:color="auto" w:fill="CCCCCC"/>
          </w:tcPr>
          <w:p>
            <w:pPr>
              <w:spacing w:after="0"/>
              <w:rPr>
                <w:sz w:val="8"/>
                <w:szCs w:val="8"/>
                <w:color w:val="auto"/>
              </w:rPr>
            </w:pPr>
          </w:p>
        </w:tc>
        <w:tc>
          <w:tcPr>
            <w:tcW w:w="960" w:type="dxa"/>
            <w:vAlign w:val="bottom"/>
            <w:shd w:val="clear" w:color="auto" w:fill="CCCCCC"/>
          </w:tcPr>
          <w:p>
            <w:pPr>
              <w:spacing w:after="0"/>
              <w:rPr>
                <w:sz w:val="8"/>
                <w:szCs w:val="8"/>
                <w:color w:val="auto"/>
              </w:rPr>
            </w:pPr>
          </w:p>
        </w:tc>
      </w:tr>
    </w:tbl>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 xml:space="preserve">MEETINGS IN 2025: </w:t>
      </w:r>
      <w:r>
        <w:rPr>
          <w:rFonts w:ascii="Arial" w:cs="Arial" w:eastAsia="Arial" w:hAnsi="Arial"/>
          <w:sz w:val="18"/>
          <w:szCs w:val="18"/>
          <w:b w:val="1"/>
          <w:bCs w:val="1"/>
          <w:color w:val="FFFFFF"/>
        </w:rPr>
        <w:t>5</w:t>
      </w:r>
    </w:p>
    <w:p>
      <w:pPr>
        <w:spacing w:after="0" w:line="150" w:lineRule="exact"/>
        <w:rPr>
          <w:sz w:val="20"/>
          <w:szCs w:val="20"/>
          <w:color w:val="auto"/>
        </w:rPr>
      </w:pPr>
    </w:p>
    <w:p>
      <w:pPr>
        <w:ind w:left="260" w:right="640" w:hanging="159"/>
        <w:spacing w:after="0" w:line="294" w:lineRule="auto"/>
        <w:tabs>
          <w:tab w:leader="none" w:pos="260" w:val="left"/>
        </w:tabs>
        <w:numPr>
          <w:ilvl w:val="0"/>
          <w:numId w:val="13"/>
        </w:numPr>
        <w:rPr>
          <w:rFonts w:ascii="Arial" w:cs="Arial" w:eastAsia="Arial" w:hAnsi="Arial"/>
          <w:sz w:val="18"/>
          <w:szCs w:val="18"/>
          <w:color w:val="202020"/>
        </w:rPr>
      </w:pPr>
      <w:r>
        <w:rPr>
          <w:rFonts w:ascii="Arial" w:cs="Arial" w:eastAsia="Arial" w:hAnsi="Arial"/>
          <w:sz w:val="18"/>
          <w:szCs w:val="18"/>
          <w:color w:val="202020"/>
        </w:rPr>
        <w:t>To assist the Board in the general oversight of the significant scientific and regulatory aspects of the Company’s businesses.</w:t>
      </w:r>
    </w:p>
    <w:p>
      <w:pPr>
        <w:spacing w:after="0" w:line="47" w:lineRule="exact"/>
        <w:rPr>
          <w:rFonts w:ascii="Arial" w:cs="Arial" w:eastAsia="Arial" w:hAnsi="Arial"/>
          <w:sz w:val="18"/>
          <w:szCs w:val="18"/>
          <w:color w:val="202020"/>
        </w:rPr>
      </w:pPr>
    </w:p>
    <w:p>
      <w:pPr>
        <w:ind w:left="260" w:right="340" w:hanging="159"/>
        <w:spacing w:after="0" w:line="294" w:lineRule="auto"/>
        <w:tabs>
          <w:tab w:leader="none" w:pos="260" w:val="left"/>
        </w:tabs>
        <w:numPr>
          <w:ilvl w:val="0"/>
          <w:numId w:val="13"/>
        </w:numPr>
        <w:rPr>
          <w:rFonts w:ascii="Arial" w:cs="Arial" w:eastAsia="Arial" w:hAnsi="Arial"/>
          <w:sz w:val="18"/>
          <w:szCs w:val="18"/>
          <w:color w:val="202020"/>
        </w:rPr>
      </w:pPr>
      <w:r>
        <w:rPr>
          <w:rFonts w:ascii="Arial" w:cs="Arial" w:eastAsia="Arial" w:hAnsi="Arial"/>
          <w:sz w:val="18"/>
          <w:szCs w:val="18"/>
          <w:color w:val="202020"/>
        </w:rPr>
        <w:t>To assist the Board in the general oversight of and serve as a resource to management for the advancement of the Company’s commercial strategy.</w:t>
      </w:r>
    </w:p>
    <w:p>
      <w:pPr>
        <w:spacing w:after="0" w:line="88"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202020"/>
        </w:rPr>
        <w:t>In April 2026, the Board changed the name of the Science and Regulatory Committee to the Science and Commercialization Committee to reflect that the Committee also provides oversight of the Company’s commercial launch plans.</w:t>
      </w: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202020"/>
        </w:rPr>
        <w:t>Each member of the Science and Commercialization Committee is “independent” as that term is defined in the rules of the SEC and the applicable NASDAQ listing standards. The Science and Commercialization Committee met five times during 2025. Our Board has adopted a Science and Commercialization Committee Charter, which is available for viewing at www.celldex.com.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72390</wp:posOffset>
                </wp:positionV>
                <wp:extent cx="642429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63360">
                          <a:solidFill>
                            <a:srgbClr val="8F8F8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7pt" to="505.9pt,5.7pt" o:allowincell="f" strokecolor="#8F8F8F" strokeweight="4.989pt"/>
            </w:pict>
          </mc:Fallback>
        </mc:AlternateConten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Director Selection Criteria</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202020"/>
        </w:rPr>
        <w:t>The Nominating and Corporate Governance Committee is responsible for reviewing, on an annual basis, the appropriate mix of professional competencies, key attributes, skills and experiences required of board members to work together as a team to properly oversee our strategies and operations. The process followed by the Nominating and Corporate Governance Committee to evaluate any candidates, whether identified or recommended by board members, management, members of the Nominating and Corporate Governance Committee, stockholders or other external sources, includes meeting from time to time to evaluate biographical information and background material relating to potential candidates to the Board and interviews of selected candidates by members of the Committee and the Board. All nominees must have, at a minimum, high personal and professional integrity, exceptional ability and judgment, and effectiveness in collectively serving the long-term interests of all stockholders, all as described above. Other qualifications that may be considered are described in the Nominating and Corporate Governance Committee Charter. Our Nominating and Corporate Governance Committee and our Board value diversity and, as such, also consider diversity of gender, race, sexual orientation, national origin, education, professional experience and differences in viewpoints and skills when selecting members of our Board, however we have no formal policy regarding diversity of our Board of Directors.</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02020"/>
        </w:rPr>
        <w:t>All board members are expected to possess certain key attributes necessary to creating a functional board: high personal and professional ethics, integrity and values; practical wisdom and mature judgment; diversity of perspective, an inquisitive and objective perspective; professional experience at a policy-making level in business, government, education or medicine; time availability for in-person participation at board and committee meetings; and a commitment to representing the long-term interests of our stockholders. We look for directors with professional competencies that</w:t>
      </w:r>
    </w:p>
    <w:p>
      <w:pPr>
        <w:spacing w:after="0" w:line="17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16 |</w:t>
        <w:tab/>
        <w:t>Celldex Therapeutics</w:t>
      </w:r>
    </w:p>
    <w:p>
      <w:pPr>
        <w:sectPr>
          <w:pgSz w:w="11880" w:h="15480" w:orient="portrait"/>
          <w:cols w:equalWidth="0" w:num="1">
            <w:col w:w="10140"/>
          </w:cols>
          <w:pgMar w:left="880" w:top="544" w:right="860" w:bottom="96" w:gutter="0" w:footer="0" w:header="0"/>
        </w:sectPr>
      </w:pPr>
    </w:p>
    <w:bookmarkStart w:id="20" w:name="page21"/>
    <w:bookmarkEnd w:id="20"/>
    <w:p>
      <w:pPr>
        <w:ind w:left="4720"/>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21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202020"/>
        </w:rPr>
        <w:t>include senior management operational experience, accounting and finance capabilities, deep industry-related experience, biologic development and manufacturing expertise, business development leadership, medical and scientific proficiencies, and government and public policy experience.</w:t>
      </w:r>
    </w:p>
    <w:p>
      <w:pPr>
        <w:spacing w:after="0" w:line="107"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202020"/>
        </w:rPr>
        <w:t>Independence is also an important selection criterion for nomination to our Board. Independent directors should be free of any relationship with us, our management, other directors or other parties that may impair, or appear to impair, the director’s ability to make independent judgments. Independent directors must satisfy the criteria for independence established by NASDAQ. Currently all of our directors are independent except for our Chief Executive Officer, Mr. Marucci. There are no family relationships among our Director Nominees, management and other key personnel.</w:t>
      </w:r>
    </w:p>
    <w:p>
      <w:pPr>
        <w:spacing w:after="0" w:line="114" w:lineRule="exact"/>
        <w:rPr>
          <w:sz w:val="20"/>
          <w:szCs w:val="20"/>
          <w:color w:val="auto"/>
        </w:rPr>
      </w:pPr>
    </w:p>
    <w:p>
      <w:pPr>
        <w:ind w:right="180"/>
        <w:spacing w:after="0" w:line="297" w:lineRule="auto"/>
        <w:rPr>
          <w:sz w:val="20"/>
          <w:szCs w:val="20"/>
          <w:color w:val="auto"/>
        </w:rPr>
      </w:pPr>
      <w:r>
        <w:rPr>
          <w:rFonts w:ascii="Arial" w:cs="Arial" w:eastAsia="Arial" w:hAnsi="Arial"/>
          <w:sz w:val="18"/>
          <w:szCs w:val="18"/>
          <w:color w:val="202020"/>
        </w:rPr>
        <w:t>Finally, candidates should be enthusiastic and excited about their service on our Board and working collaboratively with existing board members to create value for all of our stockholders.</w:t>
      </w:r>
    </w:p>
    <w:p>
      <w:pPr>
        <w:spacing w:after="0" w:line="86" w:lineRule="exact"/>
        <w:rPr>
          <w:sz w:val="20"/>
          <w:szCs w:val="20"/>
          <w:color w:val="auto"/>
        </w:rPr>
      </w:pPr>
    </w:p>
    <w:p>
      <w:pPr>
        <w:jc w:val="both"/>
        <w:ind w:right="300"/>
        <w:spacing w:after="0" w:line="275" w:lineRule="auto"/>
        <w:rPr>
          <w:sz w:val="20"/>
          <w:szCs w:val="20"/>
          <w:color w:val="auto"/>
        </w:rPr>
      </w:pPr>
      <w:r>
        <w:rPr>
          <w:rFonts w:ascii="Arial" w:cs="Arial" w:eastAsia="Arial" w:hAnsi="Arial"/>
          <w:sz w:val="18"/>
          <w:szCs w:val="18"/>
          <w:color w:val="202020"/>
        </w:rPr>
        <w:t>The Nominating and Corporate Governance Committee believes that the nine director nominees collectively have the skills, experience, diversity and character to execute the Board’s responsibilities. The following is a summary of those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113665</wp:posOffset>
            </wp:positionV>
            <wp:extent cx="6424930" cy="3857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0">
                      <a:extLst>
                        <a:ext uri="{28A0092B-C50C-407E-A947-70E740481C1C}"/>
                      </a:extLst>
                    </a:blip>
                    <a:srcRect/>
                    <a:stretch>
                      <a:fillRect/>
                    </a:stretch>
                  </pic:blipFill>
                  <pic:spPr bwMode="auto">
                    <a:xfrm>
                      <a:off x="0" y="0"/>
                      <a:ext cx="6424930" cy="3857625"/>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71"/>
        </w:trPr>
        <w:tc>
          <w:tcPr>
            <w:tcW w:w="1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320" w:type="dxa"/>
            <w:vAlign w:val="bottom"/>
            <w:gridSpan w:val="4"/>
          </w:tcPr>
          <w:p>
            <w:pPr>
              <w:ind w:left="380"/>
              <w:spacing w:after="0"/>
              <w:rPr>
                <w:sz w:val="20"/>
                <w:szCs w:val="20"/>
                <w:color w:val="auto"/>
              </w:rPr>
            </w:pPr>
            <w:r>
              <w:rPr>
                <w:rFonts w:ascii="Arial" w:cs="Arial" w:eastAsia="Arial" w:hAnsi="Arial"/>
                <w:sz w:val="20"/>
                <w:szCs w:val="20"/>
                <w:b w:val="1"/>
                <w:bCs w:val="1"/>
                <w:color w:val="FFFFFF"/>
                <w:w w:val="99"/>
              </w:rPr>
              <w:t>ATTRIBUTES, EXPERIENCE AND SKILLS</w:t>
            </w: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833"/>
        </w:trPr>
        <w:tc>
          <w:tcPr>
            <w:tcW w:w="1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202020"/>
              </w:rPr>
              <w:t>Scientific</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02020"/>
                <w:w w:val="98"/>
              </w:rPr>
              <w:t>Business</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202020"/>
                <w:w w:val="99"/>
              </w:rPr>
              <w:t>Public</w:t>
            </w:r>
          </w:p>
        </w:tc>
      </w:tr>
      <w:tr>
        <w:trPr>
          <w:trHeight w:val="179"/>
        </w:trPr>
        <w:tc>
          <w:tcPr>
            <w:tcW w:w="1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Executive/</w:t>
            </w:r>
          </w:p>
        </w:tc>
        <w:tc>
          <w:tcPr>
            <w:tcW w:w="12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Research/Drug</w:t>
            </w:r>
          </w:p>
        </w:tc>
        <w:tc>
          <w:tcPr>
            <w:tcW w:w="100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Strategy/</w:t>
            </w: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Mergers &amp;</w:t>
            </w:r>
          </w:p>
        </w:tc>
        <w:tc>
          <w:tcPr>
            <w:tcW w:w="9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Company</w:t>
            </w:r>
          </w:p>
        </w:tc>
      </w:tr>
      <w:tr>
        <w:trPr>
          <w:trHeight w:val="179"/>
        </w:trPr>
        <w:tc>
          <w:tcPr>
            <w:tcW w:w="1580" w:type="dxa"/>
            <w:vAlign w:val="bottom"/>
          </w:tcPr>
          <w:p>
            <w:pPr>
              <w:spacing w:after="0"/>
              <w:rPr>
                <w:sz w:val="15"/>
                <w:szCs w:val="15"/>
                <w:color w:val="auto"/>
              </w:rPr>
            </w:pPr>
          </w:p>
        </w:tc>
        <w:tc>
          <w:tcPr>
            <w:tcW w:w="9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Industry</w:t>
            </w:r>
          </w:p>
        </w:tc>
        <w:tc>
          <w:tcPr>
            <w:tcW w:w="100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Leadership</w:t>
            </w:r>
          </w:p>
        </w:tc>
        <w:tc>
          <w:tcPr>
            <w:tcW w:w="12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Development</w:t>
            </w:r>
          </w:p>
        </w:tc>
        <w:tc>
          <w:tcPr>
            <w:tcW w:w="100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Operations</w:t>
            </w:r>
          </w:p>
        </w:tc>
        <w:tc>
          <w:tcPr>
            <w:tcW w:w="9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Financial</w:t>
            </w:r>
          </w:p>
        </w:tc>
        <w:tc>
          <w:tcPr>
            <w:tcW w:w="106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Commercial</w:t>
            </w:r>
          </w:p>
        </w:tc>
        <w:tc>
          <w:tcPr>
            <w:tcW w:w="10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w w:val="99"/>
              </w:rPr>
              <w:t>Acquisitions</w:t>
            </w:r>
          </w:p>
        </w:tc>
        <w:tc>
          <w:tcPr>
            <w:tcW w:w="9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Board</w:t>
            </w:r>
          </w:p>
        </w:tc>
      </w:tr>
      <w:tr>
        <w:trPr>
          <w:trHeight w:val="217"/>
        </w:trPr>
        <w:tc>
          <w:tcPr>
            <w:tcW w:w="1580" w:type="dxa"/>
            <w:vAlign w:val="bottom"/>
          </w:tcPr>
          <w:p>
            <w:pPr>
              <w:spacing w:after="0"/>
              <w:rPr>
                <w:sz w:val="20"/>
                <w:szCs w:val="20"/>
                <w:color w:val="auto"/>
              </w:rPr>
            </w:pPr>
            <w:r>
              <w:rPr>
                <w:rFonts w:ascii="Arial" w:cs="Arial" w:eastAsia="Arial" w:hAnsi="Arial"/>
                <w:sz w:val="16"/>
                <w:szCs w:val="16"/>
                <w:b w:val="1"/>
                <w:bCs w:val="1"/>
                <w:color w:val="202020"/>
              </w:rPr>
              <w:t>DIRECTORS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02020"/>
              </w:rPr>
              <w:t>Experience</w:t>
            </w:r>
          </w:p>
        </w:tc>
      </w:tr>
      <w:tr>
        <w:trPr>
          <w:trHeight w:val="448"/>
        </w:trPr>
        <w:tc>
          <w:tcPr>
            <w:tcW w:w="1580" w:type="dxa"/>
            <w:vAlign w:val="bottom"/>
          </w:tcPr>
          <w:p>
            <w:pPr>
              <w:spacing w:after="0"/>
              <w:rPr>
                <w:sz w:val="20"/>
                <w:szCs w:val="20"/>
                <w:color w:val="auto"/>
              </w:rPr>
            </w:pPr>
            <w:r>
              <w:rPr>
                <w:rFonts w:ascii="Arial" w:cs="Arial" w:eastAsia="Arial" w:hAnsi="Arial"/>
                <w:sz w:val="16"/>
                <w:szCs w:val="16"/>
                <w:b w:val="1"/>
                <w:bCs w:val="1"/>
                <w:color w:val="202020"/>
              </w:rPr>
              <w:t>Anthony S. Marucci</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Keith L. Brownlie</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Cheryl L. Cohen</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Herbert J. Conrad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Rita I. Jain, M.D.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James J. Marino</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Garry A. Neil, M.D.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1580" w:type="dxa"/>
            <w:vAlign w:val="bottom"/>
          </w:tcPr>
          <w:p>
            <w:pPr>
              <w:spacing w:after="0"/>
              <w:rPr>
                <w:sz w:val="20"/>
                <w:szCs w:val="20"/>
                <w:color w:val="auto"/>
              </w:rPr>
            </w:pPr>
            <w:r>
              <w:rPr>
                <w:rFonts w:ascii="Arial" w:cs="Arial" w:eastAsia="Arial" w:hAnsi="Arial"/>
                <w:sz w:val="16"/>
                <w:szCs w:val="16"/>
                <w:b w:val="1"/>
                <w:bCs w:val="1"/>
                <w:color w:val="202020"/>
              </w:rPr>
              <w:t>Harry H. Penner, Jr.</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8"/>
        </w:trPr>
        <w:tc>
          <w:tcPr>
            <w:tcW w:w="1580" w:type="dxa"/>
            <w:vAlign w:val="bottom"/>
          </w:tcPr>
          <w:p>
            <w:pPr>
              <w:spacing w:after="0"/>
              <w:rPr>
                <w:sz w:val="20"/>
                <w:szCs w:val="20"/>
                <w:color w:val="auto"/>
              </w:rPr>
            </w:pPr>
            <w:r>
              <w:rPr>
                <w:rFonts w:ascii="Arial" w:cs="Arial" w:eastAsia="Arial" w:hAnsi="Arial"/>
                <w:sz w:val="16"/>
                <w:szCs w:val="16"/>
                <w:b w:val="1"/>
                <w:bCs w:val="1"/>
                <w:color w:val="202020"/>
              </w:rPr>
              <w:t>Denice Torres</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02020"/>
        </w:rPr>
        <w:t>Over the past few years, our Nominating and Corporate Governance Committee implemented a process to expand our Board’s scientific and commercial experience and focused on candidates with significant commensurate experience. This process resulted in the addition of highly qualified candidates to the Board. Our Nominating and Corporate Governance Committee’s and our Board’s priority in selecting Board members is the identification of persons who will provide a composite mix of experience, knowledge and abilities that will allow our Board to promote our strategic objectives and fulfill its responsibilities to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Stockholder Nominations for Directorships</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8"/>
          <w:szCs w:val="18"/>
          <w:color w:val="202020"/>
        </w:rPr>
        <w:t>Under our by-laws, stockholders wishing to suggest a candidate for director should write to the Secretary of Celldex at Perryville III Building, 53 Frontage Road, Suite 220, Hampton, NJ 08827. In order to give the Nominating and Corporate Governance Committee sufficient time to evaluate a recommended candidate and/or include the candidate in our proxy statement for the 2027 Annual Meeting, the recommendation should be received by our corporate secretary at our principal executive offices in accordance with our procedures detailed in the section below entitled “Submitting Proxy Proposals and Director Nominations for the 2027 Annual Meeting.” Such submissions must state the nominee’s name, together with appropriate biographical information and background materials, and information with respect to the stockholder or group of stockholders making the recommendation, including the number of shares of common stock owned by such</w:t>
      </w:r>
    </w:p>
    <w:p>
      <w:pPr>
        <w:spacing w:after="0" w:line="184"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17</w:t>
      </w:r>
    </w:p>
    <w:p>
      <w:pPr>
        <w:sectPr>
          <w:pgSz w:w="11880" w:h="15480" w:orient="portrait"/>
          <w:cols w:equalWidth="0" w:num="1">
            <w:col w:w="10140"/>
          </w:cols>
          <w:pgMar w:left="880" w:top="544" w:right="860" w:bottom="96" w:gutter="0" w:footer="0" w:header="0"/>
        </w:sectPr>
      </w:pPr>
    </w:p>
    <w:bookmarkStart w:id="21" w:name="page22"/>
    <w:bookmarkEnd w:id="21"/>
    <w:p>
      <w:pPr>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214"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color w:val="202020"/>
        </w:rPr>
        <w:t>stockholder or group of stockholders, as well as other information required by our by-laws (including our proxy access bylaw). We may require any proposed nominee to furnish such other information as we may reasonably require to determine the eligibility of such proposed nominee to serve as an independent director or that could be material to a reasonable stockholder’s understanding of the independence, or lack thereof, of such proposed nominee.</w:t>
      </w:r>
    </w:p>
    <w:p>
      <w:pPr>
        <w:spacing w:after="0" w:line="11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02020"/>
        </w:rPr>
        <w:t>Assuming that appropriate information is provided for candidates recommended by stockholders, the Nominating and Corporate Governance Committee will evaluate those candidates by following substantially the same process, and applying substantially the same criteria, as for candidates submitted by Board members or other persons, as described above and as set forth in its written charter.</w:t>
      </w:r>
    </w:p>
    <w:p>
      <w:pPr>
        <w:spacing w:after="0" w:line="11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202020"/>
        </w:rPr>
        <w:t>In addition, under our proxy access by-law, a stockholder (or a group of stockholders) who has owned at least 3% of the Company’s outstanding common stock continuously for at least three (3) years and has complied with the other requirements of our by-laws may nominate up to the greater of two (2) individuals or 20% of the Board for inclusion in our proxy materials for election.</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Stockholder Communications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02020"/>
        </w:rPr>
        <w:t>The Board of Directors will give appropriate attention to written communications that are submitted by stockholders, and will respond if and as appropriate. Absent unusual circumstances or as contemplated by committee charters, and subject to advice from legal counsel, the Secretary of Celldex is primarily responsible for monitoring communications from stockholders and for providing copies or summaries of such communications to the Board of Directors as he considers appropriate.</w:t>
      </w:r>
    </w:p>
    <w:p>
      <w:pPr>
        <w:spacing w:after="0" w:line="33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02020"/>
        </w:rPr>
        <w:t>Communications from stockholders will be forwarded to all directors if they relate to important substantive matters or if they include suggestions or comments that the Secretary considers to be important for the Board of Directors to know. Communication relating to corporate governance and corporate strategy are more likely to be forwarded to the Board of Directors than communications regarding personal grievances, ordinary business matters and matters as to which Celldex tends to receive repetitive or duplicative communications.</w:t>
      </w:r>
    </w:p>
    <w:p>
      <w:pPr>
        <w:spacing w:after="0" w:line="116"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202020"/>
        </w:rPr>
        <w:t>Stockholders who wish to send communications to the Board of Directors should address such communications to: The Board of Directors, Celldex Therapeutics, Inc., Perryville III Building, 53 Frontage Road, Suite 220, Hampton, NJ 08827, Attention: Secretary.</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Code of Business Conduct and Ethics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02020"/>
        </w:rPr>
        <w:t>We have adopted a Code of Business Conduct and Ethics, as amended, that applies to our directors, officers and employees. The purpose of the Code of Business Conduct and Ethics is to promote, among other things, honest and ethical conduct and to ensure to the extent possible that our business is conducted in a consistently legal and ethical manner. Our Code of Business Conduct and Ethics includes standards of conduct including compliance with laws, antitrust, anti-corruption, gifts, lobbying, environmental compliance and conflicts of interest. Our Code of Business Conduct and Ethics is publicly available on our website at www.celldex.com. If we make any substantive amendments to the Code of Business Conduct and Ethics or grant any waiver, including any implicit waiver from a provision of the Code of Business Conduct and Ethics to our Directors or Executive Officers, we will disclose the nature of such amendments or waiver on our website or in a current report on Form 8-K. On March 14, 2023, our Board of Directors amended our Code of Business Conduct and Ethics which we included on our website.</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8"/>
          <w:szCs w:val="18"/>
          <w:color w:val="202020"/>
        </w:rPr>
        <w:t>Additionally, all Board members are expected to act in our best interests and the best interests of our stockholders and to avoid any conflicts of interest in accordance with our Code of Business Conduct and Ethics. In selecting director nominees, the Nominating and Corporate Governance Committee seeks individuals who are free from conflicts of interest.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Corporate Governance Matters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02020"/>
        </w:rPr>
        <w:t>We have adopted a majority voting standard for uncontested elections of directors and eliminated the mandatory retirement age for directors. Since it is an uncontested election at this Annual Meeting, all director nominees are required to receive a number of “FOR” votes representing at least a majority of votes cast in the election. If such a director nominee fails to receive “FOR” votes representing at least a majority of votes cast and is an incumbent director, the by-laws require the director to promptly tender his or her resignation to the Board, subject to acceptance by the Board. The Nominating and Corporate Governance Committee of the Board would then be charged with making a recommendation to the Board as to whether to accept or reject the tendered resignation, or whether other action should be taken. In contested elections, where the number of nominees exceeds the number of directors to be elected, the plurality voting standard would continue to apply.</w:t>
      </w:r>
    </w:p>
    <w:p>
      <w:pPr>
        <w:spacing w:after="0" w:line="340"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202020"/>
        </w:rPr>
        <w:t>In addition, upon the recommendation of our Nominating and Corporate Governance Committee, we adopted corporate governance guidelines which are available for viewing at www.celldex.com.</w:t>
      </w:r>
    </w:p>
    <w:p>
      <w:pPr>
        <w:spacing w:after="0" w:line="15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18 |</w:t>
        <w:tab/>
        <w:t>Celldex Therapeutics</w:t>
      </w:r>
    </w:p>
    <w:p>
      <w:pPr>
        <w:sectPr>
          <w:pgSz w:w="11880" w:h="15480" w:orient="portrait"/>
          <w:cols w:equalWidth="0" w:num="1">
            <w:col w:w="10140"/>
          </w:cols>
          <w:pgMar w:left="880" w:top="544" w:right="860" w:bottom="96" w:gutter="0" w:footer="0" w:header="0"/>
        </w:sectPr>
      </w:pPr>
    </w:p>
    <w:bookmarkStart w:id="22" w:name="page23"/>
    <w:bookmarkEnd w:id="22"/>
    <w:p>
      <w:pPr>
        <w:ind w:left="4720"/>
        <w:spacing w:after="0"/>
        <w:rPr>
          <w:sz w:val="20"/>
          <w:szCs w:val="20"/>
          <w:color w:val="auto"/>
        </w:rPr>
      </w:pPr>
      <w:r>
        <w:rPr>
          <w:rFonts w:ascii="Arial" w:cs="Arial" w:eastAsia="Arial" w:hAnsi="Arial"/>
          <w:sz w:val="16"/>
          <w:szCs w:val="16"/>
          <w:color w:val="202020"/>
        </w:rPr>
        <w:t>Information Regarding the Board of Directors and Corporate Governance</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Compliance Program</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8"/>
          <w:szCs w:val="18"/>
          <w:color w:val="202020"/>
        </w:rPr>
        <w:t>Our Chief Financial Officer services as Compliance Officer under our Code of Business Conduct and Ethics, which governs ethical and legal decision-making in conducting our business and day to day operations. In addition, our General Counsel serves as Health Care Compliance Officer, who along with a Compliance Committee has oversight and responsibility for the Celldex Healthcare Compliance Program, which governs the Company’s compliance with health care laws and regulations, including privacy. Our Compliance Program is designed to promote ethical business conduct and compliance with applicable laws and regulations. Key components of our compliance program include policies and procedures, compliance training and educational opportunities as appropriate, maintaining avenues for staff to raise concerns without fear of retaliation, including anonymously through a business conduct hotline, and responding appropriately to compliance-related events.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Stock Ownership Guidelines</w:t>
      </w:r>
    </w:p>
    <w:p>
      <w:pPr>
        <w:spacing w:after="0" w:line="180"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color w:val="202020"/>
        </w:rPr>
        <w:t>Our Stock Ownership Guidelines for our directors and executive officers further align their financial interests with those of our stockholders, as well as promote sound corporate governance. For a detailed description of our Stock Ownership Guidelines see “Stock Ownership Policy — Employees” and “Stock Ownership Policy — Non-Employee Directors” below.</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Insider Trading Policy (including Anti-Hedging and Anti-Pledging)</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202020"/>
        </w:rPr>
        <w:t>We have adopted an Insider Trading Policy that governs the purchase, sale and/or other dispositions of our securities that apply to all Company personnel, including directors, officers and employees, that we believe is reasonably designed to promote compliance with insider trading laws, rules and regulations and the exchange listing standards applicable to us. Additionally, our Insider Trading Policy prohibits all employees (including Executive Officers) and directors from engaging in short sales, transactions in put or call options, hedging transactions or similar inherently speculative transactions with respect to our stock at any time. For a detailed description of our Insider Trading Policy see www.celldex.com or refer to Exhibit 19.1 to our Annual Report on Form 10-K for the fiscal year ended December 31, 2025 filed with the SEC on February 25, 2026.</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19</w:t>
      </w:r>
    </w:p>
    <w:p>
      <w:pPr>
        <w:sectPr>
          <w:pgSz w:w="11880" w:h="15480" w:orient="portrait"/>
          <w:cols w:equalWidth="0" w:num="1">
            <w:col w:w="10120"/>
          </w:cols>
          <w:pgMar w:left="880" w:top="544" w:right="880" w:bottom="96"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202020"/>
        </w:rPr>
        <w:t>Sustainability &amp; Corporate Responsibility</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Sustainability &amp; Corporate Responsibility</w:t>
      </w:r>
    </w:p>
    <w:p>
      <w:pPr>
        <w:spacing w:after="0" w:line="2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02020"/>
        </w:rPr>
        <w:t>The Board of Directors is committed to building a safe, environmentally sustainable, and ethical business that provides long-term value for all Celldex stakeholders. As part of this commitment, we support initiatives aligned to our mission, culture, and core values, including responsible environmental stewardship, community engagement, and strong corporate governance. These values provide the foundation for us to demonstrate our dedication to patients, employees, our environment, and local communities. Our Board oversees the sustainability and corporate responsibility initiatives relevant to our company and the associated risks.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Environmental</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8"/>
          <w:szCs w:val="18"/>
          <w:color w:val="202020"/>
        </w:rPr>
        <w:t>We view resource efficiency and responsible operations as core to maintaining a safe and compliant lab environment. We are committed to operating our facilities in an environmentally responsible way to reduce environmental impacts and protect our people, our business, the environment and the communities where we operate. In light of the potential impact our business may have on the environment, we have adopted a number of initiatives designed to eliminate, reduce, or substitute hazardous materials and waste and reduce water and energy consumption. Examples of these initiatives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118745</wp:posOffset>
                </wp:positionV>
                <wp:extent cx="3497580" cy="22161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7580" cy="221615"/>
                        </a:xfrm>
                        <a:prstGeom prst="rect">
                          <a:avLst/>
                        </a:prstGeom>
                        <a:solidFill>
                          <a:srgbClr val="8F8F8F"/>
                        </a:solidFill>
                      </wps:spPr>
                      <wps:bodyPr/>
                    </wps:wsp>
                  </a:graphicData>
                </a:graphic>
              </wp:anchor>
            </w:drawing>
          </mc:Choice>
          <mc:Fallback>
            <w:pict>
              <v:rect id="Shape 87" o:spid="_x0000_s1112" style="position:absolute;margin-left:0.05pt;margin-top:9.35pt;width:275.4pt;height:1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mc:AlternateContent>
          <mc:Choice Requires="wps">
            <w:drawing>
              <wp:anchor simplePos="0" relativeHeight="251657728" behindDoc="1" locked="0" layoutInCell="0" allowOverlap="1">
                <wp:simplePos x="0" y="0"/>
                <wp:positionH relativeFrom="column">
                  <wp:posOffset>3599815</wp:posOffset>
                </wp:positionH>
                <wp:positionV relativeFrom="paragraph">
                  <wp:posOffset>118745</wp:posOffset>
                </wp:positionV>
                <wp:extent cx="2825750" cy="22161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221615"/>
                        </a:xfrm>
                        <a:prstGeom prst="rect">
                          <a:avLst/>
                        </a:prstGeom>
                        <a:solidFill>
                          <a:srgbClr val="8F8F8F"/>
                        </a:solidFill>
                      </wps:spPr>
                      <wps:bodyPr/>
                    </wps:wsp>
                  </a:graphicData>
                </a:graphic>
              </wp:anchor>
            </w:drawing>
          </mc:Choice>
          <mc:Fallback>
            <w:pict>
              <v:rect id="Shape 88" o:spid="_x0000_s1113" style="position:absolute;margin-left:283.45pt;margin-top:9.35pt;width:222.5pt;height:1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w:r>
    </w:p>
    <w:p>
      <w:pPr>
        <w:spacing w:after="0" w:line="214" w:lineRule="exact"/>
        <w:rPr>
          <w:sz w:val="20"/>
          <w:szCs w:val="20"/>
          <w:color w:val="auto"/>
        </w:rPr>
      </w:pPr>
    </w:p>
    <w:p>
      <w:pPr>
        <w:ind w:left="1980"/>
        <w:spacing w:after="0"/>
        <w:tabs>
          <w:tab w:leader="none" w:pos="7220" w:val="left"/>
        </w:tabs>
        <w:rPr>
          <w:sz w:val="20"/>
          <w:szCs w:val="20"/>
          <w:color w:val="auto"/>
        </w:rPr>
      </w:pPr>
      <w:r>
        <w:rPr>
          <w:rFonts w:ascii="Arial" w:cs="Arial" w:eastAsia="Arial" w:hAnsi="Arial"/>
          <w:sz w:val="18"/>
          <w:szCs w:val="18"/>
          <w:b w:val="1"/>
          <w:bCs w:val="1"/>
          <w:color w:val="FFFFFF"/>
        </w:rPr>
        <w:t>ENVIRONMENTAL</w:t>
      </w:r>
      <w:r>
        <w:rPr>
          <w:sz w:val="20"/>
          <w:szCs w:val="20"/>
          <w:color w:val="auto"/>
        </w:rPr>
        <w:tab/>
      </w:r>
      <w:r>
        <w:rPr>
          <w:rFonts w:ascii="Arial" w:cs="Arial" w:eastAsia="Arial" w:hAnsi="Arial"/>
          <w:sz w:val="18"/>
          <w:szCs w:val="18"/>
          <w:b w:val="1"/>
          <w:bCs w:val="1"/>
          <w:color w:val="FFFFFF"/>
        </w:rPr>
        <w:t>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3599815</wp:posOffset>
                </wp:positionH>
                <wp:positionV relativeFrom="paragraph">
                  <wp:posOffset>60325</wp:posOffset>
                </wp:positionV>
                <wp:extent cx="2825750" cy="237299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25750" cy="2372995"/>
                        </a:xfrm>
                        <a:prstGeom prst="rect">
                          <a:avLst/>
                        </a:prstGeom>
                        <a:solidFill>
                          <a:srgbClr val="CCCCCC"/>
                        </a:solidFill>
                      </wps:spPr>
                      <wps:bodyPr/>
                    </wps:wsp>
                  </a:graphicData>
                </a:graphic>
              </wp:anchor>
            </w:drawing>
          </mc:Choice>
          <mc:Fallback>
            <w:pict>
              <v:rect id="Shape 89" o:spid="_x0000_s1114" style="position:absolute;margin-left:283.45pt;margin-top:4.75pt;width:222.5pt;height:18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697230</wp:posOffset>
                </wp:positionV>
                <wp:extent cx="359854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8545" cy="4763"/>
                        </a:xfrm>
                        <a:prstGeom prst="line">
                          <a:avLst/>
                        </a:prstGeom>
                        <a:solidFill>
                          <a:srgbClr val="FFFFFF"/>
                        </a:solidFill>
                        <a:ln w="45605">
                          <a:solidFill>
                            <a:srgbClr val="CCCCCC"/>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4.9pt" to="283.4pt,54.9pt" o:allowincell="f" strokecolor="#CCCCCC" strokeweight="3.590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1249680</wp:posOffset>
                </wp:positionV>
                <wp:extent cx="359854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8545" cy="4763"/>
                        </a:xfrm>
                        <a:prstGeom prst="line">
                          <a:avLst/>
                        </a:prstGeom>
                        <a:solidFill>
                          <a:srgbClr val="FFFFFF"/>
                        </a:solidFill>
                        <a:ln w="45605">
                          <a:solidFill>
                            <a:srgbClr val="CCCCCC"/>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98.4pt" to="283.4pt,98.4pt" o:allowincell="f" strokecolor="#CCCCCC" strokeweight="3.590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1789430</wp:posOffset>
                </wp:positionV>
                <wp:extent cx="359854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8545" cy="4763"/>
                        </a:xfrm>
                        <a:prstGeom prst="line">
                          <a:avLst/>
                        </a:prstGeom>
                        <a:solidFill>
                          <a:srgbClr val="FFFFFF"/>
                        </a:solidFill>
                        <a:ln w="45605">
                          <a:solidFill>
                            <a:srgbClr val="CCCCCC"/>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40.9pt" to="283.4pt,140.9pt" o:allowincell="f" strokecolor="#CCCCCC" strokeweight="3.5909pt"/>
            </w:pict>
          </mc:Fallback>
        </mc:AlternateContent>
        <mc:AlternateContent>
          <mc:Choice Requires="wps">
            <w:drawing>
              <wp:anchor simplePos="0" relativeHeight="251657728" behindDoc="1" locked="0" layoutInCell="0" allowOverlap="1">
                <wp:simplePos x="0" y="0"/>
                <wp:positionH relativeFrom="column">
                  <wp:posOffset>1064895</wp:posOffset>
                </wp:positionH>
                <wp:positionV relativeFrom="paragraph">
                  <wp:posOffset>59690</wp:posOffset>
                </wp:positionV>
                <wp:extent cx="0" cy="237363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73630"/>
                        </a:xfrm>
                        <a:prstGeom prst="line">
                          <a:avLst/>
                        </a:prstGeom>
                        <a:solidFill>
                          <a:srgbClr val="FFFFFF"/>
                        </a:solidFill>
                        <a:ln w="19011">
                          <a:solidFill>
                            <a:srgbClr val="8F8F8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3.85pt,4.7pt" to="83.85pt,191.6pt" o:allowincell="f" strokecolor="#8F8F8F" strokeweight="1.4969pt"/>
            </w:pict>
          </mc:Fallback>
        </mc:AlternateContent>
      </w:r>
    </w:p>
    <w:p>
      <w:pPr>
        <w:sectPr>
          <w:pgSz w:w="11880" w:h="15480" w:orient="portrait"/>
          <w:cols w:equalWidth="0" w:num="1">
            <w:col w:w="10140"/>
          </w:cols>
          <w:pgMar w:left="880" w:top="544" w:right="860" w:bottom="96" w:gutter="0" w:footer="0" w:header="0"/>
        </w:sectPr>
      </w:pPr>
    </w:p>
    <w:p>
      <w:pPr>
        <w:spacing w:after="0" w:line="132" w:lineRule="exact"/>
        <w:rPr>
          <w:sz w:val="20"/>
          <w:szCs w:val="20"/>
          <w:color w:val="auto"/>
        </w:rPr>
      </w:pPr>
    </w:p>
    <w:p>
      <w:pPr>
        <w:ind w:left="1800" w:right="160"/>
        <w:spacing w:after="0" w:line="268" w:lineRule="auto"/>
        <w:rPr>
          <w:sz w:val="20"/>
          <w:szCs w:val="20"/>
          <w:color w:val="auto"/>
        </w:rPr>
      </w:pPr>
      <w:r>
        <w:rPr>
          <w:rFonts w:ascii="Arial" w:cs="Arial" w:eastAsia="Arial" w:hAnsi="Arial"/>
          <w:sz w:val="18"/>
          <w:szCs w:val="18"/>
          <w:color w:val="202020"/>
        </w:rPr>
        <w:t>Continually replacing old equipment with Energy Star rated equipment to improve energy efficiency and reduce overall energy consumption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-483235</wp:posOffset>
            </wp:positionV>
            <wp:extent cx="758825" cy="386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1">
                      <a:extLst>
                        <a:ext uri="{28A0092B-C50C-407E-A947-70E740481C1C}"/>
                      </a:extLst>
                    </a:blip>
                    <a:srcRect/>
                    <a:stretch>
                      <a:fillRect/>
                    </a:stretch>
                  </pic:blipFill>
                  <pic:spPr bwMode="auto">
                    <a:xfrm>
                      <a:off x="0" y="0"/>
                      <a:ext cx="758825" cy="386080"/>
                    </a:xfrm>
                    <a:prstGeom prst="rect">
                      <a:avLst/>
                    </a:prstGeom>
                    <a:noFill/>
                  </pic:spPr>
                </pic:pic>
              </a:graphicData>
            </a:graphic>
          </wp:anchor>
        </w:drawing>
      </w:r>
    </w:p>
    <w:p>
      <w:pPr>
        <w:spacing w:after="0" w:line="105" w:lineRule="exact"/>
        <w:rPr>
          <w:sz w:val="20"/>
          <w:szCs w:val="20"/>
          <w:color w:val="auto"/>
        </w:rPr>
      </w:pPr>
    </w:p>
    <w:p>
      <w:pPr>
        <w:ind w:left="1800"/>
        <w:spacing w:after="0" w:line="275" w:lineRule="auto"/>
        <w:rPr>
          <w:sz w:val="20"/>
          <w:szCs w:val="20"/>
          <w:color w:val="auto"/>
        </w:rPr>
      </w:pPr>
      <w:r>
        <w:rPr>
          <w:rFonts w:ascii="Arial" w:cs="Arial" w:eastAsia="Arial" w:hAnsi="Arial"/>
          <w:sz w:val="18"/>
          <w:szCs w:val="18"/>
          <w:color w:val="202020"/>
        </w:rPr>
        <w:t>Installing LED lighting with energy reducing controls systems to reduce overall energy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-441960</wp:posOffset>
            </wp:positionV>
            <wp:extent cx="351790" cy="417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2">
                      <a:extLst>
                        <a:ext uri="{28A0092B-C50C-407E-A947-70E740481C1C}"/>
                      </a:extLst>
                    </a:blip>
                    <a:srcRect/>
                    <a:stretch>
                      <a:fillRect/>
                    </a:stretch>
                  </pic:blipFill>
                  <pic:spPr bwMode="auto">
                    <a:xfrm>
                      <a:off x="0" y="0"/>
                      <a:ext cx="351790" cy="417195"/>
                    </a:xfrm>
                    <a:prstGeom prst="rect">
                      <a:avLst/>
                    </a:prstGeom>
                    <a:noFill/>
                  </pic:spPr>
                </pic:pic>
              </a:graphicData>
            </a:graphic>
          </wp:anchor>
        </w:drawing>
        <w:drawing>
          <wp:anchor simplePos="0" relativeHeight="251657728" behindDoc="1" locked="0" layoutInCell="0" allowOverlap="1">
            <wp:simplePos x="0" y="0"/>
            <wp:positionH relativeFrom="column">
              <wp:posOffset>355600</wp:posOffset>
            </wp:positionH>
            <wp:positionV relativeFrom="paragraph">
              <wp:posOffset>-441960</wp:posOffset>
            </wp:positionV>
            <wp:extent cx="351790" cy="417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3">
                      <a:extLst>
                        <a:ext uri="{28A0092B-C50C-407E-A947-70E740481C1C}"/>
                      </a:extLst>
                    </a:blip>
                    <a:srcRect/>
                    <a:stretch>
                      <a:fillRect/>
                    </a:stretch>
                  </pic:blipFill>
                  <pic:spPr bwMode="auto">
                    <a:xfrm>
                      <a:off x="0" y="0"/>
                      <a:ext cx="351790" cy="41719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130175</wp:posOffset>
            </wp:positionV>
            <wp:extent cx="260350" cy="383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4">
                      <a:extLst>
                        <a:ext uri="{28A0092B-C50C-407E-A947-70E740481C1C}"/>
                      </a:extLst>
                    </a:blip>
                    <a:srcRect/>
                    <a:stretch>
                      <a:fillRect/>
                    </a:stretch>
                  </pic:blipFill>
                  <pic:spPr bwMode="auto">
                    <a:xfrm>
                      <a:off x="0" y="0"/>
                      <a:ext cx="260350" cy="383540"/>
                    </a:xfrm>
                    <a:prstGeom prst="rect">
                      <a:avLst/>
                    </a:prstGeom>
                    <a:noFill/>
                  </pic:spPr>
                </pic:pic>
              </a:graphicData>
            </a:graphic>
          </wp:anchor>
        </w:drawing>
      </w:r>
    </w:p>
    <w:p>
      <w:pPr>
        <w:spacing w:after="0" w:line="348" w:lineRule="exact"/>
        <w:rPr>
          <w:sz w:val="20"/>
          <w:szCs w:val="20"/>
          <w:color w:val="auto"/>
        </w:rPr>
      </w:pPr>
    </w:p>
    <w:p>
      <w:pPr>
        <w:ind w:left="1800"/>
        <w:spacing w:after="0"/>
        <w:rPr>
          <w:sz w:val="20"/>
          <w:szCs w:val="20"/>
          <w:color w:val="auto"/>
        </w:rPr>
      </w:pPr>
      <w:r>
        <w:rPr>
          <w:rFonts w:ascii="Arial" w:cs="Arial" w:eastAsia="Arial" w:hAnsi="Arial"/>
          <w:sz w:val="18"/>
          <w:szCs w:val="18"/>
          <w:color w:val="202020"/>
        </w:rPr>
        <w:t>Installing low flow restroom fixtures</w:t>
      </w:r>
    </w:p>
    <w:p>
      <w:pPr>
        <w:spacing w:after="0" w:line="394" w:lineRule="exact"/>
        <w:rPr>
          <w:sz w:val="20"/>
          <w:szCs w:val="20"/>
          <w:color w:val="auto"/>
        </w:rPr>
      </w:pPr>
    </w:p>
    <w:p>
      <w:pPr>
        <w:jc w:val="both"/>
        <w:ind w:left="1800" w:right="300"/>
        <w:spacing w:after="0" w:line="268" w:lineRule="auto"/>
        <w:rPr>
          <w:sz w:val="20"/>
          <w:szCs w:val="20"/>
          <w:color w:val="auto"/>
        </w:rPr>
      </w:pPr>
      <w:r>
        <w:rPr>
          <w:rFonts w:ascii="Arial" w:cs="Arial" w:eastAsia="Arial" w:hAnsi="Arial"/>
          <w:sz w:val="18"/>
          <w:szCs w:val="18"/>
          <w:color w:val="202020"/>
        </w:rPr>
        <w:t>Implementing business waste stream segregation for landfill and recyclables including paper, cardboard, bottles and 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-487680</wp:posOffset>
            </wp:positionV>
            <wp:extent cx="372110" cy="384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5">
                      <a:extLst>
                        <a:ext uri="{28A0092B-C50C-407E-A947-70E740481C1C}"/>
                      </a:extLst>
                    </a:blip>
                    <a:srcRect/>
                    <a:stretch>
                      <a:fillRect/>
                    </a:stretch>
                  </pic:blipFill>
                  <pic:spPr bwMode="auto">
                    <a:xfrm>
                      <a:off x="0" y="0"/>
                      <a:ext cx="372110" cy="38417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-487680</wp:posOffset>
            </wp:positionV>
            <wp:extent cx="372110" cy="384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6">
                      <a:extLst>
                        <a:ext uri="{28A0092B-C50C-407E-A947-70E740481C1C}"/>
                      </a:extLst>
                    </a:blip>
                    <a:srcRect/>
                    <a:stretch>
                      <a:fillRect/>
                    </a:stretch>
                  </pic:blipFill>
                  <pic:spPr bwMode="auto">
                    <a:xfrm>
                      <a:off x="0" y="0"/>
                      <a:ext cx="372110" cy="384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202020"/>
        </w:rPr>
        <w:t>We are committed to good corporate governance and to conducting our business in an ethical manner. We have in place numerous policies and guidelines to facilitate legal and ethical conduct and to further align the interests of our employees and directors with our stockholders and other key stakeholders, including the patients we serve.</w:t>
      </w:r>
    </w:p>
    <w:p>
      <w:pPr>
        <w:spacing w:after="0" w:line="200" w:lineRule="exact"/>
        <w:rPr>
          <w:sz w:val="20"/>
          <w:szCs w:val="20"/>
          <w:color w:val="auto"/>
        </w:rPr>
      </w:pPr>
    </w:p>
    <w:p>
      <w:pPr>
        <w:spacing w:after="0" w:line="3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202020"/>
        </w:rPr>
        <w:t>For a detailed description of several of these policies and guidelines, see “Information Regarding the Board of Directors and Corporate Governance” above.</w:t>
      </w:r>
    </w:p>
    <w:p>
      <w:pPr>
        <w:spacing w:after="0" w:line="507" w:lineRule="exact"/>
        <w:rPr>
          <w:sz w:val="20"/>
          <w:szCs w:val="20"/>
          <w:color w:val="auto"/>
        </w:rPr>
      </w:pPr>
    </w:p>
    <w:p>
      <w:pPr>
        <w:sectPr>
          <w:pgSz w:w="11880" w:h="15480" w:orient="portrait"/>
          <w:cols w:equalWidth="0" w:num="2">
            <w:col w:w="5380" w:space="420"/>
            <w:col w:w="4340"/>
          </w:cols>
          <w:pgMar w:left="880" w:top="544" w:right="86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20 |</w:t>
        <w:tab/>
        <w:t>Celldex Therapeutics</w:t>
      </w:r>
    </w:p>
    <w:p>
      <w:pPr>
        <w:sectPr>
          <w:pgSz w:w="11880" w:h="15480" w:orient="portrait"/>
          <w:cols w:equalWidth="0" w:num="1">
            <w:col w:w="10140"/>
          </w:cols>
          <w:pgMar w:left="880" w:top="544" w:right="860" w:bottom="96" w:gutter="0" w:footer="0" w:header="0"/>
          <w:type w:val="continuous"/>
        </w:sectPr>
      </w:pPr>
    </w:p>
    <w:bookmarkStart w:id="24" w:name="page25"/>
    <w:bookmarkEnd w:id="24"/>
    <w:p>
      <w:pPr>
        <w:ind w:left="7120"/>
        <w:spacing w:after="0"/>
        <w:rPr>
          <w:sz w:val="20"/>
          <w:szCs w:val="20"/>
          <w:color w:val="auto"/>
        </w:rPr>
      </w:pPr>
      <w:r>
        <w:rPr>
          <w:rFonts w:ascii="Arial" w:cs="Arial" w:eastAsia="Arial" w:hAnsi="Arial"/>
          <w:sz w:val="16"/>
          <w:szCs w:val="16"/>
          <w:color w:val="202020"/>
        </w:rPr>
        <w:t>Sustainability &amp; Corporate Responsibility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Social</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202020"/>
        </w:rPr>
        <w:t>We believe much of our success is rooted in the diversity of our teams and that our business benefits from the different perspectives that a diverse workforce brings including background, experience, expertise and skills. We continue our commitment to diversity and inclusion by promoting a welcoming, diverse environment, including our partnership with the internal Employee Resource Group (“ERG”), which is open to all interested employees. The focus of the ERG has been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261620</wp:posOffset>
            </wp:positionV>
            <wp:extent cx="6348730" cy="135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7">
                      <a:extLst>
                        <a:ext uri="{28A0092B-C50C-407E-A947-70E740481C1C}"/>
                      </a:extLst>
                    </a:blip>
                    <a:srcRect/>
                    <a:stretch>
                      <a:fillRect/>
                    </a:stretch>
                  </pic:blipFill>
                  <pic:spPr bwMode="auto">
                    <a:xfrm>
                      <a:off x="0" y="0"/>
                      <a:ext cx="6348730" cy="135572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8"/>
          <w:szCs w:val="18"/>
          <w:color w:val="202020"/>
        </w:rPr>
        <w:t>Providing education and resources to support employee learning about Diversity and Inclusion (“D&amp;I”)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110490</wp:posOffset>
                </wp:positionV>
                <wp:extent cx="642429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7pt" to="505.9pt,8.7pt" o:allowincell="f" strokecolor="#FFFFFF" strokeweight="2.993pt"/>
            </w:pict>
          </mc:Fallback>
        </mc:AlternateContent>
        <w:drawing>
          <wp:anchor simplePos="0" relativeHeight="251657728" behindDoc="1" locked="0" layoutInCell="0" allowOverlap="1">
            <wp:simplePos x="0" y="0"/>
            <wp:positionH relativeFrom="column">
              <wp:posOffset>76835</wp:posOffset>
            </wp:positionH>
            <wp:positionV relativeFrom="paragraph">
              <wp:posOffset>167640</wp:posOffset>
            </wp:positionV>
            <wp:extent cx="176530" cy="168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8">
                      <a:extLst>
                        <a:ext uri="{28A0092B-C50C-407E-A947-70E740481C1C}"/>
                      </a:extLst>
                    </a:blip>
                    <a:srcRect/>
                    <a:stretch>
                      <a:fillRect/>
                    </a:stretch>
                  </pic:blipFill>
                  <pic:spPr bwMode="auto">
                    <a:xfrm>
                      <a:off x="0" y="0"/>
                      <a:ext cx="176530" cy="16827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167640</wp:posOffset>
            </wp:positionV>
            <wp:extent cx="176530" cy="168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9">
                      <a:extLst>
                        <a:ext uri="{28A0092B-C50C-407E-A947-70E740481C1C}"/>
                      </a:extLst>
                    </a:blip>
                    <a:srcRect/>
                    <a:stretch>
                      <a:fillRect/>
                    </a:stretch>
                  </pic:blipFill>
                  <pic:spPr bwMode="auto">
                    <a:xfrm>
                      <a:off x="0" y="0"/>
                      <a:ext cx="176530" cy="168275"/>
                    </a:xfrm>
                    <a:prstGeom prst="rect">
                      <a:avLst/>
                    </a:prstGeom>
                    <a:noFill/>
                  </pic:spPr>
                </pic:pic>
              </a:graphicData>
            </a:graphic>
          </wp:anchor>
        </w:drawing>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202020"/>
        </w:rPr>
        <w:t>Engaging in local community outreach to support D&amp;I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110490</wp:posOffset>
                </wp:positionV>
                <wp:extent cx="642429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7pt" to="505.9pt,8.7pt" o:allowincell="f" strokecolor="#FFFFFF" strokeweight="2.993pt"/>
            </w:pict>
          </mc:Fallback>
        </mc:AlternateContent>
        <w:drawing>
          <wp:anchor simplePos="0" relativeHeight="251657728" behindDoc="1" locked="0" layoutInCell="0" allowOverlap="1">
            <wp:simplePos x="0" y="0"/>
            <wp:positionH relativeFrom="column">
              <wp:posOffset>76835</wp:posOffset>
            </wp:positionH>
            <wp:positionV relativeFrom="paragraph">
              <wp:posOffset>167640</wp:posOffset>
            </wp:positionV>
            <wp:extent cx="176530" cy="168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0">
                      <a:extLst>
                        <a:ext uri="{28A0092B-C50C-407E-A947-70E740481C1C}"/>
                      </a:extLst>
                    </a:blip>
                    <a:srcRect/>
                    <a:stretch>
                      <a:fillRect/>
                    </a:stretch>
                  </pic:blipFill>
                  <pic:spPr bwMode="auto">
                    <a:xfrm>
                      <a:off x="0" y="0"/>
                      <a:ext cx="176530" cy="16827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167640</wp:posOffset>
            </wp:positionV>
            <wp:extent cx="176530" cy="168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1">
                      <a:extLst>
                        <a:ext uri="{28A0092B-C50C-407E-A947-70E740481C1C}"/>
                      </a:extLst>
                    </a:blip>
                    <a:srcRect/>
                    <a:stretch>
                      <a:fillRect/>
                    </a:stretch>
                  </pic:blipFill>
                  <pic:spPr bwMode="auto">
                    <a:xfrm>
                      <a:off x="0" y="0"/>
                      <a:ext cx="176530" cy="168275"/>
                    </a:xfrm>
                    <a:prstGeom prst="rect">
                      <a:avLst/>
                    </a:prstGeom>
                    <a:noFill/>
                  </pic:spPr>
                </pic:pic>
              </a:graphicData>
            </a:graphic>
          </wp:anchor>
        </w:drawing>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202020"/>
        </w:rPr>
        <w:t>Fostering a diverse and inclusive environment at Celldex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110490</wp:posOffset>
                </wp:positionV>
                <wp:extent cx="642429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38011">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8.7pt" to="505.9pt,8.7pt" o:allowincell="f" strokecolor="#FFFFFF" strokeweight="2.993pt"/>
            </w:pict>
          </mc:Fallback>
        </mc:AlternateContent>
      </w:r>
    </w:p>
    <w:p>
      <w:pPr>
        <w:spacing w:after="0" w:line="222" w:lineRule="exact"/>
        <w:rPr>
          <w:sz w:val="20"/>
          <w:szCs w:val="20"/>
          <w:color w:val="auto"/>
        </w:rPr>
      </w:pPr>
    </w:p>
    <w:p>
      <w:pPr>
        <w:ind w:left="640" w:right="520"/>
        <w:spacing w:after="0" w:line="297" w:lineRule="auto"/>
        <w:rPr>
          <w:sz w:val="20"/>
          <w:szCs w:val="20"/>
          <w:color w:val="auto"/>
        </w:rPr>
      </w:pPr>
      <w:r>
        <w:rPr>
          <w:rFonts w:ascii="Arial" w:cs="Arial" w:eastAsia="Arial" w:hAnsi="Arial"/>
          <w:sz w:val="18"/>
          <w:szCs w:val="18"/>
          <w:color w:val="202020"/>
        </w:rPr>
        <w:t>Working toward a diverse talent pipeline for the biotechnology industry by engaging in local communities to provide exposure to biotechnology to students of all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-272415</wp:posOffset>
            </wp:positionV>
            <wp:extent cx="176530" cy="16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2">
                      <a:extLst>
                        <a:ext uri="{28A0092B-C50C-407E-A947-70E740481C1C}"/>
                      </a:extLst>
                    </a:blip>
                    <a:srcRect/>
                    <a:stretch>
                      <a:fillRect/>
                    </a:stretch>
                  </pic:blipFill>
                  <pic:spPr bwMode="auto">
                    <a:xfrm>
                      <a:off x="0" y="0"/>
                      <a:ext cx="176530" cy="16827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-272415</wp:posOffset>
            </wp:positionV>
            <wp:extent cx="176530" cy="168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3">
                      <a:extLst>
                        <a:ext uri="{28A0092B-C50C-407E-A947-70E740481C1C}"/>
                      </a:extLst>
                    </a:blip>
                    <a:srcRect/>
                    <a:stretch>
                      <a:fillRect/>
                    </a:stretch>
                  </pic:blipFill>
                  <pic:spPr bwMode="auto">
                    <a:xfrm>
                      <a:off x="0" y="0"/>
                      <a:ext cx="176530" cy="168275"/>
                    </a:xfrm>
                    <a:prstGeom prst="rect">
                      <a:avLst/>
                    </a:prstGeom>
                    <a:noFill/>
                  </pic:spPr>
                </pic:pic>
              </a:graphicData>
            </a:graphic>
          </wp:anchor>
        </w:drawing>
      </w:r>
    </w:p>
    <w:p>
      <w:pPr>
        <w:spacing w:after="0" w:line="86" w:lineRule="exact"/>
        <w:rPr>
          <w:sz w:val="20"/>
          <w:szCs w:val="20"/>
          <w:color w:val="auto"/>
        </w:rPr>
      </w:pPr>
    </w:p>
    <w:p>
      <w:pPr>
        <w:spacing w:after="0" w:line="266" w:lineRule="auto"/>
        <w:rPr>
          <w:sz w:val="20"/>
          <w:szCs w:val="20"/>
          <w:color w:val="auto"/>
        </w:rPr>
      </w:pPr>
      <w:r>
        <w:rPr>
          <w:rFonts w:ascii="Arial" w:cs="Arial" w:eastAsia="Arial" w:hAnsi="Arial"/>
          <w:sz w:val="18"/>
          <w:szCs w:val="18"/>
          <w:color w:val="202020"/>
        </w:rPr>
        <w:t>We are committed to greater data transparency, and that’s why we are sharing our 2025 Federal Employer Information Report, known as EEO-1, as follows. These data are based on U.S. federal government requirements that categorizes roles into 10 job categories, each with seven race/ethnicity categories and two gender categories. While this is important data to collect and share, it does not fully reflect all of Celldex’s job levels and titles and is not inclusive of all races, ethnicities and genders.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261620</wp:posOffset>
                </wp:positionV>
                <wp:extent cx="4105910" cy="17716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5910" cy="177165"/>
                        </a:xfrm>
                        <a:prstGeom prst="rect">
                          <a:avLst/>
                        </a:prstGeom>
                        <a:solidFill>
                          <a:srgbClr val="8F8F8F"/>
                        </a:solidFill>
                      </wps:spPr>
                      <wps:bodyPr/>
                    </wps:wsp>
                  </a:graphicData>
                </a:graphic>
              </wp:anchor>
            </w:drawing>
          </mc:Choice>
          <mc:Fallback>
            <w:pict>
              <v:rect id="Shape 110" o:spid="_x0000_s1135" style="position:absolute;margin-left:0.05pt;margin-top:20.6pt;width:323.3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8F8F8F" stroked="f"/>
            </w:pict>
          </mc:Fallback>
        </mc:AlternateContent>
      </w:r>
    </w:p>
    <w:p>
      <w:pPr>
        <w:spacing w:after="0" w:line="39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FFFFFF"/>
        </w:rPr>
        <w:t>Senior Leadership (SVP or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80645</wp:posOffset>
            </wp:positionV>
            <wp:extent cx="1113790" cy="11264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4">
                      <a:extLst>
                        <a:ext uri="{28A0092B-C50C-407E-A947-70E740481C1C}"/>
                      </a:extLst>
                    </a:blip>
                    <a:srcRect/>
                    <a:stretch>
                      <a:fillRect/>
                    </a:stretch>
                  </pic:blipFill>
                  <pic:spPr bwMode="auto">
                    <a:xfrm>
                      <a:off x="0" y="0"/>
                      <a:ext cx="1113790" cy="112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3"/>
          </w:tcPr>
          <w:p>
            <w:pPr>
              <w:ind w:left="380"/>
              <w:spacing w:after="0"/>
              <w:rPr>
                <w:sz w:val="20"/>
                <w:szCs w:val="20"/>
                <w:color w:val="auto"/>
              </w:rPr>
            </w:pPr>
            <w:r>
              <w:rPr>
                <w:rFonts w:ascii="Arial" w:cs="Arial" w:eastAsia="Arial" w:hAnsi="Arial"/>
                <w:sz w:val="13"/>
                <w:szCs w:val="13"/>
                <w:b w:val="1"/>
                <w:bCs w:val="1"/>
                <w:color w:val="252525"/>
              </w:rPr>
              <w:t>Racial &amp;</w:t>
            </w:r>
          </w:p>
        </w:tc>
        <w:tc>
          <w:tcPr>
            <w:tcW w:w="1100" w:type="dxa"/>
            <w:vAlign w:val="bottom"/>
            <w:gridSpan w:val="2"/>
            <w:vMerge w:val="restart"/>
          </w:tcPr>
          <w:p>
            <w:pPr>
              <w:jc w:val="right"/>
              <w:ind w:right="475"/>
              <w:spacing w:after="0"/>
              <w:rPr>
                <w:sz w:val="20"/>
                <w:szCs w:val="20"/>
                <w:color w:val="auto"/>
              </w:rPr>
            </w:pPr>
            <w:r>
              <w:rPr>
                <w:rFonts w:ascii="Arial" w:cs="Arial" w:eastAsia="Arial" w:hAnsi="Arial"/>
                <w:sz w:val="26"/>
                <w:szCs w:val="26"/>
                <w:b w:val="1"/>
                <w:bCs w:val="1"/>
                <w:color w:val="8F8F8F"/>
              </w:rPr>
              <w:t>10%</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gridSpan w:val="3"/>
          </w:tcPr>
          <w:p>
            <w:pPr>
              <w:ind w:left="380"/>
              <w:spacing w:after="0"/>
              <w:rPr>
                <w:sz w:val="20"/>
                <w:szCs w:val="20"/>
                <w:color w:val="auto"/>
              </w:rPr>
            </w:pPr>
            <w:r>
              <w:rPr>
                <w:rFonts w:ascii="Arial" w:cs="Arial" w:eastAsia="Arial" w:hAnsi="Arial"/>
                <w:sz w:val="13"/>
                <w:szCs w:val="13"/>
                <w:b w:val="1"/>
                <w:bCs w:val="1"/>
                <w:color w:val="252525"/>
              </w:rPr>
              <w:t>Ethnic</w:t>
            </w:r>
          </w:p>
        </w:tc>
        <w:tc>
          <w:tcPr>
            <w:tcW w:w="110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60" w:type="dxa"/>
            <w:vAlign w:val="bottom"/>
            <w:gridSpan w:val="6"/>
          </w:tcPr>
          <w:p>
            <w:pPr>
              <w:ind w:left="380"/>
              <w:spacing w:after="0" w:line="141" w:lineRule="exact"/>
              <w:rPr>
                <w:sz w:val="20"/>
                <w:szCs w:val="20"/>
                <w:color w:val="auto"/>
              </w:rPr>
            </w:pPr>
            <w:r>
              <w:rPr>
                <w:rFonts w:ascii="Arial" w:cs="Arial" w:eastAsia="Arial" w:hAnsi="Arial"/>
                <w:sz w:val="13"/>
                <w:szCs w:val="13"/>
                <w:b w:val="1"/>
                <w:bCs w:val="1"/>
                <w:color w:val="252525"/>
              </w:rPr>
              <w:t>Minorities</w:t>
            </w: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1020" w:type="dxa"/>
            <w:vAlign w:val="bottom"/>
            <w:tcBorders>
              <w:top w:val="single" w:sz="8" w:color="808080"/>
            </w:tcBorders>
            <w:gridSpan w:val="2"/>
          </w:tcPr>
          <w:p>
            <w:pPr>
              <w:jc w:val="center"/>
              <w:spacing w:after="0"/>
              <w:rPr>
                <w:sz w:val="20"/>
                <w:szCs w:val="20"/>
                <w:color w:val="auto"/>
              </w:rPr>
            </w:pPr>
            <w:r>
              <w:rPr>
                <w:rFonts w:ascii="Arial" w:cs="Arial" w:eastAsia="Arial" w:hAnsi="Arial"/>
                <w:sz w:val="24"/>
                <w:szCs w:val="24"/>
                <w:b w:val="1"/>
                <w:bCs w:val="1"/>
                <w:color w:val="202020"/>
                <w:w w:val="97"/>
              </w:rPr>
              <w:t xml:space="preserve">90% </w:t>
            </w:r>
            <w:r>
              <w:rPr>
                <w:rFonts w:ascii="Arial" w:cs="Arial" w:eastAsia="Arial" w:hAnsi="Arial"/>
                <w:sz w:val="13"/>
                <w:szCs w:val="13"/>
                <w:b w:val="1"/>
                <w:bCs w:val="1"/>
                <w:color w:val="252525"/>
                <w:w w:val="97"/>
              </w:rPr>
              <w:t>Others</w:t>
            </w:r>
          </w:p>
        </w:tc>
        <w:tc>
          <w:tcPr>
            <w:tcW w:w="11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0" w:type="dxa"/>
            <w:vAlign w:val="bottom"/>
            <w:tcBorders>
              <w:bottom w:val="single" w:sz="8" w:color="8F8F8F"/>
            </w:tcBorders>
            <w:shd w:val="clear" w:color="auto" w:fill="8F8F8F"/>
          </w:tcPr>
          <w:p>
            <w:pPr>
              <w:spacing w:after="0"/>
              <w:rPr>
                <w:sz w:val="22"/>
                <w:szCs w:val="22"/>
                <w:color w:val="auto"/>
              </w:rPr>
            </w:pPr>
          </w:p>
        </w:tc>
        <w:tc>
          <w:tcPr>
            <w:tcW w:w="360" w:type="dxa"/>
            <w:vAlign w:val="bottom"/>
            <w:tcBorders>
              <w:bottom w:val="single" w:sz="8" w:color="8F8F8F"/>
            </w:tcBorders>
            <w:shd w:val="clear" w:color="auto" w:fill="8F8F8F"/>
          </w:tcPr>
          <w:p>
            <w:pPr>
              <w:spacing w:after="0"/>
              <w:rPr>
                <w:sz w:val="22"/>
                <w:szCs w:val="22"/>
                <w:color w:val="auto"/>
              </w:rPr>
            </w:pPr>
          </w:p>
        </w:tc>
        <w:tc>
          <w:tcPr>
            <w:tcW w:w="800" w:type="dxa"/>
            <w:vAlign w:val="bottom"/>
            <w:tcBorders>
              <w:bottom w:val="single" w:sz="8" w:color="8F8F8F"/>
              <w:right w:val="single" w:sz="8" w:color="8F8F8F"/>
            </w:tcBorders>
            <w:shd w:val="clear" w:color="auto" w:fill="8F8F8F"/>
          </w:tcPr>
          <w:p>
            <w:pPr>
              <w:spacing w:after="0"/>
              <w:rPr>
                <w:sz w:val="22"/>
                <w:szCs w:val="22"/>
                <w:color w:val="auto"/>
              </w:rPr>
            </w:pPr>
          </w:p>
        </w:tc>
        <w:tc>
          <w:tcPr>
            <w:tcW w:w="760" w:type="dxa"/>
            <w:vAlign w:val="bottom"/>
            <w:tcBorders>
              <w:bottom w:val="single" w:sz="8" w:color="8F8F8F"/>
            </w:tcBorders>
            <w:shd w:val="clear" w:color="auto" w:fill="8F8F8F"/>
          </w:tcPr>
          <w:p>
            <w:pPr>
              <w:spacing w:after="0"/>
              <w:rPr>
                <w:sz w:val="22"/>
                <w:szCs w:val="22"/>
                <w:color w:val="auto"/>
              </w:rPr>
            </w:pPr>
          </w:p>
        </w:tc>
        <w:tc>
          <w:tcPr>
            <w:tcW w:w="2560" w:type="dxa"/>
            <w:vAlign w:val="bottom"/>
            <w:tcBorders>
              <w:bottom w:val="single" w:sz="8" w:color="8F8F8F"/>
            </w:tcBorders>
            <w:gridSpan w:val="6"/>
            <w:shd w:val="clear" w:color="auto" w:fill="8F8F8F"/>
          </w:tcPr>
          <w:p>
            <w:pPr>
              <w:jc w:val="center"/>
              <w:ind w:right="603"/>
              <w:spacing w:after="0"/>
              <w:rPr>
                <w:sz w:val="20"/>
                <w:szCs w:val="20"/>
                <w:color w:val="auto"/>
              </w:rPr>
            </w:pPr>
            <w:r>
              <w:rPr>
                <w:rFonts w:ascii="Arial" w:cs="Arial" w:eastAsia="Arial" w:hAnsi="Arial"/>
                <w:sz w:val="18"/>
                <w:szCs w:val="18"/>
                <w:b w:val="1"/>
                <w:bCs w:val="1"/>
                <w:color w:val="FFFFFF"/>
              </w:rPr>
              <w:t>Full Time Workforce</w:t>
            </w:r>
          </w:p>
        </w:tc>
        <w:tc>
          <w:tcPr>
            <w:tcW w:w="520" w:type="dxa"/>
            <w:vAlign w:val="bottom"/>
            <w:tcBorders>
              <w:bottom w:val="single" w:sz="8" w:color="8F8F8F"/>
            </w:tcBorders>
            <w:shd w:val="clear" w:color="auto" w:fill="8F8F8F"/>
          </w:tcPr>
          <w:p>
            <w:pPr>
              <w:spacing w:after="0"/>
              <w:rPr>
                <w:sz w:val="22"/>
                <w:szCs w:val="22"/>
                <w:color w:val="auto"/>
              </w:rPr>
            </w:pPr>
          </w:p>
        </w:tc>
        <w:tc>
          <w:tcPr>
            <w:tcW w:w="1060" w:type="dxa"/>
            <w:vAlign w:val="bottom"/>
            <w:tcBorders>
              <w:bottom w:val="single" w:sz="8" w:color="8F8F8F"/>
            </w:tcBorders>
            <w:shd w:val="clear" w:color="auto" w:fill="8F8F8F"/>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252525"/>
              </w:rPr>
              <w:t>Racial &amp;</w:t>
            </w:r>
          </w:p>
        </w:tc>
        <w:tc>
          <w:tcPr>
            <w:tcW w:w="1580" w:type="dxa"/>
            <w:vAlign w:val="bottom"/>
            <w:gridSpan w:val="2"/>
            <w:vMerge w:val="restart"/>
          </w:tcPr>
          <w:p>
            <w:pPr>
              <w:jc w:val="right"/>
              <w:ind w:right="1020"/>
              <w:spacing w:after="0"/>
              <w:rPr>
                <w:sz w:val="20"/>
                <w:szCs w:val="20"/>
                <w:color w:val="auto"/>
              </w:rPr>
            </w:pPr>
            <w:r>
              <w:rPr>
                <w:rFonts w:ascii="Arial" w:cs="Arial" w:eastAsia="Arial" w:hAnsi="Arial"/>
                <w:sz w:val="26"/>
                <w:szCs w:val="26"/>
                <w:b w:val="1"/>
                <w:bCs w:val="1"/>
                <w:color w:val="8F8F8F"/>
              </w:rPr>
              <w:t>18%</w:t>
            </w: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Borders>
              <w:right w:val="single" w:sz="8" w:color="808080"/>
            </w:tcBorders>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Borders>
              <w:right w:val="single" w:sz="8" w:color="808080"/>
            </w:tcBorders>
            <w:vMerge w:val="restart"/>
          </w:tcPr>
          <w:p>
            <w:pPr>
              <w:jc w:val="right"/>
              <w:spacing w:after="0" w:line="231" w:lineRule="exact"/>
              <w:rPr>
                <w:sz w:val="20"/>
                <w:szCs w:val="20"/>
                <w:color w:val="auto"/>
              </w:rPr>
            </w:pPr>
            <w:r>
              <w:rPr>
                <w:rFonts w:ascii="Arial" w:cs="Arial" w:eastAsia="Arial" w:hAnsi="Arial"/>
                <w:sz w:val="26"/>
                <w:szCs w:val="26"/>
                <w:b w:val="1"/>
                <w:bCs w:val="1"/>
                <w:color w:val="202020"/>
              </w:rPr>
              <w:t>42%</w:t>
            </w:r>
          </w:p>
        </w:tc>
        <w:tc>
          <w:tcPr>
            <w:tcW w:w="760" w:type="dxa"/>
            <w:vAlign w:val="bottom"/>
            <w:vMerge w:val="restart"/>
          </w:tcPr>
          <w:p>
            <w:pPr>
              <w:jc w:val="right"/>
              <w:ind w:right="28"/>
              <w:spacing w:after="0" w:line="231" w:lineRule="exact"/>
              <w:rPr>
                <w:sz w:val="20"/>
                <w:szCs w:val="20"/>
                <w:color w:val="auto"/>
              </w:rPr>
            </w:pPr>
            <w:r>
              <w:rPr>
                <w:rFonts w:ascii="Arial" w:cs="Arial" w:eastAsia="Arial" w:hAnsi="Arial"/>
                <w:sz w:val="26"/>
                <w:szCs w:val="26"/>
                <w:b w:val="1"/>
                <w:bCs w:val="1"/>
                <w:color w:val="8F8F8F"/>
              </w:rPr>
              <w:t>58%</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gridSpan w:val="2"/>
          </w:tcPr>
          <w:p>
            <w:pPr>
              <w:ind w:left="580"/>
              <w:spacing w:after="0"/>
              <w:rPr>
                <w:sz w:val="20"/>
                <w:szCs w:val="20"/>
                <w:color w:val="auto"/>
              </w:rPr>
            </w:pPr>
            <w:r>
              <w:rPr>
                <w:rFonts w:ascii="Arial" w:cs="Arial" w:eastAsia="Arial" w:hAnsi="Arial"/>
                <w:sz w:val="13"/>
                <w:szCs w:val="13"/>
                <w:b w:val="1"/>
                <w:bCs w:val="1"/>
                <w:color w:val="252525"/>
              </w:rPr>
              <w:t>Ethnic</w:t>
            </w: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400" w:type="dxa"/>
            <w:vAlign w:val="bottom"/>
          </w:tcPr>
          <w:p>
            <w:pPr>
              <w:spacing w:after="0"/>
              <w:rPr>
                <w:sz w:val="5"/>
                <w:szCs w:val="5"/>
                <w:color w:val="auto"/>
              </w:rPr>
            </w:pPr>
          </w:p>
        </w:tc>
        <w:tc>
          <w:tcPr>
            <w:tcW w:w="360" w:type="dxa"/>
            <w:vAlign w:val="bottom"/>
            <w:tcBorders>
              <w:bottom w:val="single" w:sz="8" w:color="202020"/>
            </w:tcBorders>
          </w:tcPr>
          <w:p>
            <w:pPr>
              <w:spacing w:after="0"/>
              <w:rPr>
                <w:sz w:val="5"/>
                <w:szCs w:val="5"/>
                <w:color w:val="auto"/>
              </w:rPr>
            </w:pPr>
          </w:p>
        </w:tc>
        <w:tc>
          <w:tcPr>
            <w:tcW w:w="800" w:type="dxa"/>
            <w:vAlign w:val="bottom"/>
            <w:tcBorders>
              <w:right w:val="single" w:sz="8" w:color="808080"/>
            </w:tcBorders>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00" w:type="dxa"/>
            <w:vAlign w:val="bottom"/>
            <w:tcBorders>
              <w:bottom w:val="single" w:sz="8" w:color="8F8F8F"/>
            </w:tcBorders>
          </w:tcPr>
          <w:p>
            <w:pPr>
              <w:spacing w:after="0"/>
              <w:rPr>
                <w:sz w:val="5"/>
                <w:szCs w:val="5"/>
                <w:color w:val="auto"/>
              </w:rPr>
            </w:pPr>
          </w:p>
        </w:tc>
        <w:tc>
          <w:tcPr>
            <w:tcW w:w="20" w:type="dxa"/>
            <w:vAlign w:val="bottom"/>
            <w:tcBorders>
              <w:bottom w:val="single" w:sz="8" w:color="8F8F8F"/>
            </w:tcBorders>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700" w:type="dxa"/>
            <w:vAlign w:val="bottom"/>
            <w:gridSpan w:val="4"/>
            <w:vMerge w:val="restart"/>
          </w:tcPr>
          <w:p>
            <w:pPr>
              <w:ind w:left="580"/>
              <w:spacing w:after="0" w:line="139" w:lineRule="exact"/>
              <w:rPr>
                <w:sz w:val="20"/>
                <w:szCs w:val="20"/>
                <w:color w:val="auto"/>
              </w:rPr>
            </w:pPr>
            <w:r>
              <w:rPr>
                <w:rFonts w:ascii="Arial" w:cs="Arial" w:eastAsia="Arial" w:hAnsi="Arial"/>
                <w:sz w:val="13"/>
                <w:szCs w:val="13"/>
                <w:b w:val="1"/>
                <w:bCs w:val="1"/>
                <w:color w:val="252525"/>
              </w:rPr>
              <w:t>Minorities</w:t>
            </w: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202020"/>
              </w:rPr>
              <w:t>Male</w:t>
            </w:r>
          </w:p>
        </w:tc>
        <w:tc>
          <w:tcPr>
            <w:tcW w:w="800" w:type="dxa"/>
            <w:vAlign w:val="bottom"/>
            <w:tcBorders>
              <w:right w:val="single" w:sz="8" w:color="808080"/>
            </w:tcBorders>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202020"/>
              </w:rPr>
              <w:t>Female</w:t>
            </w:r>
          </w:p>
        </w:tc>
        <w:tc>
          <w:tcPr>
            <w:tcW w:w="500" w:type="dxa"/>
            <w:vAlign w:val="bottom"/>
          </w:tcPr>
          <w:p>
            <w:pPr>
              <w:spacing w:after="0"/>
              <w:rPr>
                <w:sz w:val="5"/>
                <w:szCs w:val="5"/>
                <w:color w:val="auto"/>
              </w:rPr>
            </w:pPr>
          </w:p>
        </w:tc>
        <w:tc>
          <w:tcPr>
            <w:tcW w:w="2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760" w:type="dxa"/>
            <w:vAlign w:val="bottom"/>
            <w:gridSpan w:val="2"/>
            <w:vMerge w:val="continue"/>
          </w:tcPr>
          <w:p>
            <w:pPr>
              <w:spacing w:after="0"/>
              <w:rPr>
                <w:sz w:val="12"/>
                <w:szCs w:val="12"/>
                <w:color w:val="auto"/>
              </w:rPr>
            </w:pPr>
          </w:p>
        </w:tc>
        <w:tc>
          <w:tcPr>
            <w:tcW w:w="800" w:type="dxa"/>
            <w:vAlign w:val="bottom"/>
            <w:tcBorders>
              <w:right w:val="single" w:sz="8" w:color="808080"/>
            </w:tcBorders>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Borders>
              <w:top w:val="single" w:sz="8" w:color="808080"/>
            </w:tcBorders>
            <w:gridSpan w:val="2"/>
            <w:vMerge w:val="restart"/>
          </w:tcPr>
          <w:p>
            <w:pPr>
              <w:ind w:left="40"/>
              <w:spacing w:after="0" w:line="259" w:lineRule="exact"/>
              <w:rPr>
                <w:sz w:val="20"/>
                <w:szCs w:val="20"/>
                <w:color w:val="auto"/>
              </w:rPr>
            </w:pPr>
            <w:r>
              <w:rPr>
                <w:rFonts w:ascii="Arial" w:cs="Arial" w:eastAsia="Arial" w:hAnsi="Arial"/>
                <w:sz w:val="23"/>
                <w:szCs w:val="23"/>
                <w:b w:val="1"/>
                <w:bCs w:val="1"/>
                <w:color w:val="202020"/>
              </w:rPr>
              <w:t xml:space="preserve">82% </w:t>
            </w:r>
            <w:r>
              <w:rPr>
                <w:rFonts w:ascii="Arial" w:cs="Arial" w:eastAsia="Arial" w:hAnsi="Arial"/>
                <w:sz w:val="13"/>
                <w:szCs w:val="13"/>
                <w:b w:val="1"/>
                <w:bCs w:val="1"/>
                <w:color w:val="252525"/>
              </w:rPr>
              <w:t>Others</w:t>
            </w:r>
          </w:p>
        </w:tc>
        <w:tc>
          <w:tcPr>
            <w:tcW w:w="1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Borders>
              <w:right w:val="single" w:sz="8" w:color="808080"/>
            </w:tcBorders>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521335</wp:posOffset>
                </wp:positionV>
                <wp:extent cx="41052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05275" cy="4763"/>
                        </a:xfrm>
                        <a:prstGeom prst="line">
                          <a:avLst/>
                        </a:prstGeom>
                        <a:solidFill>
                          <a:srgbClr val="FFFFFF"/>
                        </a:solidFill>
                        <a:ln w="12674">
                          <a:solidFill>
                            <a:srgbClr val="20202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1.05pt" to="323.3pt,41.05pt" o:allowincell="f" strokecolor="#202020" strokeweight="0.998pt"/>
            </w:pict>
          </mc:Fallback>
        </mc:AlternateContent>
        <w:drawing>
          <wp:anchor simplePos="0" relativeHeight="251657728" behindDoc="1" locked="0" layoutInCell="0" allowOverlap="1">
            <wp:simplePos x="0" y="0"/>
            <wp:positionH relativeFrom="column">
              <wp:posOffset>211455</wp:posOffset>
            </wp:positionH>
            <wp:positionV relativeFrom="paragraph">
              <wp:posOffset>-788035</wp:posOffset>
            </wp:positionV>
            <wp:extent cx="3427095" cy="1139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5">
                      <a:extLst>
                        <a:ext uri="{28A0092B-C50C-407E-A947-70E740481C1C}"/>
                      </a:extLst>
                    </a:blip>
                    <a:srcRect/>
                    <a:stretch>
                      <a:fillRect/>
                    </a:stretch>
                  </pic:blipFill>
                  <pic:spPr bwMode="auto">
                    <a:xfrm>
                      <a:off x="0" y="0"/>
                      <a:ext cx="3427095" cy="113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8" w:lineRule="auto"/>
        <w:rPr>
          <w:sz w:val="20"/>
          <w:szCs w:val="20"/>
          <w:color w:val="auto"/>
        </w:rPr>
      </w:pPr>
      <w:r>
        <w:rPr>
          <w:rFonts w:ascii="Arial" w:cs="Arial" w:eastAsia="Arial" w:hAnsi="Arial"/>
          <w:sz w:val="18"/>
          <w:szCs w:val="18"/>
          <w:color w:val="202020"/>
        </w:rPr>
        <w:t>The Company’s labor right policy provides for equal opportunity to all employees without regard to race, color, religion, sex (including gender, pregnancy, sexual orientation, gender identity and gender expression), national origin, disability, age, genetic information, ethnicity, citizenship status, participation in uniformed military services of the United States, or any other class or status protected by federal, state, or local law.</w:t>
      </w:r>
    </w:p>
    <w:p>
      <w:pPr>
        <w:sectPr>
          <w:pgSz w:w="11880" w:h="15480" w:orient="portrait"/>
          <w:cols w:equalWidth="0" w:num="1">
            <w:col w:w="10140"/>
          </w:cols>
          <w:pgMar w:left="880" w:top="544" w:right="86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21</w:t>
      </w:r>
    </w:p>
    <w:p>
      <w:pPr>
        <w:sectPr>
          <w:pgSz w:w="11880" w:h="15480" w:orient="portrait"/>
          <w:cols w:equalWidth="0" w:num="1">
            <w:col w:w="10140"/>
          </w:cols>
          <w:pgMar w:left="880" w:top="544" w:right="860" w:bottom="96"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202020"/>
        </w:rPr>
        <w:t>Executive Officers</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202020"/>
        </w:rPr>
        <w:t>The following table sets forth certain information regarding our current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1945640</wp:posOffset>
                </wp:positionH>
                <wp:positionV relativeFrom="paragraph">
                  <wp:posOffset>142240</wp:posOffset>
                </wp:positionV>
                <wp:extent cx="34226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265" cy="4763"/>
                        </a:xfrm>
                        <a:prstGeom prst="line">
                          <a:avLst/>
                        </a:prstGeom>
                        <a:solidFill>
                          <a:srgbClr val="FFFFFF"/>
                        </a:solidFill>
                        <a:ln w="177406">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2pt,11.2pt" to="180.15pt,11.2pt" o:allowincell="f" strokecolor="#FFFFFF" strokeweight="13.969pt"/>
            </w:pict>
          </mc:Fallback>
        </mc:AlternateContent>
        <mc:AlternateContent>
          <mc:Choice Requires="wps">
            <w:drawing>
              <wp:anchor simplePos="0" relativeHeight="251657728" behindDoc="1" locked="0" layoutInCell="0" allowOverlap="1">
                <wp:simplePos x="0" y="0"/>
                <wp:positionH relativeFrom="column">
                  <wp:posOffset>4137660</wp:posOffset>
                </wp:positionH>
                <wp:positionV relativeFrom="paragraph">
                  <wp:posOffset>142240</wp:posOffset>
                </wp:positionV>
                <wp:extent cx="34226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265" cy="4763"/>
                        </a:xfrm>
                        <a:prstGeom prst="line">
                          <a:avLst/>
                        </a:prstGeom>
                        <a:solidFill>
                          <a:srgbClr val="FFFFFF"/>
                        </a:solidFill>
                        <a:ln w="177406">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8pt,11.2pt" to="352.75pt,11.2pt" o:allowincell="f" strokecolor="#FFFFFF" strokeweight="13.969pt"/>
            </w:pict>
          </mc:Fallback>
        </mc:AlternateContent>
        <mc:AlternateContent>
          <mc:Choice Requires="wps">
            <w:drawing>
              <wp:anchor simplePos="0" relativeHeight="251657728" behindDoc="1" locked="0" layoutInCell="0" allowOverlap="1">
                <wp:simplePos x="0" y="0"/>
                <wp:positionH relativeFrom="column">
                  <wp:posOffset>2116455</wp:posOffset>
                </wp:positionH>
                <wp:positionV relativeFrom="paragraph">
                  <wp:posOffset>53340</wp:posOffset>
                </wp:positionV>
                <wp:extent cx="0" cy="395351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953510"/>
                        </a:xfrm>
                        <a:prstGeom prst="line">
                          <a:avLst/>
                        </a:prstGeom>
                        <a:solidFill>
                          <a:srgbClr val="FFFFFF"/>
                        </a:solidFill>
                        <a:ln w="342150">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65pt,4.2pt" to="166.65pt,315.5pt" o:allowincell="f" strokecolor="#FFFFFF" strokeweight="26.9409pt"/>
            </w:pict>
          </mc:Fallback>
        </mc:AlternateContent>
        <mc:AlternateContent>
          <mc:Choice Requires="wps">
            <w:drawing>
              <wp:anchor simplePos="0" relativeHeight="251657728" behindDoc="1" locked="0" layoutInCell="0" allowOverlap="1">
                <wp:simplePos x="0" y="0"/>
                <wp:positionH relativeFrom="column">
                  <wp:posOffset>4309110</wp:posOffset>
                </wp:positionH>
                <wp:positionV relativeFrom="paragraph">
                  <wp:posOffset>53340</wp:posOffset>
                </wp:positionV>
                <wp:extent cx="0" cy="370967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09670"/>
                        </a:xfrm>
                        <a:prstGeom prst="line">
                          <a:avLst/>
                        </a:prstGeom>
                        <a:solidFill>
                          <a:srgbClr val="FFFFFF"/>
                        </a:solidFill>
                        <a:ln w="342150">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3pt,4.2pt" to="339.3pt,296.3pt" o:allowincell="f" strokecolor="#FFFFFF" strokeweight="26.9409pt"/>
            </w:pict>
          </mc:Fallback>
        </mc:AlternateConten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3280" w:type="dxa"/>
            <w:vAlign w:val="bottom"/>
            <w:tcBorders>
              <w:top w:val="single" w:sz="8" w:color="202020"/>
              <w:bottom w:val="single" w:sz="8" w:color="CCCCCC"/>
            </w:tcBorders>
            <w:shd w:val="clear" w:color="auto" w:fill="CCCCCC"/>
          </w:tcPr>
          <w:p>
            <w:pPr>
              <w:jc w:val="center"/>
              <w:spacing w:after="0"/>
              <w:rPr>
                <w:sz w:val="20"/>
                <w:szCs w:val="20"/>
                <w:color w:val="auto"/>
              </w:rPr>
            </w:pPr>
            <w:r>
              <w:rPr>
                <w:rFonts w:ascii="Arial" w:cs="Arial" w:eastAsia="Arial" w:hAnsi="Arial"/>
                <w:sz w:val="20"/>
                <w:szCs w:val="20"/>
                <w:b w:val="1"/>
                <w:bCs w:val="1"/>
                <w:color w:val="202020"/>
                <w:w w:val="97"/>
              </w:rPr>
              <w:t>ANTHONY S. MARUCCI</w:t>
            </w:r>
          </w:p>
        </w:tc>
        <w:tc>
          <w:tcPr>
            <w:tcW w:w="3440" w:type="dxa"/>
            <w:vAlign w:val="bottom"/>
            <w:tcBorders>
              <w:top w:val="single" w:sz="8" w:color="202020"/>
              <w:bottom w:val="single" w:sz="8" w:color="CCCCCC"/>
            </w:tcBorders>
            <w:shd w:val="clear" w:color="auto" w:fill="CCCCCC"/>
          </w:tcPr>
          <w:p>
            <w:pPr>
              <w:jc w:val="center"/>
              <w:ind w:left="28"/>
              <w:spacing w:after="0"/>
              <w:rPr>
                <w:sz w:val="20"/>
                <w:szCs w:val="20"/>
                <w:color w:val="auto"/>
              </w:rPr>
            </w:pPr>
            <w:r>
              <w:rPr>
                <w:rFonts w:ascii="Arial" w:cs="Arial" w:eastAsia="Arial" w:hAnsi="Arial"/>
                <w:sz w:val="20"/>
                <w:szCs w:val="20"/>
                <w:b w:val="1"/>
                <w:bCs w:val="1"/>
                <w:color w:val="202020"/>
                <w:w w:val="93"/>
              </w:rPr>
              <w:t>TIBOR KELER, PH.D.</w:t>
            </w:r>
          </w:p>
        </w:tc>
        <w:tc>
          <w:tcPr>
            <w:tcW w:w="3400" w:type="dxa"/>
            <w:vAlign w:val="bottom"/>
            <w:tcBorders>
              <w:top w:val="single" w:sz="8" w:color="202020"/>
              <w:bottom w:val="single" w:sz="8" w:color="CCCCCC"/>
            </w:tcBorders>
            <w:shd w:val="clear" w:color="auto" w:fill="CCCCCC"/>
          </w:tcPr>
          <w:p>
            <w:pPr>
              <w:jc w:val="center"/>
              <w:ind w:left="88"/>
              <w:spacing w:after="0"/>
              <w:rPr>
                <w:sz w:val="20"/>
                <w:szCs w:val="20"/>
                <w:color w:val="auto"/>
              </w:rPr>
            </w:pPr>
            <w:r>
              <w:rPr>
                <w:rFonts w:ascii="Arial" w:cs="Arial" w:eastAsia="Arial" w:hAnsi="Arial"/>
                <w:sz w:val="20"/>
                <w:szCs w:val="20"/>
                <w:b w:val="1"/>
                <w:bCs w:val="1"/>
                <w:color w:val="202020"/>
                <w:w w:val="93"/>
              </w:rPr>
              <w:t>SARAH CAVANAUGH</w:t>
            </w:r>
          </w:p>
        </w:tc>
      </w:tr>
      <w:tr>
        <w:trPr>
          <w:trHeight w:val="237"/>
        </w:trPr>
        <w:tc>
          <w:tcPr>
            <w:tcW w:w="3280" w:type="dxa"/>
            <w:vAlign w:val="bottom"/>
            <w:tcBorders>
              <w:top w:val="single" w:sz="8" w:color="202020"/>
            </w:tcBorders>
          </w:tcPr>
          <w:p>
            <w:pPr>
              <w:jc w:val="center"/>
              <w:spacing w:after="0"/>
              <w:rPr>
                <w:sz w:val="20"/>
                <w:szCs w:val="20"/>
                <w:color w:val="auto"/>
              </w:rPr>
            </w:pPr>
            <w:r>
              <w:rPr>
                <w:rFonts w:ascii="Arial" w:cs="Arial" w:eastAsia="Arial" w:hAnsi="Arial"/>
                <w:sz w:val="18"/>
                <w:szCs w:val="18"/>
                <w:b w:val="1"/>
                <w:bCs w:val="1"/>
                <w:color w:val="202020"/>
              </w:rPr>
              <w:t>President, Chief Executive</w:t>
            </w:r>
          </w:p>
        </w:tc>
        <w:tc>
          <w:tcPr>
            <w:tcW w:w="3440" w:type="dxa"/>
            <w:vAlign w:val="bottom"/>
            <w:tcBorders>
              <w:top w:val="single" w:sz="8" w:color="202020"/>
            </w:tcBorders>
          </w:tcPr>
          <w:p>
            <w:pPr>
              <w:jc w:val="center"/>
              <w:ind w:left="28"/>
              <w:spacing w:after="0"/>
              <w:rPr>
                <w:sz w:val="20"/>
                <w:szCs w:val="20"/>
                <w:color w:val="auto"/>
              </w:rPr>
            </w:pPr>
            <w:r>
              <w:rPr>
                <w:rFonts w:ascii="Arial" w:cs="Arial" w:eastAsia="Arial" w:hAnsi="Arial"/>
                <w:sz w:val="18"/>
                <w:szCs w:val="18"/>
                <w:b w:val="1"/>
                <w:bCs w:val="1"/>
                <w:color w:val="202020"/>
              </w:rPr>
              <w:t>Executive Vice President and</w:t>
            </w:r>
          </w:p>
        </w:tc>
        <w:tc>
          <w:tcPr>
            <w:tcW w:w="3400" w:type="dxa"/>
            <w:vAlign w:val="bottom"/>
            <w:tcBorders>
              <w:top w:val="single" w:sz="8" w:color="202020"/>
            </w:tcBorders>
          </w:tcPr>
          <w:p>
            <w:pPr>
              <w:jc w:val="center"/>
              <w:ind w:left="88"/>
              <w:spacing w:after="0"/>
              <w:rPr>
                <w:sz w:val="20"/>
                <w:szCs w:val="20"/>
                <w:color w:val="auto"/>
              </w:rPr>
            </w:pPr>
            <w:r>
              <w:rPr>
                <w:rFonts w:ascii="Arial" w:cs="Arial" w:eastAsia="Arial" w:hAnsi="Arial"/>
                <w:sz w:val="18"/>
                <w:szCs w:val="18"/>
                <w:b w:val="1"/>
                <w:bCs w:val="1"/>
                <w:color w:val="202020"/>
              </w:rPr>
              <w:t>Senior Vice President, Corporate</w:t>
            </w:r>
          </w:p>
        </w:tc>
      </w:tr>
      <w:tr>
        <w:trPr>
          <w:trHeight w:val="244"/>
        </w:trPr>
        <w:tc>
          <w:tcPr>
            <w:tcW w:w="3280" w:type="dxa"/>
            <w:vAlign w:val="bottom"/>
          </w:tcPr>
          <w:p>
            <w:pPr>
              <w:jc w:val="center"/>
              <w:spacing w:after="0"/>
              <w:rPr>
                <w:sz w:val="20"/>
                <w:szCs w:val="20"/>
                <w:color w:val="auto"/>
              </w:rPr>
            </w:pPr>
            <w:r>
              <w:rPr>
                <w:rFonts w:ascii="Arial" w:cs="Arial" w:eastAsia="Arial" w:hAnsi="Arial"/>
                <w:sz w:val="18"/>
                <w:szCs w:val="18"/>
                <w:b w:val="1"/>
                <w:bCs w:val="1"/>
                <w:color w:val="202020"/>
              </w:rPr>
              <w:t>Officer and Director</w:t>
            </w:r>
          </w:p>
        </w:tc>
        <w:tc>
          <w:tcPr>
            <w:tcW w:w="3440" w:type="dxa"/>
            <w:vAlign w:val="bottom"/>
          </w:tcPr>
          <w:p>
            <w:pPr>
              <w:jc w:val="center"/>
              <w:ind w:left="28"/>
              <w:spacing w:after="0"/>
              <w:rPr>
                <w:sz w:val="20"/>
                <w:szCs w:val="20"/>
                <w:color w:val="auto"/>
              </w:rPr>
            </w:pPr>
            <w:r>
              <w:rPr>
                <w:rFonts w:ascii="Arial" w:cs="Arial" w:eastAsia="Arial" w:hAnsi="Arial"/>
                <w:sz w:val="18"/>
                <w:szCs w:val="18"/>
                <w:b w:val="1"/>
                <w:bCs w:val="1"/>
                <w:color w:val="202020"/>
              </w:rPr>
              <w:t>Chief Scientific Officer</w:t>
            </w:r>
          </w:p>
        </w:tc>
        <w:tc>
          <w:tcPr>
            <w:tcW w:w="3400" w:type="dxa"/>
            <w:vAlign w:val="bottom"/>
          </w:tcPr>
          <w:p>
            <w:pPr>
              <w:jc w:val="center"/>
              <w:ind w:left="88"/>
              <w:spacing w:after="0"/>
              <w:rPr>
                <w:sz w:val="20"/>
                <w:szCs w:val="20"/>
                <w:color w:val="auto"/>
              </w:rPr>
            </w:pPr>
            <w:r>
              <w:rPr>
                <w:rFonts w:ascii="Arial" w:cs="Arial" w:eastAsia="Arial" w:hAnsi="Arial"/>
                <w:sz w:val="18"/>
                <w:szCs w:val="18"/>
                <w:b w:val="1"/>
                <w:bCs w:val="1"/>
                <w:color w:val="202020"/>
              </w:rPr>
              <w:t>Affairs and Administration</w:t>
            </w:r>
          </w:p>
        </w:tc>
      </w:tr>
      <w:tr>
        <w:trPr>
          <w:trHeight w:val="48"/>
        </w:trPr>
        <w:tc>
          <w:tcPr>
            <w:tcW w:w="32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9"/>
        </w:trPr>
        <w:tc>
          <w:tcPr>
            <w:tcW w:w="32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64</w:t>
            </w:r>
          </w:p>
        </w:tc>
        <w:tc>
          <w:tcPr>
            <w:tcW w:w="3440" w:type="dxa"/>
            <w:vAlign w:val="bottom"/>
            <w:tcBorders>
              <w:bottom w:val="single" w:sz="8" w:color="E9E9E9"/>
            </w:tcBorders>
            <w:shd w:val="clear" w:color="auto" w:fill="E9E9E9"/>
          </w:tcPr>
          <w:p>
            <w:pPr>
              <w:jc w:val="center"/>
              <w:ind w:left="2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67</w:t>
            </w:r>
          </w:p>
        </w:tc>
        <w:tc>
          <w:tcPr>
            <w:tcW w:w="3400" w:type="dxa"/>
            <w:vAlign w:val="bottom"/>
            <w:tcBorders>
              <w:bottom w:val="single" w:sz="8" w:color="E9E9E9"/>
            </w:tcBorders>
            <w:shd w:val="clear" w:color="auto" w:fill="E9E9E9"/>
          </w:tcPr>
          <w:p>
            <w:pPr>
              <w:jc w:val="center"/>
              <w:ind w:left="10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51</w:t>
            </w:r>
          </w:p>
        </w:tc>
      </w:tr>
      <w:tr>
        <w:trPr>
          <w:trHeight w:val="20"/>
        </w:trPr>
        <w:tc>
          <w:tcPr>
            <w:tcW w:w="3280" w:type="dxa"/>
            <w:vAlign w:val="bottom"/>
            <w:shd w:val="clear" w:color="auto" w:fill="202020"/>
          </w:tcPr>
          <w:p>
            <w:pPr>
              <w:spacing w:after="0" w:line="20" w:lineRule="exact"/>
              <w:rPr>
                <w:sz w:val="1"/>
                <w:szCs w:val="1"/>
                <w:color w:val="auto"/>
              </w:rPr>
            </w:pPr>
          </w:p>
        </w:tc>
        <w:tc>
          <w:tcPr>
            <w:tcW w:w="3440" w:type="dxa"/>
            <w:vAlign w:val="bottom"/>
            <w:shd w:val="clear" w:color="auto" w:fill="202020"/>
          </w:tcPr>
          <w:p>
            <w:pPr>
              <w:spacing w:after="0" w:line="20" w:lineRule="exact"/>
              <w:rPr>
                <w:sz w:val="1"/>
                <w:szCs w:val="1"/>
                <w:color w:val="auto"/>
              </w:rPr>
            </w:pPr>
          </w:p>
        </w:tc>
        <w:tc>
          <w:tcPr>
            <w:tcW w:w="3400" w:type="dxa"/>
            <w:vAlign w:val="bottom"/>
            <w:shd w:val="clear" w:color="auto" w:fill="202020"/>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3320" w:type="dxa"/>
            <w:vAlign w:val="bottom"/>
            <w:tcBorders>
              <w:top w:val="single" w:sz="8" w:color="202020"/>
              <w:bottom w:val="single" w:sz="8" w:color="CCCCCC"/>
            </w:tcBorders>
            <w:shd w:val="clear" w:color="auto" w:fill="CCCCCC"/>
          </w:tcPr>
          <w:p>
            <w:pPr>
              <w:jc w:val="center"/>
              <w:ind w:right="8"/>
              <w:spacing w:after="0"/>
              <w:rPr>
                <w:sz w:val="20"/>
                <w:szCs w:val="20"/>
                <w:color w:val="auto"/>
              </w:rPr>
            </w:pPr>
            <w:r>
              <w:rPr>
                <w:rFonts w:ascii="Arial" w:cs="Arial" w:eastAsia="Arial" w:hAnsi="Arial"/>
                <w:sz w:val="20"/>
                <w:szCs w:val="20"/>
                <w:b w:val="1"/>
                <w:bCs w:val="1"/>
                <w:color w:val="202020"/>
                <w:w w:val="93"/>
              </w:rPr>
              <w:t>ELIZABETH CROWLEY</w:t>
            </w:r>
          </w:p>
        </w:tc>
        <w:tc>
          <w:tcPr>
            <w:tcW w:w="3620" w:type="dxa"/>
            <w:vAlign w:val="bottom"/>
            <w:tcBorders>
              <w:top w:val="single" w:sz="8" w:color="202020"/>
              <w:bottom w:val="single" w:sz="8" w:color="CCCCCC"/>
            </w:tcBorders>
            <w:shd w:val="clear" w:color="auto" w:fill="CCCCCC"/>
          </w:tcPr>
          <w:p>
            <w:pPr>
              <w:jc w:val="center"/>
              <w:ind w:right="48"/>
              <w:spacing w:after="0"/>
              <w:rPr>
                <w:sz w:val="20"/>
                <w:szCs w:val="20"/>
                <w:color w:val="auto"/>
              </w:rPr>
            </w:pPr>
            <w:r>
              <w:rPr>
                <w:rFonts w:ascii="Arial" w:cs="Arial" w:eastAsia="Arial" w:hAnsi="Arial"/>
                <w:sz w:val="20"/>
                <w:szCs w:val="20"/>
                <w:b w:val="1"/>
                <w:bCs w:val="1"/>
                <w:color w:val="202020"/>
                <w:w w:val="97"/>
              </w:rPr>
              <w:t>MARGO HEATH-CHIOZZI, M.D.</w:t>
            </w:r>
          </w:p>
        </w:tc>
        <w:tc>
          <w:tcPr>
            <w:tcW w:w="3180" w:type="dxa"/>
            <w:vAlign w:val="bottom"/>
            <w:tcBorders>
              <w:top w:val="single" w:sz="8" w:color="202020"/>
              <w:bottom w:val="single" w:sz="8" w:color="CCCCCC"/>
            </w:tcBorders>
            <w:shd w:val="clear" w:color="auto" w:fill="CCCCCC"/>
          </w:tcPr>
          <w:p>
            <w:pPr>
              <w:jc w:val="center"/>
              <w:spacing w:after="0"/>
              <w:rPr>
                <w:sz w:val="20"/>
                <w:szCs w:val="20"/>
                <w:color w:val="auto"/>
              </w:rPr>
            </w:pPr>
            <w:r>
              <w:rPr>
                <w:rFonts w:ascii="Arial" w:cs="Arial" w:eastAsia="Arial" w:hAnsi="Arial"/>
                <w:sz w:val="20"/>
                <w:szCs w:val="20"/>
                <w:b w:val="1"/>
                <w:bCs w:val="1"/>
                <w:color w:val="202020"/>
                <w:w w:val="93"/>
              </w:rPr>
              <w:t>FREDDY JIMENEZ</w:t>
            </w:r>
          </w:p>
        </w:tc>
      </w:tr>
      <w:tr>
        <w:trPr>
          <w:trHeight w:val="237"/>
        </w:trPr>
        <w:tc>
          <w:tcPr>
            <w:tcW w:w="3320" w:type="dxa"/>
            <w:vAlign w:val="bottom"/>
            <w:tcBorders>
              <w:top w:val="single" w:sz="8" w:color="202020"/>
            </w:tcBorders>
          </w:tcPr>
          <w:p>
            <w:pPr>
              <w:jc w:val="center"/>
              <w:ind w:right="8"/>
              <w:spacing w:after="0"/>
              <w:rPr>
                <w:sz w:val="20"/>
                <w:szCs w:val="20"/>
                <w:color w:val="auto"/>
              </w:rPr>
            </w:pPr>
            <w:r>
              <w:rPr>
                <w:rFonts w:ascii="Arial" w:cs="Arial" w:eastAsia="Arial" w:hAnsi="Arial"/>
                <w:sz w:val="18"/>
                <w:szCs w:val="18"/>
                <w:b w:val="1"/>
                <w:bCs w:val="1"/>
                <w:color w:val="202020"/>
              </w:rPr>
              <w:t>Senior Vice President and Chief</w:t>
            </w:r>
          </w:p>
        </w:tc>
        <w:tc>
          <w:tcPr>
            <w:tcW w:w="3620" w:type="dxa"/>
            <w:vAlign w:val="bottom"/>
            <w:tcBorders>
              <w:top w:val="single" w:sz="8" w:color="202020"/>
            </w:tcBorders>
          </w:tcPr>
          <w:p>
            <w:pPr>
              <w:jc w:val="center"/>
              <w:ind w:right="48"/>
              <w:spacing w:after="0"/>
              <w:rPr>
                <w:sz w:val="20"/>
                <w:szCs w:val="20"/>
                <w:color w:val="auto"/>
              </w:rPr>
            </w:pPr>
            <w:r>
              <w:rPr>
                <w:rFonts w:ascii="Arial" w:cs="Arial" w:eastAsia="Arial" w:hAnsi="Arial"/>
                <w:sz w:val="18"/>
                <w:szCs w:val="18"/>
                <w:b w:val="1"/>
                <w:bCs w:val="1"/>
                <w:color w:val="202020"/>
              </w:rPr>
              <w:t>Senior Vice President,</w:t>
            </w:r>
          </w:p>
        </w:tc>
        <w:tc>
          <w:tcPr>
            <w:tcW w:w="3180" w:type="dxa"/>
            <w:vAlign w:val="bottom"/>
            <w:tcBorders>
              <w:top w:val="single" w:sz="8" w:color="202020"/>
            </w:tcBorders>
          </w:tcPr>
          <w:p>
            <w:pPr>
              <w:jc w:val="center"/>
              <w:spacing w:after="0"/>
              <w:rPr>
                <w:sz w:val="20"/>
                <w:szCs w:val="20"/>
                <w:color w:val="auto"/>
              </w:rPr>
            </w:pPr>
            <w:r>
              <w:rPr>
                <w:rFonts w:ascii="Arial" w:cs="Arial" w:eastAsia="Arial" w:hAnsi="Arial"/>
                <w:sz w:val="18"/>
                <w:szCs w:val="18"/>
                <w:b w:val="1"/>
                <w:bCs w:val="1"/>
                <w:color w:val="202020"/>
              </w:rPr>
              <w:t>Senior Vice President and</w:t>
            </w:r>
          </w:p>
        </w:tc>
      </w:tr>
      <w:tr>
        <w:trPr>
          <w:trHeight w:val="244"/>
        </w:trPr>
        <w:tc>
          <w:tcPr>
            <w:tcW w:w="3320" w:type="dxa"/>
            <w:vAlign w:val="bottom"/>
          </w:tcPr>
          <w:p>
            <w:pPr>
              <w:jc w:val="center"/>
              <w:ind w:right="8"/>
              <w:spacing w:after="0"/>
              <w:rPr>
                <w:sz w:val="20"/>
                <w:szCs w:val="20"/>
                <w:color w:val="auto"/>
              </w:rPr>
            </w:pPr>
            <w:r>
              <w:rPr>
                <w:rFonts w:ascii="Arial" w:cs="Arial" w:eastAsia="Arial" w:hAnsi="Arial"/>
                <w:sz w:val="18"/>
                <w:szCs w:val="18"/>
                <w:b w:val="1"/>
                <w:bCs w:val="1"/>
                <w:color w:val="202020"/>
              </w:rPr>
              <w:t>Product Development Officer</w:t>
            </w:r>
          </w:p>
        </w:tc>
        <w:tc>
          <w:tcPr>
            <w:tcW w:w="3620" w:type="dxa"/>
            <w:vAlign w:val="bottom"/>
          </w:tcPr>
          <w:p>
            <w:pPr>
              <w:jc w:val="center"/>
              <w:ind w:right="48"/>
              <w:spacing w:after="0"/>
              <w:rPr>
                <w:sz w:val="20"/>
                <w:szCs w:val="20"/>
                <w:color w:val="auto"/>
              </w:rPr>
            </w:pPr>
            <w:r>
              <w:rPr>
                <w:rFonts w:ascii="Arial" w:cs="Arial" w:eastAsia="Arial" w:hAnsi="Arial"/>
                <w:sz w:val="18"/>
                <w:szCs w:val="18"/>
                <w:b w:val="1"/>
                <w:bCs w:val="1"/>
                <w:color w:val="202020"/>
              </w:rPr>
              <w:t>Regulatory Affairs</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202020"/>
              </w:rPr>
              <w:t>General Counsel</w:t>
            </w:r>
          </w:p>
        </w:tc>
      </w:tr>
      <w:tr>
        <w:trPr>
          <w:trHeight w:val="48"/>
        </w:trPr>
        <w:tc>
          <w:tcPr>
            <w:tcW w:w="33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3180" w:type="dxa"/>
            <w:vAlign w:val="bottom"/>
          </w:tcPr>
          <w:p>
            <w:pPr>
              <w:spacing w:after="0"/>
              <w:rPr>
                <w:sz w:val="4"/>
                <w:szCs w:val="4"/>
                <w:color w:val="auto"/>
              </w:rPr>
            </w:pPr>
          </w:p>
        </w:tc>
      </w:tr>
      <w:tr>
        <w:trPr>
          <w:trHeight w:val="299"/>
        </w:trPr>
        <w:tc>
          <w:tcPr>
            <w:tcW w:w="3320" w:type="dxa"/>
            <w:vAlign w:val="bottom"/>
            <w:tcBorders>
              <w:bottom w:val="single" w:sz="8" w:color="E9E9E9"/>
            </w:tcBorders>
            <w:shd w:val="clear" w:color="auto" w:fill="E9E9E9"/>
          </w:tcPr>
          <w:p>
            <w:pPr>
              <w:jc w:val="center"/>
              <w:ind w:right="2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54</w:t>
            </w:r>
          </w:p>
        </w:tc>
        <w:tc>
          <w:tcPr>
            <w:tcW w:w="3620" w:type="dxa"/>
            <w:vAlign w:val="bottom"/>
            <w:tcBorders>
              <w:bottom w:val="single" w:sz="8" w:color="E9E9E9"/>
            </w:tcBorders>
            <w:shd w:val="clear" w:color="auto" w:fill="E9E9E9"/>
          </w:tcPr>
          <w:p>
            <w:pPr>
              <w:jc w:val="center"/>
              <w:ind w:right="4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69</w:t>
            </w:r>
          </w:p>
        </w:tc>
        <w:tc>
          <w:tcPr>
            <w:tcW w:w="31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57</w:t>
            </w:r>
          </w:p>
        </w:tc>
      </w:tr>
      <w:tr>
        <w:trPr>
          <w:trHeight w:val="20"/>
        </w:trPr>
        <w:tc>
          <w:tcPr>
            <w:tcW w:w="3320" w:type="dxa"/>
            <w:vAlign w:val="bottom"/>
            <w:shd w:val="clear" w:color="auto" w:fill="202020"/>
          </w:tcPr>
          <w:p>
            <w:pPr>
              <w:spacing w:after="0" w:line="20" w:lineRule="exact"/>
              <w:rPr>
                <w:sz w:val="1"/>
                <w:szCs w:val="1"/>
                <w:color w:val="auto"/>
              </w:rPr>
            </w:pPr>
          </w:p>
        </w:tc>
        <w:tc>
          <w:tcPr>
            <w:tcW w:w="3620" w:type="dxa"/>
            <w:vAlign w:val="bottom"/>
            <w:shd w:val="clear" w:color="auto" w:fill="202020"/>
          </w:tcPr>
          <w:p>
            <w:pPr>
              <w:spacing w:after="0" w:line="20" w:lineRule="exact"/>
              <w:rPr>
                <w:sz w:val="1"/>
                <w:szCs w:val="1"/>
                <w:color w:val="auto"/>
              </w:rPr>
            </w:pPr>
          </w:p>
        </w:tc>
        <w:tc>
          <w:tcPr>
            <w:tcW w:w="3180" w:type="dxa"/>
            <w:vAlign w:val="bottom"/>
            <w:shd w:val="clear" w:color="auto" w:fill="202020"/>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54"/>
        </w:trPr>
        <w:tc>
          <w:tcPr>
            <w:tcW w:w="3340" w:type="dxa"/>
            <w:vAlign w:val="bottom"/>
            <w:tcBorders>
              <w:top w:val="single" w:sz="8" w:color="202020"/>
              <w:bottom w:val="single" w:sz="8" w:color="CCCCCC"/>
            </w:tcBorders>
            <w:shd w:val="clear" w:color="auto" w:fill="CCCCCC"/>
          </w:tcPr>
          <w:p>
            <w:pPr>
              <w:jc w:val="center"/>
              <w:ind w:right="48"/>
              <w:spacing w:after="0"/>
              <w:rPr>
                <w:sz w:val="20"/>
                <w:szCs w:val="20"/>
                <w:color w:val="auto"/>
              </w:rPr>
            </w:pPr>
            <w:r>
              <w:rPr>
                <w:rFonts w:ascii="Arial" w:cs="Arial" w:eastAsia="Arial" w:hAnsi="Arial"/>
                <w:sz w:val="20"/>
                <w:szCs w:val="20"/>
                <w:b w:val="1"/>
                <w:bCs w:val="1"/>
                <w:color w:val="202020"/>
                <w:w w:val="92"/>
              </w:rPr>
              <w:t>TERI LAWVER</w:t>
            </w:r>
          </w:p>
        </w:tc>
        <w:tc>
          <w:tcPr>
            <w:tcW w:w="3560" w:type="dxa"/>
            <w:vAlign w:val="bottom"/>
            <w:tcBorders>
              <w:top w:val="single" w:sz="8" w:color="202020"/>
              <w:bottom w:val="single" w:sz="8" w:color="CCCCCC"/>
            </w:tcBorders>
            <w:shd w:val="clear" w:color="auto" w:fill="CCCCCC"/>
          </w:tcPr>
          <w:p>
            <w:pPr>
              <w:jc w:val="center"/>
              <w:ind w:right="28"/>
              <w:spacing w:after="0"/>
              <w:rPr>
                <w:sz w:val="20"/>
                <w:szCs w:val="20"/>
                <w:color w:val="auto"/>
              </w:rPr>
            </w:pPr>
            <w:r>
              <w:rPr>
                <w:rFonts w:ascii="Arial" w:cs="Arial" w:eastAsia="Arial" w:hAnsi="Arial"/>
                <w:sz w:val="20"/>
                <w:szCs w:val="20"/>
                <w:b w:val="1"/>
                <w:bCs w:val="1"/>
                <w:color w:val="202020"/>
              </w:rPr>
              <w:t>SAM MARTIN</w:t>
            </w:r>
          </w:p>
        </w:tc>
        <w:tc>
          <w:tcPr>
            <w:tcW w:w="3220" w:type="dxa"/>
            <w:vAlign w:val="bottom"/>
            <w:tcBorders>
              <w:top w:val="single" w:sz="8" w:color="202020"/>
              <w:bottom w:val="single" w:sz="8" w:color="CCCCCC"/>
            </w:tcBorders>
            <w:shd w:val="clear" w:color="auto" w:fill="CCCCCC"/>
          </w:tcPr>
          <w:p>
            <w:pPr>
              <w:jc w:val="center"/>
              <w:spacing w:after="0"/>
              <w:rPr>
                <w:sz w:val="20"/>
                <w:szCs w:val="20"/>
                <w:color w:val="auto"/>
              </w:rPr>
            </w:pPr>
            <w:r>
              <w:rPr>
                <w:rFonts w:ascii="Arial" w:cs="Arial" w:eastAsia="Arial" w:hAnsi="Arial"/>
                <w:sz w:val="20"/>
                <w:szCs w:val="20"/>
                <w:b w:val="1"/>
                <w:bCs w:val="1"/>
                <w:color w:val="202020"/>
                <w:w w:val="98"/>
              </w:rPr>
              <w:t>RONALD PEPIN, PH.D.</w:t>
            </w:r>
          </w:p>
        </w:tc>
      </w:tr>
      <w:tr>
        <w:trPr>
          <w:trHeight w:val="237"/>
        </w:trPr>
        <w:tc>
          <w:tcPr>
            <w:tcW w:w="3340" w:type="dxa"/>
            <w:vAlign w:val="bottom"/>
            <w:tcBorders>
              <w:top w:val="single" w:sz="8" w:color="202020"/>
            </w:tcBorders>
          </w:tcPr>
          <w:p>
            <w:pPr>
              <w:jc w:val="center"/>
              <w:ind w:right="28"/>
              <w:spacing w:after="0"/>
              <w:rPr>
                <w:sz w:val="20"/>
                <w:szCs w:val="20"/>
                <w:color w:val="auto"/>
              </w:rPr>
            </w:pPr>
            <w:r>
              <w:rPr>
                <w:rFonts w:ascii="Arial" w:cs="Arial" w:eastAsia="Arial" w:hAnsi="Arial"/>
                <w:sz w:val="18"/>
                <w:szCs w:val="18"/>
                <w:b w:val="1"/>
                <w:bCs w:val="1"/>
                <w:color w:val="202020"/>
              </w:rPr>
              <w:t>Senior Vice President and</w:t>
            </w:r>
          </w:p>
        </w:tc>
        <w:tc>
          <w:tcPr>
            <w:tcW w:w="3560" w:type="dxa"/>
            <w:vAlign w:val="bottom"/>
            <w:tcBorders>
              <w:top w:val="single" w:sz="8" w:color="202020"/>
            </w:tcBorders>
          </w:tcPr>
          <w:p>
            <w:pPr>
              <w:jc w:val="center"/>
              <w:ind w:right="28"/>
              <w:spacing w:after="0"/>
              <w:rPr>
                <w:sz w:val="20"/>
                <w:szCs w:val="20"/>
                <w:color w:val="auto"/>
              </w:rPr>
            </w:pPr>
            <w:r>
              <w:rPr>
                <w:rFonts w:ascii="Arial" w:cs="Arial" w:eastAsia="Arial" w:hAnsi="Arial"/>
                <w:sz w:val="18"/>
                <w:szCs w:val="18"/>
                <w:b w:val="1"/>
                <w:bCs w:val="1"/>
                <w:color w:val="202020"/>
              </w:rPr>
              <w:t>Senior Vice President, Chief</w:t>
            </w:r>
          </w:p>
        </w:tc>
        <w:tc>
          <w:tcPr>
            <w:tcW w:w="3220" w:type="dxa"/>
            <w:vAlign w:val="bottom"/>
            <w:tcBorders>
              <w:top w:val="single" w:sz="8" w:color="202020"/>
            </w:tcBorders>
          </w:tcPr>
          <w:p>
            <w:pPr>
              <w:jc w:val="center"/>
              <w:spacing w:after="0"/>
              <w:rPr>
                <w:sz w:val="20"/>
                <w:szCs w:val="20"/>
                <w:color w:val="auto"/>
              </w:rPr>
            </w:pPr>
            <w:r>
              <w:rPr>
                <w:rFonts w:ascii="Arial" w:cs="Arial" w:eastAsia="Arial" w:hAnsi="Arial"/>
                <w:sz w:val="18"/>
                <w:szCs w:val="18"/>
                <w:b w:val="1"/>
                <w:bCs w:val="1"/>
                <w:color w:val="202020"/>
              </w:rPr>
              <w:t>Senior Vice President and</w:t>
            </w:r>
          </w:p>
        </w:tc>
      </w:tr>
      <w:tr>
        <w:trPr>
          <w:trHeight w:val="244"/>
        </w:trPr>
        <w:tc>
          <w:tcPr>
            <w:tcW w:w="3340" w:type="dxa"/>
            <w:vAlign w:val="bottom"/>
          </w:tcPr>
          <w:p>
            <w:pPr>
              <w:jc w:val="center"/>
              <w:ind w:right="28"/>
              <w:spacing w:after="0"/>
              <w:rPr>
                <w:sz w:val="20"/>
                <w:szCs w:val="20"/>
                <w:color w:val="auto"/>
              </w:rPr>
            </w:pPr>
            <w:r>
              <w:rPr>
                <w:rFonts w:ascii="Arial" w:cs="Arial" w:eastAsia="Arial" w:hAnsi="Arial"/>
                <w:sz w:val="18"/>
                <w:szCs w:val="18"/>
                <w:b w:val="1"/>
                <w:bCs w:val="1"/>
                <w:color w:val="202020"/>
              </w:rPr>
              <w:t>Chief Commercial Officer</w:t>
            </w:r>
          </w:p>
        </w:tc>
        <w:tc>
          <w:tcPr>
            <w:tcW w:w="3560" w:type="dxa"/>
            <w:vAlign w:val="bottom"/>
          </w:tcPr>
          <w:p>
            <w:pPr>
              <w:jc w:val="center"/>
              <w:ind w:right="28"/>
              <w:spacing w:after="0"/>
              <w:rPr>
                <w:sz w:val="20"/>
                <w:szCs w:val="20"/>
                <w:color w:val="auto"/>
              </w:rPr>
            </w:pPr>
            <w:r>
              <w:rPr>
                <w:rFonts w:ascii="Arial" w:cs="Arial" w:eastAsia="Arial" w:hAnsi="Arial"/>
                <w:sz w:val="18"/>
                <w:szCs w:val="18"/>
                <w:b w:val="1"/>
                <w:bCs w:val="1"/>
                <w:color w:val="202020"/>
              </w:rPr>
              <w:t>Financial Officer and Secretary</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202020"/>
              </w:rPr>
              <w:t>Chief Business Officer</w:t>
            </w:r>
          </w:p>
        </w:tc>
      </w:tr>
      <w:tr>
        <w:trPr>
          <w:trHeight w:val="48"/>
        </w:trPr>
        <w:tc>
          <w:tcPr>
            <w:tcW w:w="33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3220" w:type="dxa"/>
            <w:vAlign w:val="bottom"/>
          </w:tcPr>
          <w:p>
            <w:pPr>
              <w:spacing w:after="0"/>
              <w:rPr>
                <w:sz w:val="4"/>
                <w:szCs w:val="4"/>
                <w:color w:val="auto"/>
              </w:rPr>
            </w:pPr>
          </w:p>
        </w:tc>
      </w:tr>
      <w:tr>
        <w:trPr>
          <w:trHeight w:val="324"/>
        </w:trPr>
        <w:tc>
          <w:tcPr>
            <w:tcW w:w="3340" w:type="dxa"/>
            <w:vAlign w:val="bottom"/>
            <w:tcBorders>
              <w:bottom w:val="single" w:sz="8" w:color="E9E9E9"/>
            </w:tcBorders>
            <w:shd w:val="clear" w:color="auto" w:fill="E9E9E9"/>
          </w:tcPr>
          <w:p>
            <w:pPr>
              <w:jc w:val="center"/>
              <w:ind w:right="4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59</w:t>
            </w:r>
          </w:p>
        </w:tc>
        <w:tc>
          <w:tcPr>
            <w:tcW w:w="3560" w:type="dxa"/>
            <w:vAlign w:val="bottom"/>
            <w:tcBorders>
              <w:bottom w:val="single" w:sz="8" w:color="E9E9E9"/>
            </w:tcBorders>
            <w:shd w:val="clear" w:color="auto" w:fill="E9E9E9"/>
          </w:tcPr>
          <w:p>
            <w:pPr>
              <w:jc w:val="center"/>
              <w:ind w:right="2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55</w:t>
            </w:r>
          </w:p>
        </w:tc>
        <w:tc>
          <w:tcPr>
            <w:tcW w:w="322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70</w:t>
            </w:r>
          </w:p>
        </w:tc>
      </w:tr>
      <w:tr>
        <w:trPr>
          <w:trHeight w:val="210"/>
        </w:trPr>
        <w:tc>
          <w:tcPr>
            <w:tcW w:w="3340" w:type="dxa"/>
            <w:vAlign w:val="bottom"/>
            <w:tcBorders>
              <w:top w:val="single" w:sz="8" w:color="202020"/>
              <w:bottom w:val="single" w:sz="8" w:color="202020"/>
            </w:tcBorders>
          </w:tcPr>
          <w:p>
            <w:pPr>
              <w:spacing w:after="0"/>
              <w:rPr>
                <w:sz w:val="18"/>
                <w:szCs w:val="18"/>
                <w:color w:val="auto"/>
              </w:rPr>
            </w:pPr>
          </w:p>
        </w:tc>
        <w:tc>
          <w:tcPr>
            <w:tcW w:w="3560" w:type="dxa"/>
            <w:vAlign w:val="bottom"/>
            <w:tcBorders>
              <w:top w:val="single" w:sz="8" w:color="202020"/>
            </w:tcBorders>
          </w:tcPr>
          <w:p>
            <w:pPr>
              <w:spacing w:after="0"/>
              <w:rPr>
                <w:sz w:val="18"/>
                <w:szCs w:val="18"/>
                <w:color w:val="auto"/>
              </w:rPr>
            </w:pPr>
          </w:p>
        </w:tc>
        <w:tc>
          <w:tcPr>
            <w:tcW w:w="3220" w:type="dxa"/>
            <w:vAlign w:val="bottom"/>
            <w:tcBorders>
              <w:top w:val="single" w:sz="8" w:color="202020"/>
            </w:tcBorders>
          </w:tcPr>
          <w:p>
            <w:pPr>
              <w:spacing w:after="0"/>
              <w:rPr>
                <w:sz w:val="18"/>
                <w:szCs w:val="18"/>
                <w:color w:val="auto"/>
              </w:rPr>
            </w:pPr>
          </w:p>
        </w:tc>
      </w:tr>
      <w:tr>
        <w:trPr>
          <w:trHeight w:val="334"/>
        </w:trPr>
        <w:tc>
          <w:tcPr>
            <w:tcW w:w="3340" w:type="dxa"/>
            <w:vAlign w:val="bottom"/>
            <w:tcBorders>
              <w:bottom w:val="single" w:sz="8" w:color="CCCCCC"/>
            </w:tcBorders>
            <w:shd w:val="clear" w:color="auto" w:fill="CCCCCC"/>
          </w:tcPr>
          <w:p>
            <w:pPr>
              <w:jc w:val="center"/>
              <w:ind w:right="28"/>
              <w:spacing w:after="0"/>
              <w:rPr>
                <w:sz w:val="20"/>
                <w:szCs w:val="20"/>
                <w:color w:val="auto"/>
              </w:rPr>
            </w:pPr>
            <w:r>
              <w:rPr>
                <w:rFonts w:ascii="Arial" w:cs="Arial" w:eastAsia="Arial" w:hAnsi="Arial"/>
                <w:sz w:val="20"/>
                <w:szCs w:val="20"/>
                <w:b w:val="1"/>
                <w:bCs w:val="1"/>
                <w:color w:val="202020"/>
                <w:w w:val="99"/>
              </w:rPr>
              <w:t>DIANE C. YOUNG, M.D.</w:t>
            </w:r>
          </w:p>
        </w:tc>
        <w:tc>
          <w:tcPr>
            <w:tcW w:w="35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340" w:type="dxa"/>
            <w:vAlign w:val="bottom"/>
            <w:tcBorders>
              <w:top w:val="single" w:sz="8" w:color="202020"/>
            </w:tcBorders>
          </w:tcPr>
          <w:p>
            <w:pPr>
              <w:jc w:val="center"/>
              <w:ind w:right="28"/>
              <w:spacing w:after="0"/>
              <w:rPr>
                <w:sz w:val="20"/>
                <w:szCs w:val="20"/>
                <w:color w:val="auto"/>
              </w:rPr>
            </w:pPr>
            <w:r>
              <w:rPr>
                <w:rFonts w:ascii="Arial" w:cs="Arial" w:eastAsia="Arial" w:hAnsi="Arial"/>
                <w:sz w:val="18"/>
                <w:szCs w:val="18"/>
                <w:b w:val="1"/>
                <w:bCs w:val="1"/>
                <w:color w:val="202020"/>
              </w:rPr>
              <w:t>Senior Vice President,</w:t>
            </w:r>
          </w:p>
        </w:tc>
        <w:tc>
          <w:tcPr>
            <w:tcW w:w="356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44"/>
        </w:trPr>
        <w:tc>
          <w:tcPr>
            <w:tcW w:w="3340" w:type="dxa"/>
            <w:vAlign w:val="bottom"/>
          </w:tcPr>
          <w:p>
            <w:pPr>
              <w:jc w:val="center"/>
              <w:ind w:right="28"/>
              <w:spacing w:after="0"/>
              <w:rPr>
                <w:sz w:val="20"/>
                <w:szCs w:val="20"/>
                <w:color w:val="auto"/>
              </w:rPr>
            </w:pPr>
            <w:r>
              <w:rPr>
                <w:rFonts w:ascii="Arial" w:cs="Arial" w:eastAsia="Arial" w:hAnsi="Arial"/>
                <w:sz w:val="18"/>
                <w:szCs w:val="18"/>
                <w:b w:val="1"/>
                <w:bCs w:val="1"/>
                <w:color w:val="202020"/>
              </w:rPr>
              <w:t>Chief Medical Officer</w:t>
            </w:r>
          </w:p>
        </w:tc>
        <w:tc>
          <w:tcPr>
            <w:tcW w:w="356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48"/>
        </w:trPr>
        <w:tc>
          <w:tcPr>
            <w:tcW w:w="33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3220" w:type="dxa"/>
            <w:vAlign w:val="bottom"/>
          </w:tcPr>
          <w:p>
            <w:pPr>
              <w:spacing w:after="0"/>
              <w:rPr>
                <w:sz w:val="4"/>
                <w:szCs w:val="4"/>
                <w:color w:val="auto"/>
              </w:rPr>
            </w:pPr>
          </w:p>
        </w:tc>
      </w:tr>
      <w:tr>
        <w:trPr>
          <w:trHeight w:val="299"/>
        </w:trPr>
        <w:tc>
          <w:tcPr>
            <w:tcW w:w="3340" w:type="dxa"/>
            <w:vAlign w:val="bottom"/>
            <w:tcBorders>
              <w:bottom w:val="single" w:sz="8" w:color="E9E9E9"/>
            </w:tcBorders>
            <w:shd w:val="clear" w:color="auto" w:fill="E9E9E9"/>
          </w:tcPr>
          <w:p>
            <w:pPr>
              <w:jc w:val="center"/>
              <w:ind w:right="48"/>
              <w:spacing w:after="0"/>
              <w:rPr>
                <w:sz w:val="20"/>
                <w:szCs w:val="20"/>
                <w:color w:val="auto"/>
              </w:rPr>
            </w:pPr>
            <w:r>
              <w:rPr>
                <w:rFonts w:ascii="Arial" w:cs="Arial" w:eastAsia="Arial" w:hAnsi="Arial"/>
                <w:sz w:val="18"/>
                <w:szCs w:val="18"/>
                <w:color w:val="202020"/>
                <w:w w:val="96"/>
              </w:rPr>
              <w:t xml:space="preserve">Age: </w:t>
            </w:r>
            <w:r>
              <w:rPr>
                <w:rFonts w:ascii="Arial" w:cs="Arial" w:eastAsia="Arial" w:hAnsi="Arial"/>
                <w:sz w:val="18"/>
                <w:szCs w:val="18"/>
                <w:b w:val="1"/>
                <w:bCs w:val="1"/>
                <w:color w:val="202020"/>
                <w:w w:val="96"/>
              </w:rPr>
              <w:t>70</w:t>
            </w:r>
          </w:p>
        </w:tc>
        <w:tc>
          <w:tcPr>
            <w:tcW w:w="35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3340" w:type="dxa"/>
            <w:vAlign w:val="bottom"/>
            <w:shd w:val="clear" w:color="auto" w:fill="20202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341630</wp:posOffset>
                </wp:positionV>
                <wp:extent cx="0" cy="200215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0215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26.9pt" to="167.65pt,184.55pt" o:allowincell="f" strokecolor="#FFFFFF" strokeweight="14.9669pt"/>
            </w:pict>
          </mc:Fallback>
        </mc:AlternateConten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7"/>
              </w:rPr>
              <w:t>ANTHONY S. MARUCCI, 64</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Founder, President and CEO</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Vice President, Chief Financial</w:t>
            </w:r>
          </w:p>
        </w:tc>
        <w:tc>
          <w:tcPr>
            <w:tcW w:w="0" w:type="dxa"/>
            <w:vAlign w:val="bottom"/>
          </w:tcPr>
          <w:p>
            <w:pPr>
              <w:spacing w:after="0"/>
              <w:rPr>
                <w:sz w:val="1"/>
                <w:szCs w:val="1"/>
                <w:color w:val="auto"/>
              </w:rPr>
            </w:pPr>
          </w:p>
        </w:tc>
      </w:tr>
      <w:tr>
        <w:trPr>
          <w:trHeight w:val="217"/>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8"/>
                <w:szCs w:val="18"/>
                <w:color w:val="202020"/>
              </w:rPr>
              <w:t>Since September 2008</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Officer, Treasurer and Secretary</w:t>
            </w:r>
          </w:p>
        </w:tc>
        <w:tc>
          <w:tcPr>
            <w:tcW w:w="0" w:type="dxa"/>
            <w:vAlign w:val="bottom"/>
          </w:tcPr>
          <w:p>
            <w:pPr>
              <w:spacing w:after="0"/>
              <w:rPr>
                <w:sz w:val="1"/>
                <w:szCs w:val="1"/>
                <w:color w:val="auto"/>
              </w:rPr>
            </w:pPr>
          </w:p>
        </w:tc>
      </w:tr>
      <w:tr>
        <w:trPr>
          <w:trHeight w:val="181"/>
        </w:trPr>
        <w:tc>
          <w:tcPr>
            <w:tcW w:w="3360" w:type="dxa"/>
            <w:vAlign w:val="bottom"/>
            <w:vMerge w:val="continue"/>
            <w:shd w:val="clear" w:color="auto" w:fill="E9E9E9"/>
          </w:tcPr>
          <w:p>
            <w:pPr>
              <w:spacing w:after="0"/>
              <w:rPr>
                <w:sz w:val="15"/>
                <w:szCs w:val="15"/>
                <w:color w:val="auto"/>
              </w:rPr>
            </w:pPr>
          </w:p>
        </w:tc>
        <w:tc>
          <w:tcPr>
            <w:tcW w:w="3220" w:type="dxa"/>
            <w:vAlign w:val="bottom"/>
            <w:shd w:val="clear" w:color="auto" w:fill="E9E9E9"/>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color w:val="202020"/>
              </w:rPr>
              <w:t>(Director since December 2008)</w:t>
            </w:r>
          </w:p>
        </w:tc>
        <w:tc>
          <w:tcPr>
            <w:tcW w:w="3220" w:type="dxa"/>
            <w:vAlign w:val="bottom"/>
            <w:shd w:val="clear" w:color="auto" w:fill="E9E9E9"/>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3360" w:type="dxa"/>
            <w:vAlign w:val="bottom"/>
            <w:tcBorders>
              <w:bottom w:val="single" w:sz="8" w:color="202020"/>
            </w:tcBorders>
            <w:shd w:val="clear" w:color="auto" w:fill="E9E9E9"/>
          </w:tcPr>
          <w:p>
            <w:pPr>
              <w:spacing w:after="0"/>
              <w:rPr>
                <w:sz w:val="5"/>
                <w:szCs w:val="5"/>
                <w:color w:val="auto"/>
              </w:rPr>
            </w:pPr>
          </w:p>
        </w:tc>
        <w:tc>
          <w:tcPr>
            <w:tcW w:w="3220" w:type="dxa"/>
            <w:vAlign w:val="bottom"/>
            <w:tcBorders>
              <w:bottom w:val="single" w:sz="8" w:color="202020"/>
            </w:tcBorders>
            <w:shd w:val="clear" w:color="auto" w:fill="E9E9E9"/>
          </w:tcPr>
          <w:p>
            <w:pPr>
              <w:spacing w:after="0"/>
              <w:rPr>
                <w:sz w:val="5"/>
                <w:szCs w:val="5"/>
                <w:color w:val="auto"/>
              </w:rPr>
            </w:pPr>
          </w:p>
        </w:tc>
        <w:tc>
          <w:tcPr>
            <w:tcW w:w="3540" w:type="dxa"/>
            <w:vAlign w:val="bottom"/>
            <w:tcBorders>
              <w:bottom w:val="single" w:sz="8" w:color="202020"/>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Medarex</w:t>
            </w:r>
          </w:p>
        </w:tc>
        <w:tc>
          <w:tcPr>
            <w:tcW w:w="3540" w:type="dxa"/>
            <w:vAlign w:val="bottom"/>
          </w:tcPr>
          <w:p>
            <w:pPr>
              <w:ind w:left="240"/>
              <w:spacing w:after="0"/>
              <w:rPr>
                <w:sz w:val="20"/>
                <w:szCs w:val="20"/>
                <w:color w:val="auto"/>
              </w:rPr>
            </w:pPr>
            <w:r>
              <w:rPr>
                <w:rFonts w:ascii="Arial" w:cs="Arial" w:eastAsia="Arial" w:hAnsi="Arial"/>
                <w:sz w:val="16"/>
                <w:szCs w:val="16"/>
                <w:color w:val="202020"/>
              </w:rPr>
              <w:t>Treasurer (now a part of Bristol-Myers</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M.B.A. from Columbia University and</w:t>
            </w: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Squibb Co.) from December 1998 to</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M.H.L. from Brown University</w:t>
            </w: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March 2004 and senior financial positions</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from December 1998 to March 2003</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Genenta Science S.p.A.</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directors from May 2021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April 2024</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360" w:type="dxa"/>
            <w:vAlign w:val="bottom"/>
          </w:tcPr>
          <w:p>
            <w:pPr>
              <w:spacing w:after="0"/>
              <w:rPr>
                <w:sz w:val="23"/>
                <w:szCs w:val="23"/>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BioNJ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Board of Trustees</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100965</wp:posOffset>
                </wp:positionV>
                <wp:extent cx="0" cy="149542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9542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7.95pt" to="167.65pt,125.7pt" o:allowincell="f" strokecolor="#FFFFFF" strokeweight="14.9669pt"/>
            </w:pict>
          </mc:Fallback>
        </mc:AlternateConten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5"/>
              </w:rPr>
              <w:t>TIBOR KELER, PH.D., 67</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Founder, Executive Vice President</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Senior Vice President and Chief Scientific</w:t>
            </w:r>
          </w:p>
        </w:tc>
        <w:tc>
          <w:tcPr>
            <w:tcW w:w="0" w:type="dxa"/>
            <w:vAlign w:val="bottom"/>
          </w:tcPr>
          <w:p>
            <w:pPr>
              <w:spacing w:after="0"/>
              <w:rPr>
                <w:sz w:val="1"/>
                <w:szCs w:val="1"/>
                <w:color w:val="auto"/>
              </w:rPr>
            </w:pPr>
          </w:p>
        </w:tc>
      </w:tr>
      <w:tr>
        <w:trPr>
          <w:trHeight w:val="282"/>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and Chief Scientific Officer</w:t>
            </w: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Officer from March 2008 to July 2014</w:t>
            </w:r>
          </w:p>
        </w:tc>
        <w:tc>
          <w:tcPr>
            <w:tcW w:w="0" w:type="dxa"/>
            <w:vAlign w:val="bottom"/>
          </w:tcPr>
          <w:p>
            <w:pPr>
              <w:spacing w:after="0"/>
              <w:rPr>
                <w:sz w:val="1"/>
                <w:szCs w:val="1"/>
                <w:color w:val="auto"/>
              </w:rPr>
            </w:pPr>
          </w:p>
        </w:tc>
      </w:tr>
      <w:tr>
        <w:trPr>
          <w:trHeight w:val="237"/>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2014</w:t>
            </w:r>
          </w:p>
        </w:tc>
        <w:tc>
          <w:tcPr>
            <w:tcW w:w="3220" w:type="dxa"/>
            <w:vAlign w:val="bottom"/>
            <w:shd w:val="clear" w:color="auto" w:fill="E9E9E9"/>
          </w:tcPr>
          <w:p>
            <w:pPr>
              <w:spacing w:after="0"/>
              <w:rPr>
                <w:sz w:val="20"/>
                <w:szCs w:val="20"/>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Vice President, Research and Discovery</w:t>
            </w:r>
          </w:p>
        </w:tc>
        <w:tc>
          <w:tcPr>
            <w:tcW w:w="0" w:type="dxa"/>
            <w:vAlign w:val="bottom"/>
          </w:tcPr>
          <w:p>
            <w:pPr>
              <w:spacing w:after="0"/>
              <w:rPr>
                <w:sz w:val="1"/>
                <w:szCs w:val="1"/>
                <w:color w:val="auto"/>
              </w:rPr>
            </w:pPr>
          </w:p>
        </w:tc>
      </w:tr>
      <w:tr>
        <w:trPr>
          <w:trHeight w:val="77"/>
        </w:trPr>
        <w:tc>
          <w:tcPr>
            <w:tcW w:w="3360" w:type="dxa"/>
            <w:vAlign w:val="bottom"/>
            <w:vMerge w:val="continue"/>
            <w:shd w:val="clear" w:color="auto" w:fill="E9E9E9"/>
          </w:tcPr>
          <w:p>
            <w:pPr>
              <w:spacing w:after="0"/>
              <w:rPr>
                <w:sz w:val="6"/>
                <w:szCs w:val="6"/>
                <w:color w:val="auto"/>
              </w:rPr>
            </w:pPr>
          </w:p>
        </w:tc>
        <w:tc>
          <w:tcPr>
            <w:tcW w:w="3220" w:type="dxa"/>
            <w:vAlign w:val="bottom"/>
            <w:shd w:val="clear" w:color="auto" w:fill="E9E9E9"/>
          </w:tcPr>
          <w:p>
            <w:pPr>
              <w:spacing w:after="0"/>
              <w:rPr>
                <w:sz w:val="6"/>
                <w:szCs w:val="6"/>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and Chief Scientific Officer from May 2003</w:t>
            </w:r>
          </w:p>
        </w:tc>
        <w:tc>
          <w:tcPr>
            <w:tcW w:w="0" w:type="dxa"/>
            <w:vAlign w:val="bottom"/>
          </w:tcPr>
          <w:p>
            <w:pPr>
              <w:spacing w:after="0"/>
              <w:rPr>
                <w:sz w:val="1"/>
                <w:szCs w:val="1"/>
                <w:color w:val="auto"/>
              </w:rPr>
            </w:pPr>
          </w:p>
        </w:tc>
      </w:tr>
      <w:tr>
        <w:trPr>
          <w:trHeight w:val="123"/>
        </w:trPr>
        <w:tc>
          <w:tcPr>
            <w:tcW w:w="3360" w:type="dxa"/>
            <w:vAlign w:val="bottom"/>
            <w:shd w:val="clear" w:color="auto" w:fill="E9E9E9"/>
          </w:tcPr>
          <w:p>
            <w:pPr>
              <w:spacing w:after="0"/>
              <w:rPr>
                <w:sz w:val="10"/>
                <w:szCs w:val="10"/>
                <w:color w:val="auto"/>
              </w:rPr>
            </w:pP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to March 2008</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Medarex</w:t>
            </w:r>
          </w:p>
        </w:tc>
        <w:tc>
          <w:tcPr>
            <w:tcW w:w="3540" w:type="dxa"/>
            <w:vAlign w:val="bottom"/>
          </w:tcPr>
          <w:p>
            <w:pPr>
              <w:ind w:left="220"/>
              <w:spacing w:after="0"/>
              <w:rPr>
                <w:sz w:val="20"/>
                <w:szCs w:val="20"/>
                <w:color w:val="auto"/>
              </w:rPr>
            </w:pPr>
            <w:r>
              <w:rPr>
                <w:rFonts w:ascii="Arial" w:cs="Arial" w:eastAsia="Arial" w:hAnsi="Arial"/>
                <w:sz w:val="16"/>
                <w:szCs w:val="16"/>
                <w:color w:val="202020"/>
              </w:rPr>
              <w:t>Senior Director of Preclinical Development</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Ph.D. in Microbiology from the</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and Principal Scientist from</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 of Pennsylvania</w:t>
            </w:r>
          </w:p>
        </w:tc>
        <w:tc>
          <w:tcPr>
            <w:tcW w:w="3220" w:type="dxa"/>
            <w:vAlign w:val="bottom"/>
            <w:tcBorders>
              <w:bottom w:val="single" w:sz="8" w:color="E9E9E9"/>
            </w:tcBorders>
            <w:shd w:val="clear" w:color="auto" w:fill="E9E9E9"/>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September 1993 to March 2004</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22 |</w:t>
        <w:tab/>
        <w:t>Celldex Therapeutics</w:t>
      </w:r>
    </w:p>
    <w:p>
      <w:pPr>
        <w:sectPr>
          <w:pgSz w:w="11880" w:h="15480" w:orient="portrait"/>
          <w:cols w:equalWidth="0" w:num="1">
            <w:col w:w="10120"/>
          </w:cols>
          <w:pgMar w:left="880" w:top="544" w:right="880" w:bottom="96"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ind w:left="2220"/>
              <w:spacing w:after="0"/>
              <w:rPr>
                <w:sz w:val="20"/>
                <w:szCs w:val="20"/>
                <w:color w:val="auto"/>
              </w:rPr>
            </w:pPr>
            <w:r>
              <w:rPr>
                <w:rFonts w:ascii="Arial" w:cs="Arial" w:eastAsia="Arial" w:hAnsi="Arial"/>
                <w:sz w:val="16"/>
                <w:szCs w:val="16"/>
                <w:color w:val="202020"/>
              </w:rPr>
              <w:t>Executive Officers</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5"/>
              </w:rPr>
              <w:t>SARAH CAVANAUGH, 51</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 Corporate</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Investor Relations and</w:t>
            </w:r>
          </w:p>
        </w:tc>
        <w:tc>
          <w:tcPr>
            <w:tcW w:w="0" w:type="dxa"/>
            <w:vAlign w:val="bottom"/>
          </w:tcPr>
          <w:p>
            <w:pPr>
              <w:spacing w:after="0"/>
              <w:rPr>
                <w:sz w:val="1"/>
                <w:szCs w:val="1"/>
                <w:color w:val="auto"/>
              </w:rPr>
            </w:pPr>
          </w:p>
        </w:tc>
      </w:tr>
      <w:tr>
        <w:trPr>
          <w:trHeight w:val="230"/>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Affairs and Administration</w:t>
            </w:r>
          </w:p>
        </w:tc>
        <w:tc>
          <w:tcPr>
            <w:tcW w:w="3220" w:type="dxa"/>
            <w:vAlign w:val="bottom"/>
            <w:shd w:val="clear" w:color="auto" w:fill="E9E9E9"/>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Corporate Communications from</w:t>
            </w:r>
          </w:p>
        </w:tc>
        <w:tc>
          <w:tcPr>
            <w:tcW w:w="0" w:type="dxa"/>
            <w:vAlign w:val="bottom"/>
          </w:tcPr>
          <w:p>
            <w:pPr>
              <w:spacing w:after="0"/>
              <w:rPr>
                <w:sz w:val="1"/>
                <w:szCs w:val="1"/>
                <w:color w:val="auto"/>
              </w:rPr>
            </w:pPr>
          </w:p>
        </w:tc>
      </w:tr>
      <w:tr>
        <w:trPr>
          <w:trHeight w:val="259"/>
        </w:trPr>
        <w:tc>
          <w:tcPr>
            <w:tcW w:w="3360" w:type="dxa"/>
            <w:vAlign w:val="bottom"/>
            <w:tcBorders>
              <w:bottom w:val="single" w:sz="8" w:color="E9E9E9"/>
            </w:tcBorders>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2017</w:t>
            </w:r>
          </w:p>
        </w:tc>
        <w:tc>
          <w:tcPr>
            <w:tcW w:w="3220" w:type="dxa"/>
            <w:vAlign w:val="bottom"/>
            <w:tcBorders>
              <w:bottom w:val="single" w:sz="8" w:color="E9E9E9"/>
            </w:tcBorders>
            <w:shd w:val="clear" w:color="auto" w:fill="E9E9E9"/>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August 2012 to June 2017</w:t>
            </w:r>
          </w:p>
        </w:tc>
        <w:tc>
          <w:tcPr>
            <w:tcW w:w="0" w:type="dxa"/>
            <w:vAlign w:val="bottom"/>
          </w:tcPr>
          <w:p>
            <w:pPr>
              <w:spacing w:after="0"/>
              <w:rPr>
                <w:sz w:val="1"/>
                <w:szCs w:val="1"/>
                <w:color w:val="auto"/>
              </w:rPr>
            </w:pPr>
          </w:p>
        </w:tc>
      </w:tr>
      <w:tr>
        <w:trPr>
          <w:trHeight w:val="86"/>
        </w:trPr>
        <w:tc>
          <w:tcPr>
            <w:tcW w:w="3360" w:type="dxa"/>
            <w:vAlign w:val="bottom"/>
            <w:tcBorders>
              <w:top w:val="single" w:sz="8" w:color="E9E9E9"/>
            </w:tcBorders>
            <w:vMerge w:val="continue"/>
            <w:shd w:val="clear" w:color="auto" w:fill="E9E9E9"/>
          </w:tcPr>
          <w:p>
            <w:pPr>
              <w:spacing w:after="0"/>
              <w:rPr>
                <w:sz w:val="7"/>
                <w:szCs w:val="7"/>
                <w:color w:val="auto"/>
              </w:rPr>
            </w:pPr>
          </w:p>
        </w:tc>
        <w:tc>
          <w:tcPr>
            <w:tcW w:w="3220" w:type="dxa"/>
            <w:vAlign w:val="bottom"/>
            <w:tcBorders>
              <w:top w:val="single" w:sz="8" w:color="202020"/>
            </w:tcBorders>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MacDougall Biomedical</w:t>
            </w:r>
          </w:p>
        </w:tc>
        <w:tc>
          <w:tcPr>
            <w:tcW w:w="3540" w:type="dxa"/>
            <w:vAlign w:val="bottom"/>
            <w:tcBorders>
              <w:top w:val="single" w:sz="8" w:color="202020"/>
            </w:tcBorders>
            <w:vMerge w:val="restart"/>
          </w:tcPr>
          <w:p>
            <w:pPr>
              <w:ind w:left="220"/>
              <w:spacing w:after="0"/>
              <w:rPr>
                <w:sz w:val="20"/>
                <w:szCs w:val="20"/>
                <w:color w:val="auto"/>
              </w:rPr>
            </w:pPr>
            <w:r>
              <w:rPr>
                <w:rFonts w:ascii="Arial" w:cs="Arial" w:eastAsia="Arial" w:hAnsi="Arial"/>
                <w:sz w:val="16"/>
                <w:szCs w:val="16"/>
                <w:color w:val="202020"/>
              </w:rPr>
              <w:t>Vice President from 2007 to 2012</w:t>
            </w:r>
          </w:p>
        </w:tc>
        <w:tc>
          <w:tcPr>
            <w:tcW w:w="0" w:type="dxa"/>
            <w:vAlign w:val="bottom"/>
          </w:tcPr>
          <w:p>
            <w:pPr>
              <w:spacing w:after="0"/>
              <w:rPr>
                <w:sz w:val="1"/>
                <w:szCs w:val="1"/>
                <w:color w:val="auto"/>
              </w:rPr>
            </w:pPr>
          </w:p>
        </w:tc>
      </w:tr>
      <w:tr>
        <w:trPr>
          <w:trHeight w:val="153"/>
        </w:trPr>
        <w:tc>
          <w:tcPr>
            <w:tcW w:w="3360" w:type="dxa"/>
            <w:vAlign w:val="bottom"/>
            <w:shd w:val="clear" w:color="auto" w:fill="E9E9E9"/>
          </w:tcPr>
          <w:p>
            <w:pPr>
              <w:spacing w:after="0"/>
              <w:rPr>
                <w:sz w:val="13"/>
                <w:szCs w:val="13"/>
                <w:color w:val="auto"/>
              </w:rPr>
            </w:pPr>
          </w:p>
        </w:tc>
        <w:tc>
          <w:tcPr>
            <w:tcW w:w="3220" w:type="dxa"/>
            <w:vAlign w:val="bottom"/>
            <w:vMerge w:val="continue"/>
            <w:shd w:val="clear" w:color="auto" w:fill="E9E9E9"/>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Communications</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Point Therapeutics,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Director of Corporate</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B.A. from the University of</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Communications</w:t>
            </w: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New Hampshire</w:t>
            </w:r>
          </w:p>
        </w:tc>
        <w:tc>
          <w:tcPr>
            <w:tcW w:w="3220" w:type="dxa"/>
            <w:vAlign w:val="bottom"/>
            <w:tcBorders>
              <w:bottom w:val="single" w:sz="8" w:color="202020"/>
            </w:tcBorders>
            <w:shd w:val="clear" w:color="auto" w:fill="E9E9E9"/>
          </w:tcPr>
          <w:p>
            <w:pPr>
              <w:spacing w:after="0"/>
              <w:rPr>
                <w:sz w:val="7"/>
                <w:szCs w:val="7"/>
                <w:color w:val="auto"/>
              </w:rPr>
            </w:pPr>
          </w:p>
        </w:tc>
        <w:tc>
          <w:tcPr>
            <w:tcW w:w="3540" w:type="dxa"/>
            <w:vAlign w:val="bottom"/>
            <w:tcBorders>
              <w:bottom w:val="single" w:sz="8" w:color="202020"/>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360" w:type="dxa"/>
            <w:vAlign w:val="bottom"/>
            <w:vMerge w:val="continue"/>
          </w:tcPr>
          <w:p>
            <w:pPr>
              <w:spacing w:after="0"/>
              <w:rPr>
                <w:sz w:val="9"/>
                <w:szCs w:val="9"/>
                <w:color w:val="auto"/>
              </w:rPr>
            </w:pPr>
          </w:p>
        </w:tc>
        <w:tc>
          <w:tcPr>
            <w:tcW w:w="3220" w:type="dxa"/>
            <w:vAlign w:val="bottom"/>
            <w:vMerge w:val="restart"/>
            <w:shd w:val="clear" w:color="auto" w:fill="E9E9E9"/>
          </w:tcPr>
          <w:p>
            <w:pPr>
              <w:ind w:left="320"/>
              <w:spacing w:after="0"/>
              <w:rPr>
                <w:sz w:val="20"/>
                <w:szCs w:val="20"/>
                <w:color w:val="auto"/>
              </w:rPr>
            </w:pPr>
            <w:r>
              <w:rPr>
                <w:rFonts w:ascii="Arial" w:cs="Arial" w:eastAsia="Arial" w:hAnsi="Arial"/>
                <w:sz w:val="16"/>
                <w:szCs w:val="16"/>
                <w:b w:val="1"/>
                <w:bCs w:val="1"/>
                <w:color w:val="202020"/>
              </w:rPr>
              <w:t>Fallon Community Health Plan</w:t>
            </w:r>
          </w:p>
        </w:tc>
        <w:tc>
          <w:tcPr>
            <w:tcW w:w="3540" w:type="dxa"/>
            <w:vAlign w:val="bottom"/>
            <w:vMerge w:val="restart"/>
          </w:tcPr>
          <w:p>
            <w:pPr>
              <w:ind w:left="220"/>
              <w:spacing w:after="0"/>
              <w:rPr>
                <w:sz w:val="20"/>
                <w:szCs w:val="20"/>
                <w:color w:val="auto"/>
              </w:rPr>
            </w:pPr>
            <w:r>
              <w:rPr>
                <w:rFonts w:ascii="Arial" w:cs="Arial" w:eastAsia="Arial" w:hAnsi="Arial"/>
                <w:sz w:val="16"/>
                <w:szCs w:val="16"/>
                <w:color w:val="202020"/>
              </w:rPr>
              <w:t>Former Director of Corporate</w:t>
            </w: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3220" w:type="dxa"/>
            <w:vAlign w:val="bottom"/>
            <w:vMerge w:val="continue"/>
            <w:shd w:val="clear" w:color="auto" w:fill="E9E9E9"/>
          </w:tcPr>
          <w:p>
            <w:pPr>
              <w:spacing w:after="0"/>
              <w:rPr>
                <w:sz w:val="11"/>
                <w:szCs w:val="11"/>
                <w:color w:val="auto"/>
              </w:rPr>
            </w:pPr>
          </w:p>
        </w:tc>
        <w:tc>
          <w:tcPr>
            <w:tcW w:w="3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Communications</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American Cancer Society</w:t>
            </w:r>
          </w:p>
        </w:tc>
        <w:tc>
          <w:tcPr>
            <w:tcW w:w="3540" w:type="dxa"/>
            <w:vAlign w:val="bottom"/>
          </w:tcPr>
          <w:p>
            <w:pPr>
              <w:ind w:left="220"/>
              <w:spacing w:after="0"/>
              <w:rPr>
                <w:sz w:val="20"/>
                <w:szCs w:val="20"/>
                <w:color w:val="auto"/>
              </w:rPr>
            </w:pPr>
            <w:r>
              <w:rPr>
                <w:rFonts w:ascii="Arial" w:cs="Arial" w:eastAsia="Arial" w:hAnsi="Arial"/>
                <w:sz w:val="16"/>
                <w:szCs w:val="16"/>
                <w:color w:val="202020"/>
              </w:rPr>
              <w:t>Various former positions including Division</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Communications and Marketing Director</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220" w:type="dxa"/>
            <w:vAlign w:val="bottom"/>
            <w:tcBorders>
              <w:bottom w:val="single" w:sz="8" w:color="E9E9E9"/>
            </w:tcBorders>
            <w:shd w:val="clear" w:color="auto" w:fill="E9E9E9"/>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for the Mid-South Division</w:t>
            </w:r>
          </w:p>
        </w:tc>
        <w:tc>
          <w:tcPr>
            <w:tcW w:w="0" w:type="dxa"/>
            <w:vAlign w:val="bottom"/>
          </w:tcPr>
          <w:p>
            <w:pPr>
              <w:spacing w:after="0"/>
              <w:rPr>
                <w:sz w:val="1"/>
                <w:szCs w:val="1"/>
                <w:color w:val="auto"/>
              </w:rPr>
            </w:pPr>
          </w:p>
        </w:tc>
      </w:tr>
      <w:tr>
        <w:trPr>
          <w:trHeight w:val="150"/>
        </w:trPr>
        <w:tc>
          <w:tcPr>
            <w:tcW w:w="3360" w:type="dxa"/>
            <w:vAlign w:val="bottom"/>
            <w:tcBorders>
              <w:top w:val="single" w:sz="8" w:color="202020"/>
            </w:tcBorders>
          </w:tcPr>
          <w:p>
            <w:pPr>
              <w:spacing w:after="0"/>
              <w:rPr>
                <w:sz w:val="13"/>
                <w:szCs w:val="13"/>
                <w:color w:val="auto"/>
              </w:rPr>
            </w:pPr>
          </w:p>
        </w:tc>
        <w:tc>
          <w:tcPr>
            <w:tcW w:w="3220" w:type="dxa"/>
            <w:vAlign w:val="bottom"/>
            <w:tcBorders>
              <w:top w:val="single" w:sz="8" w:color="202020"/>
            </w:tcBorders>
          </w:tcPr>
          <w:p>
            <w:pPr>
              <w:spacing w:after="0"/>
              <w:rPr>
                <w:sz w:val="13"/>
                <w:szCs w:val="13"/>
                <w:color w:val="auto"/>
              </w:rPr>
            </w:pPr>
          </w:p>
        </w:tc>
        <w:tc>
          <w:tcPr>
            <w:tcW w:w="3540" w:type="dxa"/>
            <w:vAlign w:val="bottom"/>
            <w:tcBorders>
              <w:top w:val="single" w:sz="8" w:color="202020"/>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3"/>
              </w:rPr>
              <w:t>ELIZABETH CROWLEY, 54</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 and Chief</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Senior Vice President, Product</w:t>
            </w:r>
          </w:p>
        </w:tc>
        <w:tc>
          <w:tcPr>
            <w:tcW w:w="0" w:type="dxa"/>
            <w:vAlign w:val="bottom"/>
          </w:tcPr>
          <w:p>
            <w:pPr>
              <w:spacing w:after="0"/>
              <w:rPr>
                <w:sz w:val="1"/>
                <w:szCs w:val="1"/>
                <w:color w:val="auto"/>
              </w:rPr>
            </w:pPr>
          </w:p>
        </w:tc>
      </w:tr>
      <w:tr>
        <w:trPr>
          <w:trHeight w:val="230"/>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Product Development Officer</w:t>
            </w:r>
          </w:p>
        </w:tc>
        <w:tc>
          <w:tcPr>
            <w:tcW w:w="3220" w:type="dxa"/>
            <w:vAlign w:val="bottom"/>
            <w:shd w:val="clear" w:color="auto" w:fill="E9E9E9"/>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Development from July 2014 to</w:t>
            </w:r>
          </w:p>
        </w:tc>
        <w:tc>
          <w:tcPr>
            <w:tcW w:w="0" w:type="dxa"/>
            <w:vAlign w:val="bottom"/>
          </w:tcPr>
          <w:p>
            <w:pPr>
              <w:spacing w:after="0"/>
              <w:rPr>
                <w:sz w:val="1"/>
                <w:szCs w:val="1"/>
                <w:color w:val="auto"/>
              </w:rPr>
            </w:pPr>
          </w:p>
        </w:tc>
      </w:tr>
      <w:tr>
        <w:trPr>
          <w:trHeight w:val="217"/>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2016</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August 2016</w:t>
            </w:r>
          </w:p>
        </w:tc>
        <w:tc>
          <w:tcPr>
            <w:tcW w:w="0" w:type="dxa"/>
            <w:vAlign w:val="bottom"/>
          </w:tcPr>
          <w:p>
            <w:pPr>
              <w:spacing w:after="0"/>
              <w:rPr>
                <w:sz w:val="1"/>
                <w:szCs w:val="1"/>
                <w:color w:val="auto"/>
              </w:rPr>
            </w:pPr>
          </w:p>
        </w:tc>
      </w:tr>
      <w:tr>
        <w:trPr>
          <w:trHeight w:val="149"/>
        </w:trPr>
        <w:tc>
          <w:tcPr>
            <w:tcW w:w="3360" w:type="dxa"/>
            <w:vAlign w:val="bottom"/>
            <w:vMerge w:val="continue"/>
            <w:shd w:val="clear" w:color="auto" w:fill="E9E9E9"/>
          </w:tcPr>
          <w:p>
            <w:pPr>
              <w:spacing w:after="0"/>
              <w:rPr>
                <w:sz w:val="12"/>
                <w:szCs w:val="12"/>
                <w:color w:val="auto"/>
              </w:rPr>
            </w:pPr>
          </w:p>
        </w:tc>
        <w:tc>
          <w:tcPr>
            <w:tcW w:w="3220" w:type="dxa"/>
            <w:vAlign w:val="bottom"/>
            <w:shd w:val="clear" w:color="auto" w:fill="E9E9E9"/>
          </w:tcPr>
          <w:p>
            <w:pPr>
              <w:spacing w:after="0"/>
              <w:rPr>
                <w:sz w:val="12"/>
                <w:szCs w:val="12"/>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Vice President, Clinical Development from</w:t>
            </w:r>
          </w:p>
        </w:tc>
        <w:tc>
          <w:tcPr>
            <w:tcW w:w="0" w:type="dxa"/>
            <w:vAlign w:val="bottom"/>
          </w:tcPr>
          <w:p>
            <w:pPr>
              <w:spacing w:after="0"/>
              <w:rPr>
                <w:sz w:val="1"/>
                <w:szCs w:val="1"/>
                <w:color w:val="auto"/>
              </w:rPr>
            </w:pPr>
          </w:p>
        </w:tc>
      </w:tr>
      <w:tr>
        <w:trPr>
          <w:trHeight w:val="123"/>
        </w:trPr>
        <w:tc>
          <w:tcPr>
            <w:tcW w:w="3360" w:type="dxa"/>
            <w:vAlign w:val="bottom"/>
            <w:shd w:val="clear" w:color="auto" w:fill="E9E9E9"/>
          </w:tcPr>
          <w:p>
            <w:pPr>
              <w:spacing w:after="0"/>
              <w:rPr>
                <w:sz w:val="10"/>
                <w:szCs w:val="10"/>
                <w:color w:val="auto"/>
              </w:rPr>
            </w:pP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2009 to July 2014</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CuraGen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Held several senior level roles, most</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B.S. in Chemistry with a concentration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recently serving as the Vice President of</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in Business from Boston College</w:t>
            </w: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Development Operations</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Bayer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Held several roles in clinical research and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project management, most recently</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serving as the Director of Global Study</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220" w:type="dxa"/>
            <w:vAlign w:val="bottom"/>
            <w:tcBorders>
              <w:bottom w:val="single" w:sz="8" w:color="E9E9E9"/>
            </w:tcBorders>
            <w:shd w:val="clear" w:color="auto" w:fill="E9E9E9"/>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Audit Management</w:t>
            </w:r>
          </w:p>
        </w:tc>
        <w:tc>
          <w:tcPr>
            <w:tcW w:w="0" w:type="dxa"/>
            <w:vAlign w:val="bottom"/>
          </w:tcPr>
          <w:p>
            <w:pPr>
              <w:spacing w:after="0"/>
              <w:rPr>
                <w:sz w:val="1"/>
                <w:szCs w:val="1"/>
                <w:color w:val="auto"/>
              </w:rPr>
            </w:pPr>
          </w:p>
        </w:tc>
      </w:tr>
      <w:tr>
        <w:trPr>
          <w:trHeight w:val="150"/>
        </w:trPr>
        <w:tc>
          <w:tcPr>
            <w:tcW w:w="3360" w:type="dxa"/>
            <w:vAlign w:val="bottom"/>
            <w:tcBorders>
              <w:top w:val="single" w:sz="8" w:color="202020"/>
            </w:tcBorders>
          </w:tcPr>
          <w:p>
            <w:pPr>
              <w:spacing w:after="0"/>
              <w:rPr>
                <w:sz w:val="13"/>
                <w:szCs w:val="13"/>
                <w:color w:val="auto"/>
              </w:rPr>
            </w:pPr>
          </w:p>
        </w:tc>
        <w:tc>
          <w:tcPr>
            <w:tcW w:w="3220" w:type="dxa"/>
            <w:vAlign w:val="bottom"/>
            <w:tcBorders>
              <w:top w:val="single" w:sz="8" w:color="202020"/>
            </w:tcBorders>
          </w:tcPr>
          <w:p>
            <w:pPr>
              <w:spacing w:after="0"/>
              <w:rPr>
                <w:sz w:val="13"/>
                <w:szCs w:val="13"/>
                <w:color w:val="auto"/>
              </w:rPr>
            </w:pPr>
          </w:p>
        </w:tc>
        <w:tc>
          <w:tcPr>
            <w:tcW w:w="3540" w:type="dxa"/>
            <w:vAlign w:val="bottom"/>
            <w:tcBorders>
              <w:top w:val="single" w:sz="8" w:color="202020"/>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3360" w:type="dxa"/>
            <w:vAlign w:val="bottom"/>
            <w:shd w:val="clear" w:color="auto" w:fill="8F8F8F"/>
          </w:tcPr>
          <w:p>
            <w:pPr>
              <w:jc w:val="center"/>
              <w:spacing w:after="0"/>
              <w:rPr>
                <w:sz w:val="20"/>
                <w:szCs w:val="20"/>
                <w:color w:val="auto"/>
              </w:rPr>
            </w:pPr>
            <w:r>
              <w:rPr>
                <w:rFonts w:ascii="Arial" w:cs="Arial" w:eastAsia="Arial" w:hAnsi="Arial"/>
                <w:sz w:val="22"/>
                <w:szCs w:val="22"/>
                <w:b w:val="1"/>
                <w:bCs w:val="1"/>
                <w:color w:val="FFFFFF"/>
                <w:w w:val="96"/>
              </w:rPr>
              <w:t>MARGO HEATH-</w:t>
            </w:r>
          </w:p>
        </w:tc>
        <w:tc>
          <w:tcPr>
            <w:tcW w:w="3220" w:type="dxa"/>
            <w:vAlign w:val="bottom"/>
            <w:vMerge w:val="restart"/>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360" w:type="dxa"/>
            <w:vAlign w:val="bottom"/>
            <w:vMerge w:val="restart"/>
            <w:shd w:val="clear" w:color="auto" w:fill="8F8F8F"/>
          </w:tcPr>
          <w:p>
            <w:pPr>
              <w:jc w:val="center"/>
              <w:spacing w:after="0"/>
              <w:rPr>
                <w:sz w:val="20"/>
                <w:szCs w:val="20"/>
                <w:color w:val="auto"/>
              </w:rPr>
            </w:pPr>
            <w:r>
              <w:rPr>
                <w:rFonts w:ascii="Arial" w:cs="Arial" w:eastAsia="Arial" w:hAnsi="Arial"/>
                <w:sz w:val="22"/>
                <w:szCs w:val="22"/>
                <w:b w:val="1"/>
                <w:bCs w:val="1"/>
                <w:color w:val="FFFFFF"/>
              </w:rPr>
              <w:t>CHIOZZI, M.D., 69</w:t>
            </w:r>
          </w:p>
        </w:tc>
        <w:tc>
          <w:tcPr>
            <w:tcW w:w="3220" w:type="dxa"/>
            <w:vAlign w:val="bottom"/>
            <w:vMerge w:val="continue"/>
            <w:shd w:val="clear" w:color="auto" w:fill="8F8F8F"/>
          </w:tcPr>
          <w:p>
            <w:pPr>
              <w:spacing w:after="0"/>
              <w:rPr>
                <w:sz w:val="14"/>
                <w:szCs w:val="14"/>
                <w:color w:val="auto"/>
              </w:rPr>
            </w:pPr>
          </w:p>
        </w:tc>
        <w:tc>
          <w:tcPr>
            <w:tcW w:w="3540" w:type="dxa"/>
            <w:vAlign w:val="bottom"/>
            <w:shd w:val="clear" w:color="auto" w:fill="8F8F8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Borders>
              <w:bottom w:val="single" w:sz="8" w:color="8F8F8F"/>
            </w:tcBorders>
            <w:vMerge w:val="continue"/>
            <w:shd w:val="clear" w:color="auto" w:fill="8F8F8F"/>
          </w:tcPr>
          <w:p>
            <w:pPr>
              <w:spacing w:after="0"/>
              <w:rPr>
                <w:sz w:val="14"/>
                <w:szCs w:val="14"/>
                <w:color w:val="auto"/>
              </w:rPr>
            </w:pPr>
          </w:p>
        </w:tc>
        <w:tc>
          <w:tcPr>
            <w:tcW w:w="3220" w:type="dxa"/>
            <w:vAlign w:val="bottom"/>
            <w:tcBorders>
              <w:bottom w:val="single" w:sz="8" w:color="8F8F8F"/>
            </w:tcBorders>
            <w:shd w:val="clear" w:color="auto" w:fill="8F8F8F"/>
          </w:tcPr>
          <w:p>
            <w:pPr>
              <w:spacing w:after="0"/>
              <w:rPr>
                <w:sz w:val="14"/>
                <w:szCs w:val="14"/>
                <w:color w:val="auto"/>
              </w:rPr>
            </w:pPr>
          </w:p>
        </w:tc>
        <w:tc>
          <w:tcPr>
            <w:tcW w:w="3540" w:type="dxa"/>
            <w:vAlign w:val="bottom"/>
            <w:tcBorders>
              <w:bottom w:val="single" w:sz="8" w:color="8F8F8F"/>
            </w:tcBorders>
            <w:shd w:val="clear" w:color="auto" w:fill="8F8F8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Bristol-Myers Squibb Company</w:t>
            </w:r>
          </w:p>
        </w:tc>
        <w:tc>
          <w:tcPr>
            <w:tcW w:w="3540" w:type="dxa"/>
            <w:vAlign w:val="bottom"/>
          </w:tcPr>
          <w:p>
            <w:pPr>
              <w:ind w:left="220"/>
              <w:spacing w:after="0"/>
              <w:rPr>
                <w:sz w:val="20"/>
                <w:szCs w:val="20"/>
                <w:color w:val="auto"/>
              </w:rPr>
            </w:pPr>
            <w:r>
              <w:rPr>
                <w:rFonts w:ascii="Arial" w:cs="Arial" w:eastAsia="Arial" w:hAnsi="Arial"/>
                <w:sz w:val="16"/>
                <w:szCs w:val="16"/>
                <w:color w:val="202020"/>
              </w:rPr>
              <w:t>Served as Executive Director, Global</w:t>
            </w:r>
          </w:p>
        </w:tc>
        <w:tc>
          <w:tcPr>
            <w:tcW w:w="0" w:type="dxa"/>
            <w:vAlign w:val="bottom"/>
          </w:tcPr>
          <w:p>
            <w:pPr>
              <w:spacing w:after="0"/>
              <w:rPr>
                <w:sz w:val="1"/>
                <w:szCs w:val="1"/>
                <w:color w:val="auto"/>
              </w:rPr>
            </w:pPr>
          </w:p>
        </w:tc>
      </w:tr>
      <w:tr>
        <w:trPr>
          <w:trHeight w:val="230"/>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Regulatory Affairs</w:t>
            </w:r>
          </w:p>
        </w:tc>
        <w:tc>
          <w:tcPr>
            <w:tcW w:w="3220" w:type="dxa"/>
            <w:vAlign w:val="bottom"/>
            <w:shd w:val="clear" w:color="auto" w:fill="E9E9E9"/>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Regulatory Sciences; Vice President, Global</w:t>
            </w:r>
          </w:p>
        </w:tc>
        <w:tc>
          <w:tcPr>
            <w:tcW w:w="0" w:type="dxa"/>
            <w:vAlign w:val="bottom"/>
          </w:tcPr>
          <w:p>
            <w:pPr>
              <w:spacing w:after="0"/>
              <w:rPr>
                <w:sz w:val="1"/>
                <w:szCs w:val="1"/>
                <w:color w:val="auto"/>
              </w:rPr>
            </w:pPr>
          </w:p>
        </w:tc>
      </w:tr>
      <w:tr>
        <w:trPr>
          <w:trHeight w:val="169"/>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2017</w:t>
            </w:r>
          </w:p>
        </w:tc>
        <w:tc>
          <w:tcPr>
            <w:tcW w:w="3220" w:type="dxa"/>
            <w:vAlign w:val="bottom"/>
            <w:shd w:val="clear" w:color="auto" w:fill="E9E9E9"/>
          </w:tcPr>
          <w:p>
            <w:pPr>
              <w:spacing w:after="0"/>
              <w:rPr>
                <w:sz w:val="14"/>
                <w:szCs w:val="14"/>
                <w:color w:val="auto"/>
              </w:rPr>
            </w:pPr>
          </w:p>
        </w:tc>
        <w:tc>
          <w:tcPr>
            <w:tcW w:w="3540" w:type="dxa"/>
            <w:vAlign w:val="bottom"/>
          </w:tcPr>
          <w:p>
            <w:pPr>
              <w:ind w:left="220"/>
              <w:spacing w:after="0" w:line="169" w:lineRule="exact"/>
              <w:rPr>
                <w:sz w:val="20"/>
                <w:szCs w:val="20"/>
                <w:color w:val="auto"/>
              </w:rPr>
            </w:pPr>
            <w:r>
              <w:rPr>
                <w:rFonts w:ascii="Arial" w:cs="Arial" w:eastAsia="Arial" w:hAnsi="Arial"/>
                <w:sz w:val="16"/>
                <w:szCs w:val="16"/>
                <w:color w:val="202020"/>
              </w:rPr>
              <w:t>Regulatory Strategy; and Vice President,</w:t>
            </w:r>
          </w:p>
        </w:tc>
        <w:tc>
          <w:tcPr>
            <w:tcW w:w="0" w:type="dxa"/>
            <w:vAlign w:val="bottom"/>
          </w:tcPr>
          <w:p>
            <w:pPr>
              <w:spacing w:after="0"/>
              <w:rPr>
                <w:sz w:val="1"/>
                <w:szCs w:val="1"/>
                <w:color w:val="auto"/>
              </w:rPr>
            </w:pPr>
          </w:p>
        </w:tc>
      </w:tr>
      <w:tr>
        <w:trPr>
          <w:trHeight w:val="200"/>
        </w:trPr>
        <w:tc>
          <w:tcPr>
            <w:tcW w:w="3360" w:type="dxa"/>
            <w:vAlign w:val="bottom"/>
            <w:vMerge w:val="continue"/>
            <w:shd w:val="clear" w:color="auto" w:fill="E9E9E9"/>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Global Submissions and Regulatory Policy</w:t>
            </w: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from 2003 until September 2017</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Abbott Laboratories</w:t>
            </w:r>
          </w:p>
        </w:tc>
        <w:tc>
          <w:tcPr>
            <w:tcW w:w="3540" w:type="dxa"/>
            <w:vAlign w:val="bottom"/>
          </w:tcPr>
          <w:p>
            <w:pPr>
              <w:ind w:left="220"/>
              <w:spacing w:after="0"/>
              <w:rPr>
                <w:sz w:val="20"/>
                <w:szCs w:val="20"/>
                <w:color w:val="auto"/>
              </w:rPr>
            </w:pPr>
            <w:r>
              <w:rPr>
                <w:rFonts w:ascii="Arial" w:cs="Arial" w:eastAsia="Arial" w:hAnsi="Arial"/>
                <w:sz w:val="16"/>
                <w:szCs w:val="16"/>
                <w:color w:val="202020"/>
              </w:rPr>
              <w:t>Served as Medical Director,</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B.S. and M.D. from the University of Utah.</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Pharmacogenetics; Senior Director, Global</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She received further medical training in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Marketed Product Development and</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internal medicine at Duke University and</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Outcomes Research; and Global Project</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completed fellowships in infectious</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Head, Abbott/Millennium Obesity/Diabetes</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disease at Brigham &amp; Women’s Hospital</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Alliance from 1995 to 2003</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and Dana-Farber Cancer Institute in</w:t>
            </w:r>
          </w:p>
        </w:tc>
        <w:tc>
          <w:tcPr>
            <w:tcW w:w="3220" w:type="dxa"/>
            <w:vAlign w:val="bottom"/>
            <w:shd w:val="clear" w:color="auto" w:fill="E9E9E9"/>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Boston</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University of Hawaii John A. Burns</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Assistant Professor</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School of Medicine</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Queen’s Medical Center</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Director of the HIV Research</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Clinical</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Kapiolani Medical Center</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Director of the Women’s</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Immunology Clinical for Women and</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3220" w:type="dxa"/>
            <w:vAlign w:val="bottom"/>
            <w:tcBorders>
              <w:bottom w:val="single" w:sz="8" w:color="E9E9E9"/>
            </w:tcBorders>
            <w:shd w:val="clear" w:color="auto" w:fill="E9E9E9"/>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Children, in Honolulu</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-7900670</wp:posOffset>
                </wp:positionV>
                <wp:extent cx="0" cy="221107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11070"/>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622.0999pt" to="167.65pt,-448pt" o:allowincell="f" strokecolor="#FFFFFF" strokeweight="14.9669pt"/>
            </w:pict>
          </mc:Fallback>
        </mc:AlternateContent>
        <mc:AlternateContent>
          <mc:Choice Requires="wps">
            <w:drawing>
              <wp:anchor simplePos="0" relativeHeight="251657728" behindDoc="1" locked="0" layoutInCell="0" allowOverlap="1">
                <wp:simplePos x="0" y="0"/>
                <wp:positionH relativeFrom="column">
                  <wp:posOffset>2129155</wp:posOffset>
                </wp:positionH>
                <wp:positionV relativeFrom="paragraph">
                  <wp:posOffset>-5588000</wp:posOffset>
                </wp:positionV>
                <wp:extent cx="0" cy="209740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9740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440pt" to="167.65pt,-274.8499pt" o:allowincell="f" strokecolor="#FFFFFF" strokeweight="14.9669pt"/>
            </w:pict>
          </mc:Fallback>
        </mc:AlternateContent>
        <mc:AlternateContent>
          <mc:Choice Requires="wps">
            <w:drawing>
              <wp:anchor simplePos="0" relativeHeight="251657728" behindDoc="1" locked="0" layoutInCell="0" allowOverlap="1">
                <wp:simplePos x="0" y="0"/>
                <wp:positionH relativeFrom="column">
                  <wp:posOffset>2129155</wp:posOffset>
                </wp:positionH>
                <wp:positionV relativeFrom="paragraph">
                  <wp:posOffset>-3389630</wp:posOffset>
                </wp:positionV>
                <wp:extent cx="0" cy="338963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89630"/>
                        </a:xfrm>
                        <a:prstGeom prst="line">
                          <a:avLst/>
                        </a:prstGeom>
                        <a:solidFill>
                          <a:srgbClr val="FFFFFF"/>
                        </a:solidFill>
                        <a:ln w="190081">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266.8999pt" to="167.65pt,0pt" o:allowincell="f" strokecolor="#FFFFFF" strokeweight="14.967pt"/>
            </w:pict>
          </mc:Fallback>
        </mc:AlternateContent>
      </w:r>
    </w:p>
    <w:p>
      <w:pPr>
        <w:sectPr>
          <w:pgSz w:w="11880" w:h="15480" w:orient="portrait"/>
          <w:cols w:equalWidth="0" w:num="1">
            <w:col w:w="10120"/>
          </w:cols>
          <w:pgMar w:left="880" w:top="545"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23</w:t>
      </w:r>
    </w:p>
    <w:p>
      <w:pPr>
        <w:sectPr>
          <w:pgSz w:w="11880" w:h="15480" w:orient="portrait"/>
          <w:cols w:equalWidth="0" w:num="1">
            <w:col w:w="10120"/>
          </w:cols>
          <w:pgMar w:left="880" w:top="545" w:right="880" w:bottom="96"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202020"/>
        </w:rPr>
        <w:t>Executive Officers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5"/>
              </w:rPr>
              <w:t>FREDDY JIMENEZ, 57</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 and</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Law and Compliance from</w:t>
            </w:r>
          </w:p>
        </w:tc>
        <w:tc>
          <w:tcPr>
            <w:tcW w:w="0" w:type="dxa"/>
            <w:vAlign w:val="bottom"/>
          </w:tcPr>
          <w:p>
            <w:pPr>
              <w:spacing w:after="0"/>
              <w:rPr>
                <w:sz w:val="1"/>
                <w:szCs w:val="1"/>
                <w:color w:val="auto"/>
              </w:rPr>
            </w:pPr>
          </w:p>
        </w:tc>
      </w:tr>
      <w:tr>
        <w:trPr>
          <w:trHeight w:val="282"/>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General Counsel</w:t>
            </w: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February 2016 to December 2020</w:t>
            </w:r>
          </w:p>
        </w:tc>
        <w:tc>
          <w:tcPr>
            <w:tcW w:w="0" w:type="dxa"/>
            <w:vAlign w:val="bottom"/>
          </w:tcPr>
          <w:p>
            <w:pPr>
              <w:spacing w:after="0"/>
              <w:rPr>
                <w:sz w:val="1"/>
                <w:szCs w:val="1"/>
                <w:color w:val="auto"/>
              </w:rPr>
            </w:pP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w w:val="99"/>
              </w:rPr>
              <w:t>Since 2021</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w:t>
            </w:r>
          </w:p>
        </w:tc>
        <w:tc>
          <w:tcPr>
            <w:tcW w:w="3540" w:type="dxa"/>
            <w:vAlign w:val="bottom"/>
          </w:tcPr>
          <w:p>
            <w:pPr>
              <w:ind w:left="220"/>
              <w:spacing w:after="0"/>
              <w:rPr>
                <w:sz w:val="20"/>
                <w:szCs w:val="20"/>
                <w:color w:val="auto"/>
              </w:rPr>
            </w:pPr>
            <w:r>
              <w:rPr>
                <w:rFonts w:ascii="Arial" w:cs="Arial" w:eastAsia="Arial" w:hAnsi="Arial"/>
                <w:sz w:val="16"/>
                <w:szCs w:val="16"/>
                <w:color w:val="202020"/>
              </w:rPr>
              <w:t>Assistant General Counsel, Senior Counsel</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B.A. in Biology and Certificate in the</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and General Attorney from 1999 to 2016</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Legal Studies Program from Brandeis</w:t>
            </w:r>
          </w:p>
        </w:tc>
        <w:tc>
          <w:tcPr>
            <w:tcW w:w="3220" w:type="dxa"/>
            <w:vAlign w:val="bottom"/>
            <w:shd w:val="clear" w:color="auto" w:fill="E9E9E9"/>
          </w:tcPr>
          <w:p>
            <w:pPr>
              <w:spacing w:after="0"/>
              <w:rPr>
                <w:sz w:val="17"/>
                <w:szCs w:val="17"/>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FDA Liaison for the R.W. Johnson</w:t>
            </w:r>
          </w:p>
        </w:tc>
        <w:tc>
          <w:tcPr>
            <w:tcW w:w="0" w:type="dxa"/>
            <w:vAlign w:val="bottom"/>
          </w:tcPr>
          <w:p>
            <w:pPr>
              <w:spacing w:after="0"/>
              <w:rPr>
                <w:sz w:val="1"/>
                <w:szCs w:val="1"/>
                <w:color w:val="auto"/>
              </w:rPr>
            </w:pPr>
          </w:p>
        </w:tc>
      </w:tr>
      <w:tr>
        <w:trPr>
          <w:trHeight w:val="120"/>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University and his legal training and JD</w:t>
            </w: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3220" w:type="dxa"/>
            <w:vAlign w:val="bottom"/>
            <w:shd w:val="clear" w:color="auto" w:fill="E9E9E9"/>
          </w:tcPr>
          <w:p>
            <w:pPr>
              <w:spacing w:after="0"/>
              <w:rPr>
                <w:sz w:val="6"/>
                <w:szCs w:val="6"/>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Pharmaceutical Research Institute (a</w:t>
            </w:r>
          </w:p>
        </w:tc>
        <w:tc>
          <w:tcPr>
            <w:tcW w:w="0" w:type="dxa"/>
            <w:vAlign w:val="bottom"/>
          </w:tcPr>
          <w:p>
            <w:pPr>
              <w:spacing w:after="0"/>
              <w:rPr>
                <w:sz w:val="1"/>
                <w:szCs w:val="1"/>
                <w:color w:val="auto"/>
              </w:rPr>
            </w:pPr>
          </w:p>
        </w:tc>
      </w:tr>
      <w:tr>
        <w:trPr>
          <w:trHeight w:val="120"/>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rPr>
              <w:t>from the Rutgers School of</w:t>
            </w: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360" w:type="dxa"/>
            <w:vAlign w:val="bottom"/>
            <w:vMerge w:val="continue"/>
          </w:tcPr>
          <w:p>
            <w:pPr>
              <w:spacing w:after="0"/>
              <w:rPr>
                <w:sz w:val="6"/>
                <w:szCs w:val="6"/>
                <w:color w:val="auto"/>
              </w:rPr>
            </w:pPr>
          </w:p>
        </w:tc>
        <w:tc>
          <w:tcPr>
            <w:tcW w:w="3220" w:type="dxa"/>
            <w:vAlign w:val="bottom"/>
            <w:shd w:val="clear" w:color="auto" w:fill="E9E9E9"/>
          </w:tcPr>
          <w:p>
            <w:pPr>
              <w:spacing w:after="0"/>
              <w:rPr>
                <w:sz w:val="6"/>
                <w:szCs w:val="6"/>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Johnson &amp; Johnson Company) and varying</w:t>
            </w:r>
          </w:p>
        </w:tc>
        <w:tc>
          <w:tcPr>
            <w:tcW w:w="0" w:type="dxa"/>
            <w:vAlign w:val="bottom"/>
          </w:tcPr>
          <w:p>
            <w:pPr>
              <w:spacing w:after="0"/>
              <w:rPr>
                <w:sz w:val="1"/>
                <w:szCs w:val="1"/>
                <w:color w:val="auto"/>
              </w:rPr>
            </w:pPr>
          </w:p>
        </w:tc>
      </w:tr>
      <w:tr>
        <w:trPr>
          <w:trHeight w:val="120"/>
        </w:trPr>
        <w:tc>
          <w:tcPr>
            <w:tcW w:w="3360" w:type="dxa"/>
            <w:vAlign w:val="bottom"/>
            <w:vMerge w:val="restart"/>
          </w:tcPr>
          <w:p>
            <w:pPr>
              <w:jc w:val="center"/>
              <w:spacing w:after="0"/>
              <w:rPr>
                <w:sz w:val="20"/>
                <w:szCs w:val="20"/>
                <w:color w:val="auto"/>
              </w:rPr>
            </w:pPr>
            <w:r>
              <w:rPr>
                <w:rFonts w:ascii="Arial" w:cs="Arial" w:eastAsia="Arial" w:hAnsi="Arial"/>
                <w:sz w:val="16"/>
                <w:szCs w:val="16"/>
                <w:color w:val="202020"/>
                <w:w w:val="99"/>
              </w:rPr>
              <w:t>Law — Newark.</w:t>
            </w:r>
          </w:p>
        </w:tc>
        <w:tc>
          <w:tcPr>
            <w:tcW w:w="3220" w:type="dxa"/>
            <w:vAlign w:val="bottom"/>
            <w:shd w:val="clear" w:color="auto" w:fill="E9E9E9"/>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360" w:type="dxa"/>
            <w:vAlign w:val="bottom"/>
            <w:vMerge w:val="continue"/>
          </w:tcPr>
          <w:p>
            <w:pPr>
              <w:spacing w:after="0"/>
              <w:rPr>
                <w:sz w:val="8"/>
                <w:szCs w:val="8"/>
                <w:color w:val="auto"/>
              </w:rPr>
            </w:pPr>
          </w:p>
        </w:tc>
        <w:tc>
          <w:tcPr>
            <w:tcW w:w="3220" w:type="dxa"/>
            <w:vAlign w:val="bottom"/>
            <w:shd w:val="clear" w:color="auto" w:fill="E9E9E9"/>
          </w:tcPr>
          <w:p>
            <w:pPr>
              <w:spacing w:after="0"/>
              <w:rPr>
                <w:sz w:val="8"/>
                <w:szCs w:val="8"/>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roles of increasing seniority in regulatory</w:t>
            </w:r>
          </w:p>
        </w:tc>
        <w:tc>
          <w:tcPr>
            <w:tcW w:w="0" w:type="dxa"/>
            <w:vAlign w:val="bottom"/>
          </w:tcPr>
          <w:p>
            <w:pPr>
              <w:spacing w:after="0"/>
              <w:rPr>
                <w:sz w:val="1"/>
                <w:szCs w:val="1"/>
                <w:color w:val="auto"/>
              </w:rPr>
            </w:pPr>
          </w:p>
        </w:tc>
      </w:tr>
      <w:tr>
        <w:trPr>
          <w:trHeight w:val="103"/>
        </w:trPr>
        <w:tc>
          <w:tcPr>
            <w:tcW w:w="3360" w:type="dxa"/>
            <w:vAlign w:val="bottom"/>
          </w:tcPr>
          <w:p>
            <w:pPr>
              <w:spacing w:after="0"/>
              <w:rPr>
                <w:sz w:val="8"/>
                <w:szCs w:val="8"/>
                <w:color w:val="auto"/>
              </w:rPr>
            </w:pPr>
          </w:p>
        </w:tc>
        <w:tc>
          <w:tcPr>
            <w:tcW w:w="3220" w:type="dxa"/>
            <w:vAlign w:val="bottom"/>
            <w:shd w:val="clear" w:color="auto" w:fill="E9E9E9"/>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affairs and clinical research from 1991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1997</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Akin Gump Strauss Hauer &amp; Feld</w:t>
            </w:r>
          </w:p>
        </w:tc>
        <w:tc>
          <w:tcPr>
            <w:tcW w:w="3540" w:type="dxa"/>
            <w:vAlign w:val="bottom"/>
          </w:tcPr>
          <w:p>
            <w:pPr>
              <w:ind w:left="220"/>
              <w:spacing w:after="0"/>
              <w:rPr>
                <w:sz w:val="20"/>
                <w:szCs w:val="20"/>
                <w:color w:val="auto"/>
              </w:rPr>
            </w:pPr>
            <w:r>
              <w:rPr>
                <w:rFonts w:ascii="Arial" w:cs="Arial" w:eastAsia="Arial" w:hAnsi="Arial"/>
                <w:sz w:val="16"/>
                <w:szCs w:val="16"/>
                <w:color w:val="202020"/>
              </w:rPr>
              <w:t>Associate in the Food and Drug Practice</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3220" w:type="dxa"/>
            <w:vAlign w:val="bottom"/>
            <w:tcBorders>
              <w:bottom w:val="single" w:sz="8" w:color="E9E9E9"/>
            </w:tcBorders>
            <w:shd w:val="clear" w:color="auto" w:fill="E9E9E9"/>
          </w:tcPr>
          <w:p>
            <w:pPr>
              <w:ind w:left="320"/>
              <w:spacing w:after="0"/>
              <w:rPr>
                <w:sz w:val="20"/>
                <w:szCs w:val="20"/>
                <w:color w:val="auto"/>
              </w:rPr>
            </w:pPr>
            <w:r>
              <w:rPr>
                <w:rFonts w:ascii="Arial" w:cs="Arial" w:eastAsia="Arial" w:hAnsi="Arial"/>
                <w:sz w:val="16"/>
                <w:szCs w:val="16"/>
                <w:b w:val="1"/>
                <w:bCs w:val="1"/>
                <w:color w:val="202020"/>
              </w:rPr>
              <w:t>LLP</w:t>
            </w:r>
          </w:p>
        </w:tc>
        <w:tc>
          <w:tcPr>
            <w:tcW w:w="3540" w:type="dxa"/>
            <w:vAlign w:val="bottom"/>
          </w:tcPr>
          <w:p>
            <w:pPr>
              <w:ind w:left="220"/>
              <w:spacing w:after="0"/>
              <w:rPr>
                <w:sz w:val="20"/>
                <w:szCs w:val="20"/>
                <w:color w:val="auto"/>
              </w:rPr>
            </w:pPr>
            <w:r>
              <w:rPr>
                <w:rFonts w:ascii="Arial" w:cs="Arial" w:eastAsia="Arial" w:hAnsi="Arial"/>
                <w:sz w:val="16"/>
                <w:szCs w:val="16"/>
                <w:color w:val="202020"/>
              </w:rPr>
              <w:t>from 1997 to 1999</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-2337435</wp:posOffset>
                </wp:positionV>
                <wp:extent cx="0" cy="2337435"/>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7435"/>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184.0499pt" to="167.65pt,0pt" o:allowincell="f" strokecolor="#FFFFFF" strokeweight="14.9669pt"/>
            </w:pict>
          </mc:Fallback>
        </mc:AlternateConten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3"/>
              </w:rPr>
              <w:t>TERI LAWVER, 59</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 and Chief</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Thera Lifescience Advisors LLC</w:t>
            </w:r>
          </w:p>
        </w:tc>
        <w:tc>
          <w:tcPr>
            <w:tcW w:w="3540" w:type="dxa"/>
            <w:vAlign w:val="bottom"/>
          </w:tcPr>
          <w:p>
            <w:pPr>
              <w:ind w:left="220"/>
              <w:spacing w:after="0"/>
              <w:rPr>
                <w:sz w:val="20"/>
                <w:szCs w:val="20"/>
                <w:color w:val="auto"/>
              </w:rPr>
            </w:pPr>
            <w:r>
              <w:rPr>
                <w:rFonts w:ascii="Arial" w:cs="Arial" w:eastAsia="Arial" w:hAnsi="Arial"/>
                <w:sz w:val="16"/>
                <w:szCs w:val="16"/>
                <w:color w:val="202020"/>
              </w:rPr>
              <w:t>Principal and Owner from April 2025 to</w:t>
            </w:r>
          </w:p>
        </w:tc>
        <w:tc>
          <w:tcPr>
            <w:tcW w:w="0" w:type="dxa"/>
            <w:vAlign w:val="bottom"/>
          </w:tcPr>
          <w:p>
            <w:pPr>
              <w:spacing w:after="0"/>
              <w:rPr>
                <w:sz w:val="1"/>
                <w:szCs w:val="1"/>
                <w:color w:val="auto"/>
              </w:rPr>
            </w:pPr>
          </w:p>
        </w:tc>
      </w:tr>
      <w:tr>
        <w:trPr>
          <w:trHeight w:val="282"/>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Commercial Officer</w:t>
            </w: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November 2025</w:t>
            </w:r>
          </w:p>
        </w:tc>
        <w:tc>
          <w:tcPr>
            <w:tcW w:w="0" w:type="dxa"/>
            <w:vAlign w:val="bottom"/>
          </w:tcPr>
          <w:p>
            <w:pPr>
              <w:spacing w:after="0"/>
              <w:rPr>
                <w:sz w:val="1"/>
                <w:szCs w:val="1"/>
                <w:color w:val="auto"/>
              </w:rPr>
            </w:pP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w w:val="99"/>
              </w:rPr>
              <w:t>Since 2025</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Dexcom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Strategic Advisor from December 2024 to</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Masters of Business Administration, Duke</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March 2025</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 Fuqua School of Business, 1994</w:t>
            </w:r>
          </w:p>
        </w:tc>
        <w:tc>
          <w:tcPr>
            <w:tcW w:w="3220" w:type="dxa"/>
            <w:vAlign w:val="bottom"/>
            <w:shd w:val="clear" w:color="auto" w:fill="E9E9E9"/>
          </w:tcPr>
          <w:p>
            <w:pPr>
              <w:spacing w:after="0"/>
              <w:rPr>
                <w:sz w:val="18"/>
                <w:szCs w:val="18"/>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EVP and Chief Commercial Officer from</w:t>
            </w:r>
          </w:p>
        </w:tc>
        <w:tc>
          <w:tcPr>
            <w:tcW w:w="0" w:type="dxa"/>
            <w:vAlign w:val="bottom"/>
          </w:tcPr>
          <w:p>
            <w:pPr>
              <w:spacing w:after="0"/>
              <w:rPr>
                <w:sz w:val="1"/>
                <w:szCs w:val="1"/>
                <w:color w:val="auto"/>
              </w:rPr>
            </w:pPr>
          </w:p>
        </w:tc>
      </w:tr>
      <w:tr>
        <w:trPr>
          <w:trHeight w:val="103"/>
        </w:trPr>
        <w:tc>
          <w:tcPr>
            <w:tcW w:w="3360" w:type="dxa"/>
            <w:vAlign w:val="bottom"/>
          </w:tcPr>
          <w:p>
            <w:pPr>
              <w:spacing w:after="0"/>
              <w:rPr>
                <w:sz w:val="8"/>
                <w:szCs w:val="8"/>
                <w:color w:val="auto"/>
              </w:rPr>
            </w:pPr>
          </w:p>
        </w:tc>
        <w:tc>
          <w:tcPr>
            <w:tcW w:w="3220" w:type="dxa"/>
            <w:vAlign w:val="bottom"/>
            <w:shd w:val="clear" w:color="auto" w:fill="E9E9E9"/>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360" w:type="dxa"/>
            <w:vAlign w:val="bottom"/>
          </w:tcPr>
          <w:p>
            <w:pPr>
              <w:jc w:val="center"/>
              <w:ind w:left="35"/>
              <w:spacing w:after="0"/>
              <w:rPr>
                <w:sz w:val="20"/>
                <w:szCs w:val="20"/>
                <w:color w:val="auto"/>
              </w:rPr>
            </w:pPr>
            <w:r>
              <w:rPr>
                <w:rFonts w:ascii="Arial" w:cs="Arial" w:eastAsia="Arial" w:hAnsi="Arial"/>
                <w:sz w:val="16"/>
                <w:szCs w:val="16"/>
                <w:color w:val="202020"/>
              </w:rPr>
              <w:t>Bachelor of Science Degree, Linguistics</w:t>
            </w: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January 2023 to November 2024</w:t>
            </w:r>
          </w:p>
        </w:tc>
        <w:tc>
          <w:tcPr>
            <w:tcW w:w="0" w:type="dxa"/>
            <w:vAlign w:val="bottom"/>
          </w:tcPr>
          <w:p>
            <w:pPr>
              <w:spacing w:after="0"/>
              <w:rPr>
                <w:sz w:val="1"/>
                <w:szCs w:val="1"/>
                <w:color w:val="auto"/>
              </w:rPr>
            </w:pPr>
          </w:p>
        </w:tc>
      </w:tr>
      <w:tr>
        <w:trPr>
          <w:trHeight w:val="217"/>
        </w:trPr>
        <w:tc>
          <w:tcPr>
            <w:tcW w:w="3360" w:type="dxa"/>
            <w:vAlign w:val="bottom"/>
          </w:tcPr>
          <w:p>
            <w:pPr>
              <w:jc w:val="center"/>
              <w:ind w:left="35"/>
              <w:spacing w:after="0"/>
              <w:rPr>
                <w:sz w:val="20"/>
                <w:szCs w:val="20"/>
                <w:color w:val="auto"/>
              </w:rPr>
            </w:pPr>
            <w:r>
              <w:rPr>
                <w:rFonts w:ascii="Arial" w:cs="Arial" w:eastAsia="Arial" w:hAnsi="Arial"/>
                <w:sz w:val="16"/>
                <w:szCs w:val="16"/>
                <w:color w:val="202020"/>
              </w:rPr>
              <w:t>Georgetown University, 1989</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Johnson &amp; Johnson Corporation</w:t>
            </w:r>
          </w:p>
        </w:tc>
        <w:tc>
          <w:tcPr>
            <w:tcW w:w="3540" w:type="dxa"/>
            <w:vAlign w:val="bottom"/>
          </w:tcPr>
          <w:p>
            <w:pPr>
              <w:ind w:left="220"/>
              <w:spacing w:after="0"/>
              <w:rPr>
                <w:sz w:val="20"/>
                <w:szCs w:val="20"/>
                <w:color w:val="auto"/>
              </w:rPr>
            </w:pPr>
            <w:r>
              <w:rPr>
                <w:rFonts w:ascii="Arial" w:cs="Arial" w:eastAsia="Arial" w:hAnsi="Arial"/>
                <w:sz w:val="16"/>
                <w:szCs w:val="16"/>
                <w:color w:val="202020"/>
              </w:rPr>
              <w:t>General Management and Commercial</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Leadership Roles of Increasing</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Responsibility, including: Worldwide Vice</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President, Immunology: January 2017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December 2023</w:t>
            </w: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Global Vice President, Cardiovascular and</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Metabolism from July 2013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December 2016</w:t>
            </w: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President, J&amp;J Medical Companies Canada</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from April 2011 to July 2013</w:t>
            </w: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Worldwide General Manager, Animas</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Corporation from October 2007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April 2011</w:t>
            </w: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National Sales Director, Corporate</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Accounts, Centocor from January 2006 to</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December 2007</w:t>
            </w:r>
          </w:p>
        </w:tc>
        <w:tc>
          <w:tcPr>
            <w:tcW w:w="0" w:type="dxa"/>
            <w:vAlign w:val="bottom"/>
          </w:tcPr>
          <w:p>
            <w:pPr>
              <w:spacing w:after="0"/>
              <w:rPr>
                <w:sz w:val="1"/>
                <w:szCs w:val="1"/>
                <w:color w:val="auto"/>
              </w:rPr>
            </w:pPr>
          </w:p>
        </w:tc>
      </w:tr>
      <w:tr>
        <w:trPr>
          <w:trHeight w:val="302"/>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Senior Director, Gastroenterology</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Marketing from May 2002 to January 2006</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McKinsey &amp; Company</w:t>
            </w:r>
          </w:p>
        </w:tc>
        <w:tc>
          <w:tcPr>
            <w:tcW w:w="3540" w:type="dxa"/>
            <w:vAlign w:val="bottom"/>
          </w:tcPr>
          <w:p>
            <w:pPr>
              <w:ind w:left="220"/>
              <w:spacing w:after="0"/>
              <w:rPr>
                <w:sz w:val="20"/>
                <w:szCs w:val="20"/>
                <w:color w:val="auto"/>
              </w:rPr>
            </w:pPr>
            <w:r>
              <w:rPr>
                <w:rFonts w:ascii="Arial" w:cs="Arial" w:eastAsia="Arial" w:hAnsi="Arial"/>
                <w:sz w:val="16"/>
                <w:szCs w:val="16"/>
                <w:color w:val="202020"/>
              </w:rPr>
              <w:t>Associate Principal</w:t>
            </w:r>
          </w:p>
        </w:tc>
        <w:tc>
          <w:tcPr>
            <w:tcW w:w="0" w:type="dxa"/>
            <w:vAlign w:val="bottom"/>
          </w:tcPr>
          <w:p>
            <w:pPr>
              <w:spacing w:after="0"/>
              <w:rPr>
                <w:sz w:val="1"/>
                <w:szCs w:val="1"/>
                <w:color w:val="auto"/>
              </w:rPr>
            </w:pPr>
          </w:p>
        </w:tc>
      </w:tr>
      <w:tr>
        <w:trPr>
          <w:trHeight w:val="319"/>
        </w:trPr>
        <w:tc>
          <w:tcPr>
            <w:tcW w:w="3360" w:type="dxa"/>
            <w:vAlign w:val="bottom"/>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Engagement Manager</w:t>
            </w:r>
          </w:p>
        </w:tc>
        <w:tc>
          <w:tcPr>
            <w:tcW w:w="0" w:type="dxa"/>
            <w:vAlign w:val="bottom"/>
          </w:tcPr>
          <w:p>
            <w:pPr>
              <w:spacing w:after="0"/>
              <w:rPr>
                <w:sz w:val="1"/>
                <w:szCs w:val="1"/>
                <w:color w:val="auto"/>
              </w:rPr>
            </w:pPr>
          </w:p>
        </w:tc>
      </w:tr>
      <w:tr>
        <w:trPr>
          <w:trHeight w:val="333"/>
        </w:trPr>
        <w:tc>
          <w:tcPr>
            <w:tcW w:w="3360" w:type="dxa"/>
            <w:vAlign w:val="bottom"/>
          </w:tcPr>
          <w:p>
            <w:pPr>
              <w:spacing w:after="0"/>
              <w:rPr>
                <w:sz w:val="24"/>
                <w:szCs w:val="24"/>
                <w:color w:val="auto"/>
              </w:rPr>
            </w:pPr>
          </w:p>
        </w:tc>
        <w:tc>
          <w:tcPr>
            <w:tcW w:w="3220" w:type="dxa"/>
            <w:vAlign w:val="bottom"/>
            <w:tcBorders>
              <w:bottom w:val="single" w:sz="8" w:color="E9E9E9"/>
            </w:tcBorders>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Consultant</w:t>
            </w:r>
          </w:p>
        </w:tc>
        <w:tc>
          <w:tcPr>
            <w:tcW w:w="0" w:type="dxa"/>
            <w:vAlign w:val="bottom"/>
          </w:tcPr>
          <w:p>
            <w:pPr>
              <w:spacing w:after="0"/>
              <w:rPr>
                <w:sz w:val="1"/>
                <w:szCs w:val="1"/>
                <w:color w:val="auto"/>
              </w:rPr>
            </w:pPr>
          </w:p>
        </w:tc>
      </w:tr>
      <w:tr>
        <w:trPr>
          <w:trHeight w:val="20"/>
        </w:trPr>
        <w:tc>
          <w:tcPr>
            <w:tcW w:w="3360" w:type="dxa"/>
            <w:vAlign w:val="bottom"/>
            <w:shd w:val="clear" w:color="auto" w:fill="202020"/>
          </w:tcPr>
          <w:p>
            <w:pPr>
              <w:spacing w:after="0" w:line="20" w:lineRule="exact"/>
              <w:rPr>
                <w:sz w:val="1"/>
                <w:szCs w:val="1"/>
                <w:color w:val="auto"/>
              </w:rPr>
            </w:pPr>
          </w:p>
        </w:tc>
        <w:tc>
          <w:tcPr>
            <w:tcW w:w="3220" w:type="dxa"/>
            <w:vAlign w:val="bottom"/>
            <w:shd w:val="clear" w:color="auto" w:fill="202020"/>
          </w:tcPr>
          <w:p>
            <w:pPr>
              <w:spacing w:after="0" w:line="20" w:lineRule="exact"/>
              <w:rPr>
                <w:sz w:val="1"/>
                <w:szCs w:val="1"/>
                <w:color w:val="auto"/>
              </w:rPr>
            </w:pPr>
          </w:p>
        </w:tc>
        <w:tc>
          <w:tcPr>
            <w:tcW w:w="3540" w:type="dxa"/>
            <w:vAlign w:val="bottom"/>
            <w:shd w:val="clear" w:color="auto" w:fill="2020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-4992370</wp:posOffset>
                </wp:positionV>
                <wp:extent cx="0" cy="499237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92370"/>
                        </a:xfrm>
                        <a:prstGeom prst="line">
                          <a:avLst/>
                        </a:prstGeom>
                        <a:solidFill>
                          <a:srgbClr val="FFFFFF"/>
                        </a:solidFill>
                        <a:ln w="190081">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393.0999pt" to="167.65pt,0pt" o:allowincell="f" strokecolor="#FFFFFF" strokeweight="14.967pt"/>
            </w:pict>
          </mc:Fallback>
        </mc:AlternateConten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24 |</w:t>
        <w:tab/>
        <w:t>Celldex Therapeutics</w:t>
      </w:r>
    </w:p>
    <w:p>
      <w:pPr>
        <w:sectPr>
          <w:pgSz w:w="11880" w:h="15480" w:orient="portrait"/>
          <w:cols w:equalWidth="0" w:num="1">
            <w:col w:w="10120"/>
          </w:cols>
          <w:pgMar w:left="880" w:top="544" w:right="880" w:bottom="96"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ind w:left="2220"/>
              <w:spacing w:after="0"/>
              <w:rPr>
                <w:sz w:val="20"/>
                <w:szCs w:val="20"/>
                <w:color w:val="auto"/>
              </w:rPr>
            </w:pPr>
            <w:r>
              <w:rPr>
                <w:rFonts w:ascii="Arial" w:cs="Arial" w:eastAsia="Arial" w:hAnsi="Arial"/>
                <w:sz w:val="16"/>
                <w:szCs w:val="16"/>
                <w:color w:val="202020"/>
              </w:rPr>
              <w:t>Executive Officers</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9"/>
              </w:rPr>
              <w:t>SAM MARTIN, 55</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 Chief</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Celldex</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Finance from January 2015</w:t>
            </w:r>
          </w:p>
        </w:tc>
        <w:tc>
          <w:tcPr>
            <w:tcW w:w="0" w:type="dxa"/>
            <w:vAlign w:val="bottom"/>
          </w:tcPr>
          <w:p>
            <w:pPr>
              <w:spacing w:after="0"/>
              <w:rPr>
                <w:sz w:val="1"/>
                <w:szCs w:val="1"/>
                <w:color w:val="auto"/>
              </w:rPr>
            </w:pPr>
          </w:p>
        </w:tc>
      </w:tr>
      <w:tr>
        <w:trPr>
          <w:trHeight w:val="282"/>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Financial Officer and Secretary</w:t>
            </w: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to July 2017</w:t>
            </w:r>
          </w:p>
        </w:tc>
        <w:tc>
          <w:tcPr>
            <w:tcW w:w="0" w:type="dxa"/>
            <w:vAlign w:val="bottom"/>
          </w:tcPr>
          <w:p>
            <w:pPr>
              <w:spacing w:after="0"/>
              <w:rPr>
                <w:sz w:val="1"/>
                <w:szCs w:val="1"/>
                <w:color w:val="auto"/>
              </w:rPr>
            </w:pPr>
          </w:p>
        </w:tc>
      </w:tr>
      <w:tr>
        <w:trPr>
          <w:trHeight w:val="237"/>
        </w:trPr>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6"/>
                <w:szCs w:val="16"/>
                <w:color w:val="202020"/>
                <w:w w:val="99"/>
              </w:rPr>
              <w:t>Since 2017</w:t>
            </w:r>
          </w:p>
        </w:tc>
        <w:tc>
          <w:tcPr>
            <w:tcW w:w="3220" w:type="dxa"/>
            <w:vAlign w:val="bottom"/>
            <w:shd w:val="clear" w:color="auto" w:fill="E9E9E9"/>
          </w:tcPr>
          <w:p>
            <w:pPr>
              <w:spacing w:after="0"/>
              <w:rPr>
                <w:sz w:val="20"/>
                <w:szCs w:val="20"/>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Senior Director of Finance from</w:t>
            </w:r>
          </w:p>
        </w:tc>
        <w:tc>
          <w:tcPr>
            <w:tcW w:w="0" w:type="dxa"/>
            <w:vAlign w:val="bottom"/>
          </w:tcPr>
          <w:p>
            <w:pPr>
              <w:spacing w:after="0"/>
              <w:rPr>
                <w:sz w:val="1"/>
                <w:szCs w:val="1"/>
                <w:color w:val="auto"/>
              </w:rPr>
            </w:pPr>
          </w:p>
        </w:tc>
      </w:tr>
      <w:tr>
        <w:trPr>
          <w:trHeight w:val="77"/>
        </w:trPr>
        <w:tc>
          <w:tcPr>
            <w:tcW w:w="3360" w:type="dxa"/>
            <w:vAlign w:val="bottom"/>
            <w:vMerge w:val="continue"/>
            <w:shd w:val="clear" w:color="auto" w:fill="E9E9E9"/>
          </w:tcPr>
          <w:p>
            <w:pPr>
              <w:spacing w:after="0"/>
              <w:rPr>
                <w:sz w:val="6"/>
                <w:szCs w:val="6"/>
                <w:color w:val="auto"/>
              </w:rPr>
            </w:pPr>
          </w:p>
        </w:tc>
        <w:tc>
          <w:tcPr>
            <w:tcW w:w="3220" w:type="dxa"/>
            <w:vAlign w:val="bottom"/>
            <w:shd w:val="clear" w:color="auto" w:fill="E9E9E9"/>
          </w:tcPr>
          <w:p>
            <w:pPr>
              <w:spacing w:after="0"/>
              <w:rPr>
                <w:sz w:val="6"/>
                <w:szCs w:val="6"/>
                <w:color w:val="auto"/>
              </w:rPr>
            </w:pPr>
          </w:p>
        </w:tc>
        <w:tc>
          <w:tcPr>
            <w:tcW w:w="3540" w:type="dxa"/>
            <w:vAlign w:val="bottom"/>
            <w:vMerge w:val="restart"/>
          </w:tcPr>
          <w:p>
            <w:pPr>
              <w:ind w:left="240"/>
              <w:spacing w:after="0"/>
              <w:rPr>
                <w:sz w:val="20"/>
                <w:szCs w:val="20"/>
                <w:color w:val="auto"/>
              </w:rPr>
            </w:pPr>
            <w:r>
              <w:rPr>
                <w:rFonts w:ascii="Arial" w:cs="Arial" w:eastAsia="Arial" w:hAnsi="Arial"/>
                <w:sz w:val="16"/>
                <w:szCs w:val="16"/>
                <w:color w:val="202020"/>
              </w:rPr>
              <w:t>August 2011 to January 2015</w:t>
            </w:r>
          </w:p>
        </w:tc>
        <w:tc>
          <w:tcPr>
            <w:tcW w:w="0" w:type="dxa"/>
            <w:vAlign w:val="bottom"/>
          </w:tcPr>
          <w:p>
            <w:pPr>
              <w:spacing w:after="0"/>
              <w:rPr>
                <w:sz w:val="1"/>
                <w:szCs w:val="1"/>
                <w:color w:val="auto"/>
              </w:rPr>
            </w:pPr>
          </w:p>
        </w:tc>
      </w:tr>
      <w:tr>
        <w:trPr>
          <w:trHeight w:val="140"/>
        </w:trPr>
        <w:tc>
          <w:tcPr>
            <w:tcW w:w="3360" w:type="dxa"/>
            <w:vAlign w:val="bottom"/>
            <w:shd w:val="clear" w:color="auto" w:fill="E9E9E9"/>
          </w:tcPr>
          <w:p>
            <w:pPr>
              <w:spacing w:after="0"/>
              <w:rPr>
                <w:sz w:val="12"/>
                <w:szCs w:val="12"/>
                <w:color w:val="auto"/>
              </w:rPr>
            </w:pPr>
          </w:p>
        </w:tc>
        <w:tc>
          <w:tcPr>
            <w:tcW w:w="3220" w:type="dxa"/>
            <w:vAlign w:val="bottom"/>
            <w:shd w:val="clear" w:color="auto" w:fill="E9E9E9"/>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3360" w:type="dxa"/>
            <w:vAlign w:val="bottom"/>
            <w:shd w:val="clear" w:color="auto" w:fill="E9E9E9"/>
          </w:tcPr>
          <w:p>
            <w:pPr>
              <w:spacing w:after="0"/>
              <w:rPr>
                <w:sz w:val="24"/>
                <w:szCs w:val="24"/>
                <w:color w:val="auto"/>
              </w:rPr>
            </w:pPr>
          </w:p>
        </w:tc>
        <w:tc>
          <w:tcPr>
            <w:tcW w:w="3220" w:type="dxa"/>
            <w:vAlign w:val="bottom"/>
            <w:shd w:val="clear" w:color="auto" w:fill="E9E9E9"/>
          </w:tcPr>
          <w:p>
            <w:pPr>
              <w:spacing w:after="0"/>
              <w:rPr>
                <w:sz w:val="24"/>
                <w:szCs w:val="24"/>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Director of Financial Reporting, Planning</w:t>
            </w:r>
          </w:p>
        </w:tc>
        <w:tc>
          <w:tcPr>
            <w:tcW w:w="0" w:type="dxa"/>
            <w:vAlign w:val="bottom"/>
          </w:tcPr>
          <w:p>
            <w:pPr>
              <w:spacing w:after="0"/>
              <w:rPr>
                <w:sz w:val="1"/>
                <w:szCs w:val="1"/>
                <w:color w:val="auto"/>
              </w:rPr>
            </w:pPr>
          </w:p>
        </w:tc>
      </w:tr>
      <w:tr>
        <w:trPr>
          <w:trHeight w:val="217"/>
        </w:trPr>
        <w:tc>
          <w:tcPr>
            <w:tcW w:w="3360" w:type="dxa"/>
            <w:vAlign w:val="bottom"/>
            <w:shd w:val="clear" w:color="auto" w:fill="E9E9E9"/>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202020"/>
              </w:rPr>
              <w:t>and Analysis from 2009 to 2011</w:t>
            </w: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Alseres Pharmaceuticals,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Held several former roles, most recently</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M.B.A. from Boston University,</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served as Director of Finance and</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a B.S. from Skidmore College and is a</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Corporate Compliance</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Certified Public Accountant</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Ernst &amp; Young LLP</w:t>
            </w:r>
          </w:p>
        </w:tc>
        <w:tc>
          <w:tcPr>
            <w:tcW w:w="3540" w:type="dxa"/>
            <w:vAlign w:val="bottom"/>
          </w:tcPr>
          <w:p>
            <w:pPr>
              <w:ind w:left="220"/>
              <w:spacing w:after="0"/>
              <w:rPr>
                <w:sz w:val="20"/>
                <w:szCs w:val="20"/>
                <w:color w:val="auto"/>
              </w:rPr>
            </w:pPr>
            <w:r>
              <w:rPr>
                <w:rFonts w:ascii="Arial" w:cs="Arial" w:eastAsia="Arial" w:hAnsi="Arial"/>
                <w:sz w:val="16"/>
                <w:szCs w:val="16"/>
                <w:color w:val="202020"/>
              </w:rPr>
              <w:t>Held several former roles, most recently</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220" w:type="dxa"/>
            <w:vAlign w:val="bottom"/>
            <w:tcBorders>
              <w:bottom w:val="single" w:sz="8" w:color="E9E9E9"/>
            </w:tcBorders>
            <w:shd w:val="clear" w:color="auto" w:fill="E9E9E9"/>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serving as Audit Manager</w:t>
            </w:r>
          </w:p>
        </w:tc>
        <w:tc>
          <w:tcPr>
            <w:tcW w:w="0" w:type="dxa"/>
            <w:vAlign w:val="bottom"/>
          </w:tcPr>
          <w:p>
            <w:pPr>
              <w:spacing w:after="0"/>
              <w:rPr>
                <w:sz w:val="1"/>
                <w:szCs w:val="1"/>
                <w:color w:val="auto"/>
              </w:rPr>
            </w:pPr>
          </w:p>
        </w:tc>
      </w:tr>
      <w:tr>
        <w:trPr>
          <w:trHeight w:val="150"/>
        </w:trPr>
        <w:tc>
          <w:tcPr>
            <w:tcW w:w="3360" w:type="dxa"/>
            <w:vAlign w:val="bottom"/>
            <w:tcBorders>
              <w:top w:val="single" w:sz="8" w:color="202020"/>
            </w:tcBorders>
          </w:tcPr>
          <w:p>
            <w:pPr>
              <w:spacing w:after="0"/>
              <w:rPr>
                <w:sz w:val="13"/>
                <w:szCs w:val="13"/>
                <w:color w:val="auto"/>
              </w:rPr>
            </w:pPr>
          </w:p>
        </w:tc>
        <w:tc>
          <w:tcPr>
            <w:tcW w:w="3220" w:type="dxa"/>
            <w:vAlign w:val="bottom"/>
            <w:tcBorders>
              <w:top w:val="single" w:sz="8" w:color="202020"/>
            </w:tcBorders>
          </w:tcPr>
          <w:p>
            <w:pPr>
              <w:spacing w:after="0"/>
              <w:rPr>
                <w:sz w:val="13"/>
                <w:szCs w:val="13"/>
                <w:color w:val="auto"/>
              </w:rPr>
            </w:pPr>
          </w:p>
        </w:tc>
        <w:tc>
          <w:tcPr>
            <w:tcW w:w="3540" w:type="dxa"/>
            <w:vAlign w:val="bottom"/>
            <w:tcBorders>
              <w:top w:val="single" w:sz="8" w:color="202020"/>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9"/>
              </w:rPr>
              <w:t>RONALD PEPIN, PH.D., 70</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 and</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Shire Pharmaceuticals</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from June 2010 to</w:t>
            </w:r>
          </w:p>
        </w:tc>
        <w:tc>
          <w:tcPr>
            <w:tcW w:w="0" w:type="dxa"/>
            <w:vAlign w:val="bottom"/>
          </w:tcPr>
          <w:p>
            <w:pPr>
              <w:spacing w:after="0"/>
              <w:rPr>
                <w:sz w:val="1"/>
                <w:szCs w:val="1"/>
                <w:color w:val="auto"/>
              </w:rPr>
            </w:pPr>
          </w:p>
        </w:tc>
      </w:tr>
      <w:tr>
        <w:trPr>
          <w:trHeight w:val="282"/>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Chief Business Officer</w:t>
            </w: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April 2011</w:t>
            </w:r>
          </w:p>
        </w:tc>
        <w:tc>
          <w:tcPr>
            <w:tcW w:w="0" w:type="dxa"/>
            <w:vAlign w:val="bottom"/>
          </w:tcPr>
          <w:p>
            <w:pPr>
              <w:spacing w:after="0"/>
              <w:rPr>
                <w:sz w:val="1"/>
                <w:szCs w:val="1"/>
                <w:color w:val="auto"/>
              </w:rPr>
            </w:pP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w w:val="99"/>
              </w:rPr>
              <w:t>Since 2011</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Medarex</w:t>
            </w:r>
          </w:p>
        </w:tc>
        <w:tc>
          <w:tcPr>
            <w:tcW w:w="3540" w:type="dxa"/>
            <w:vAlign w:val="bottom"/>
          </w:tcPr>
          <w:p>
            <w:pPr>
              <w:ind w:left="220"/>
              <w:spacing w:after="0"/>
              <w:rPr>
                <w:sz w:val="20"/>
                <w:szCs w:val="20"/>
                <w:color w:val="auto"/>
              </w:rPr>
            </w:pPr>
            <w:r>
              <w:rPr>
                <w:rFonts w:ascii="Arial" w:cs="Arial" w:eastAsia="Arial" w:hAnsi="Arial"/>
                <w:sz w:val="16"/>
                <w:szCs w:val="16"/>
                <w:color w:val="202020"/>
              </w:rPr>
              <w:t>Senior Vice President, Business</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B.A. from Tufts University and</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Development from August 2000 to</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Ph.D. in Genetics from Georgetown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December 2009</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Bristol-Myers Squibb Company</w:t>
            </w:r>
          </w:p>
        </w:tc>
        <w:tc>
          <w:tcPr>
            <w:tcW w:w="3540" w:type="dxa"/>
            <w:vAlign w:val="bottom"/>
          </w:tcPr>
          <w:p>
            <w:pPr>
              <w:ind w:left="220"/>
              <w:spacing w:after="0"/>
              <w:rPr>
                <w:sz w:val="20"/>
                <w:szCs w:val="20"/>
                <w:color w:val="auto"/>
              </w:rPr>
            </w:pPr>
            <w:r>
              <w:rPr>
                <w:rFonts w:ascii="Arial" w:cs="Arial" w:eastAsia="Arial" w:hAnsi="Arial"/>
                <w:sz w:val="16"/>
                <w:szCs w:val="16"/>
                <w:color w:val="202020"/>
              </w:rPr>
              <w:t>Former Executive Director of External</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220" w:type="dxa"/>
            <w:vAlign w:val="bottom"/>
            <w:tcBorders>
              <w:bottom w:val="single" w:sz="8" w:color="E9E9E9"/>
            </w:tcBorders>
            <w:shd w:val="clear" w:color="auto" w:fill="E9E9E9"/>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Science and Technology</w:t>
            </w:r>
          </w:p>
        </w:tc>
        <w:tc>
          <w:tcPr>
            <w:tcW w:w="0" w:type="dxa"/>
            <w:vAlign w:val="bottom"/>
          </w:tcPr>
          <w:p>
            <w:pPr>
              <w:spacing w:after="0"/>
              <w:rPr>
                <w:sz w:val="1"/>
                <w:szCs w:val="1"/>
                <w:color w:val="auto"/>
              </w:rPr>
            </w:pPr>
          </w:p>
        </w:tc>
      </w:tr>
      <w:tr>
        <w:trPr>
          <w:trHeight w:val="150"/>
        </w:trPr>
        <w:tc>
          <w:tcPr>
            <w:tcW w:w="3360" w:type="dxa"/>
            <w:vAlign w:val="bottom"/>
            <w:tcBorders>
              <w:top w:val="single" w:sz="8" w:color="202020"/>
            </w:tcBorders>
          </w:tcPr>
          <w:p>
            <w:pPr>
              <w:spacing w:after="0"/>
              <w:rPr>
                <w:sz w:val="13"/>
                <w:szCs w:val="13"/>
                <w:color w:val="auto"/>
              </w:rPr>
            </w:pPr>
          </w:p>
        </w:tc>
        <w:tc>
          <w:tcPr>
            <w:tcW w:w="3220" w:type="dxa"/>
            <w:vAlign w:val="bottom"/>
            <w:tcBorders>
              <w:top w:val="single" w:sz="8" w:color="202020"/>
            </w:tcBorders>
          </w:tcPr>
          <w:p>
            <w:pPr>
              <w:spacing w:after="0"/>
              <w:rPr>
                <w:sz w:val="13"/>
                <w:szCs w:val="13"/>
                <w:color w:val="auto"/>
              </w:rPr>
            </w:pPr>
          </w:p>
        </w:tc>
        <w:tc>
          <w:tcPr>
            <w:tcW w:w="3540" w:type="dxa"/>
            <w:vAlign w:val="bottom"/>
            <w:tcBorders>
              <w:top w:val="single" w:sz="8" w:color="202020"/>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3360" w:type="dxa"/>
            <w:vAlign w:val="bottom"/>
            <w:tcBorders>
              <w:bottom w:val="single" w:sz="8" w:color="8F8F8F"/>
            </w:tcBorders>
            <w:shd w:val="clear" w:color="auto" w:fill="8F8F8F"/>
          </w:tcPr>
          <w:p>
            <w:pPr>
              <w:jc w:val="center"/>
              <w:spacing w:after="0"/>
              <w:rPr>
                <w:sz w:val="20"/>
                <w:szCs w:val="20"/>
                <w:color w:val="auto"/>
              </w:rPr>
            </w:pPr>
            <w:r>
              <w:rPr>
                <w:rFonts w:ascii="Arial" w:cs="Arial" w:eastAsia="Arial" w:hAnsi="Arial"/>
                <w:sz w:val="22"/>
                <w:szCs w:val="22"/>
                <w:b w:val="1"/>
                <w:bCs w:val="1"/>
                <w:color w:val="FFFFFF"/>
                <w:w w:val="99"/>
              </w:rPr>
              <w:t>DIANE C. YOUNG, M.D., 70</w:t>
            </w:r>
          </w:p>
        </w:tc>
        <w:tc>
          <w:tcPr>
            <w:tcW w:w="3220" w:type="dxa"/>
            <w:vAlign w:val="bottom"/>
            <w:tcBorders>
              <w:bottom w:val="single" w:sz="8" w:color="8F8F8F"/>
            </w:tcBorders>
            <w:shd w:val="clear" w:color="auto" w:fill="8F8F8F"/>
          </w:tcPr>
          <w:p>
            <w:pPr>
              <w:ind w:left="320"/>
              <w:spacing w:after="0"/>
              <w:rPr>
                <w:sz w:val="20"/>
                <w:szCs w:val="20"/>
                <w:color w:val="auto"/>
              </w:rPr>
            </w:pPr>
            <w:r>
              <w:rPr>
                <w:rFonts w:ascii="Arial" w:cs="Arial" w:eastAsia="Arial" w:hAnsi="Arial"/>
                <w:sz w:val="20"/>
                <w:szCs w:val="20"/>
                <w:b w:val="1"/>
                <w:bCs w:val="1"/>
                <w:color w:val="FFFFFF"/>
              </w:rPr>
              <w:t>CAREER HIGHLIGHTS</w:t>
            </w:r>
          </w:p>
        </w:tc>
        <w:tc>
          <w:tcPr>
            <w:tcW w:w="3540" w:type="dxa"/>
            <w:vAlign w:val="bottom"/>
            <w:tcBorders>
              <w:bottom w:val="single" w:sz="8" w:color="8F8F8F"/>
            </w:tcBorders>
            <w:shd w:val="clear" w:color="auto" w:fill="8F8F8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GTx,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Chief Medical Officer from</w:t>
            </w:r>
          </w:p>
        </w:tc>
        <w:tc>
          <w:tcPr>
            <w:tcW w:w="0" w:type="dxa"/>
            <w:vAlign w:val="bottom"/>
          </w:tcPr>
          <w:p>
            <w:pPr>
              <w:spacing w:after="0"/>
              <w:rPr>
                <w:sz w:val="1"/>
                <w:szCs w:val="1"/>
                <w:color w:val="auto"/>
              </w:rPr>
            </w:pPr>
          </w:p>
        </w:tc>
      </w:tr>
      <w:tr>
        <w:trPr>
          <w:trHeight w:val="282"/>
        </w:trPr>
        <w:tc>
          <w:tcPr>
            <w:tcW w:w="336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Chief Medical Officer</w:t>
            </w:r>
          </w:p>
        </w:tc>
        <w:tc>
          <w:tcPr>
            <w:tcW w:w="3220" w:type="dxa"/>
            <w:vAlign w:val="bottom"/>
            <w:shd w:val="clear" w:color="auto" w:fill="E9E9E9"/>
          </w:tcPr>
          <w:p>
            <w:pPr>
              <w:spacing w:after="0"/>
              <w:rPr>
                <w:sz w:val="24"/>
                <w:szCs w:val="24"/>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July 2015 until February 2019</w:t>
            </w:r>
          </w:p>
        </w:tc>
        <w:tc>
          <w:tcPr>
            <w:tcW w:w="0" w:type="dxa"/>
            <w:vAlign w:val="bottom"/>
          </w:tcPr>
          <w:p>
            <w:pPr>
              <w:spacing w:after="0"/>
              <w:rPr>
                <w:sz w:val="1"/>
                <w:szCs w:val="1"/>
                <w:color w:val="auto"/>
              </w:rPr>
            </w:pPr>
          </w:p>
        </w:tc>
      </w:tr>
      <w:tr>
        <w:trPr>
          <w:trHeight w:val="313"/>
        </w:trPr>
        <w:tc>
          <w:tcPr>
            <w:tcW w:w="3360" w:type="dxa"/>
            <w:vAlign w:val="bottom"/>
            <w:shd w:val="clear" w:color="auto" w:fill="E9E9E9"/>
          </w:tcPr>
          <w:p>
            <w:pPr>
              <w:jc w:val="center"/>
              <w:spacing w:after="0"/>
              <w:rPr>
                <w:sz w:val="20"/>
                <w:szCs w:val="20"/>
                <w:color w:val="auto"/>
              </w:rPr>
            </w:pPr>
            <w:r>
              <w:rPr>
                <w:rFonts w:ascii="Arial" w:cs="Arial" w:eastAsia="Arial" w:hAnsi="Arial"/>
                <w:sz w:val="16"/>
                <w:szCs w:val="16"/>
                <w:color w:val="202020"/>
                <w:w w:val="99"/>
              </w:rPr>
              <w:t>Since 2019</w:t>
            </w:r>
          </w:p>
        </w:tc>
        <w:tc>
          <w:tcPr>
            <w:tcW w:w="3220" w:type="dxa"/>
            <w:vAlign w:val="bottom"/>
            <w:shd w:val="clear" w:color="auto" w:fill="E9E9E9"/>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360" w:type="dxa"/>
            <w:vAlign w:val="bottom"/>
            <w:tcBorders>
              <w:bottom w:val="single" w:sz="8" w:color="202020"/>
            </w:tcBorders>
            <w:shd w:val="clear" w:color="auto" w:fill="E9E9E9"/>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Arial" w:cs="Arial" w:eastAsia="Arial" w:hAnsi="Arial"/>
                <w:sz w:val="16"/>
                <w:szCs w:val="16"/>
                <w:b w:val="1"/>
                <w:bCs w:val="1"/>
                <w:color w:val="202020"/>
                <w:w w:val="95"/>
              </w:rPr>
              <w:t>EDUCATION:</w:t>
            </w: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Novartis Oncology</w:t>
            </w:r>
          </w:p>
        </w:tc>
        <w:tc>
          <w:tcPr>
            <w:tcW w:w="3540" w:type="dxa"/>
            <w:vAlign w:val="bottom"/>
          </w:tcPr>
          <w:p>
            <w:pPr>
              <w:ind w:left="220"/>
              <w:spacing w:after="0"/>
              <w:rPr>
                <w:sz w:val="20"/>
                <w:szCs w:val="20"/>
                <w:color w:val="auto"/>
              </w:rPr>
            </w:pPr>
            <w:r>
              <w:rPr>
                <w:rFonts w:ascii="Arial" w:cs="Arial" w:eastAsia="Arial" w:hAnsi="Arial"/>
                <w:sz w:val="16"/>
                <w:szCs w:val="16"/>
                <w:color w:val="202020"/>
              </w:rPr>
              <w:t>Vice President, Head of Oncology Clinical</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A.B. in Biochemical Sciences from Harvard</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Development and Medical Affairs, Latin</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University and her M.D. from Harvard</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America and Canada; Vice President,</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Medical School. Medical training in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Global Head of Medical Affairs, Oncology</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internal medicine at Johns Hopkins</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Business Unit; and Vice President, Global</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Hospital and Vanderbilt University</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Head of Clinical Development Phase 2/3,</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Hospital and completed a fellowship in</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Oncology Business Unit from 2002 to</w:t>
            </w:r>
          </w:p>
        </w:tc>
        <w:tc>
          <w:tcPr>
            <w:tcW w:w="0" w:type="dxa"/>
            <w:vAlign w:val="bottom"/>
          </w:tcPr>
          <w:p>
            <w:pPr>
              <w:spacing w:after="0"/>
              <w:rPr>
                <w:sz w:val="1"/>
                <w:szCs w:val="1"/>
                <w:color w:val="auto"/>
              </w:rPr>
            </w:pPr>
          </w:p>
        </w:tc>
      </w:tr>
      <w:tr>
        <w:trPr>
          <w:trHeight w:val="200"/>
        </w:trPr>
        <w:tc>
          <w:tcPr>
            <w:tcW w:w="3360" w:type="dxa"/>
            <w:vAlign w:val="bottom"/>
          </w:tcPr>
          <w:p>
            <w:pPr>
              <w:jc w:val="center"/>
              <w:spacing w:after="0"/>
              <w:rPr>
                <w:sz w:val="20"/>
                <w:szCs w:val="20"/>
                <w:color w:val="auto"/>
              </w:rPr>
            </w:pPr>
            <w:r>
              <w:rPr>
                <w:rFonts w:ascii="Arial" w:cs="Arial" w:eastAsia="Arial" w:hAnsi="Arial"/>
                <w:sz w:val="16"/>
                <w:szCs w:val="16"/>
                <w:color w:val="202020"/>
              </w:rPr>
              <w:t>medical oncology at Dana-Farber Cancer</w:t>
            </w: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June 2015</w:t>
            </w:r>
          </w:p>
        </w:tc>
        <w:tc>
          <w:tcPr>
            <w:tcW w:w="0" w:type="dxa"/>
            <w:vAlign w:val="bottom"/>
          </w:tcPr>
          <w:p>
            <w:pPr>
              <w:spacing w:after="0"/>
              <w:rPr>
                <w:sz w:val="1"/>
                <w:szCs w:val="1"/>
                <w:color w:val="auto"/>
              </w:rPr>
            </w:pPr>
          </w:p>
        </w:tc>
      </w:tr>
      <w:tr>
        <w:trPr>
          <w:trHeight w:val="217"/>
        </w:trPr>
        <w:tc>
          <w:tcPr>
            <w:tcW w:w="3360" w:type="dxa"/>
            <w:vAlign w:val="bottom"/>
          </w:tcPr>
          <w:p>
            <w:pPr>
              <w:jc w:val="center"/>
              <w:spacing w:after="0"/>
              <w:rPr>
                <w:sz w:val="20"/>
                <w:szCs w:val="20"/>
                <w:color w:val="auto"/>
              </w:rPr>
            </w:pPr>
            <w:r>
              <w:rPr>
                <w:rFonts w:ascii="Arial" w:cs="Arial" w:eastAsia="Arial" w:hAnsi="Arial"/>
                <w:sz w:val="16"/>
                <w:szCs w:val="16"/>
                <w:color w:val="202020"/>
              </w:rPr>
              <w:t>Institute.</w:t>
            </w:r>
          </w:p>
        </w:tc>
        <w:tc>
          <w:tcPr>
            <w:tcW w:w="3220" w:type="dxa"/>
            <w:vAlign w:val="bottom"/>
            <w:shd w:val="clear" w:color="auto" w:fill="E9E9E9"/>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R.W. Johnson Pharmaceutical</w:t>
            </w:r>
          </w:p>
        </w:tc>
        <w:tc>
          <w:tcPr>
            <w:tcW w:w="3540" w:type="dxa"/>
            <w:vAlign w:val="bottom"/>
          </w:tcPr>
          <w:p>
            <w:pPr>
              <w:ind w:left="220"/>
              <w:spacing w:after="0"/>
              <w:rPr>
                <w:sz w:val="20"/>
                <w:szCs w:val="20"/>
                <w:color w:val="auto"/>
              </w:rPr>
            </w:pPr>
            <w:r>
              <w:rPr>
                <w:rFonts w:ascii="Arial" w:cs="Arial" w:eastAsia="Arial" w:hAnsi="Arial"/>
                <w:sz w:val="16"/>
                <w:szCs w:val="16"/>
                <w:color w:val="202020"/>
              </w:rPr>
              <w:t>Held roles including Vice President for</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Research Institute</w:t>
            </w:r>
          </w:p>
        </w:tc>
        <w:tc>
          <w:tcPr>
            <w:tcW w:w="3540" w:type="dxa"/>
            <w:vAlign w:val="bottom"/>
          </w:tcPr>
          <w:p>
            <w:pPr>
              <w:ind w:left="220"/>
              <w:spacing w:after="0"/>
              <w:rPr>
                <w:sz w:val="20"/>
                <w:szCs w:val="20"/>
                <w:color w:val="auto"/>
              </w:rPr>
            </w:pPr>
            <w:r>
              <w:rPr>
                <w:rFonts w:ascii="Arial" w:cs="Arial" w:eastAsia="Arial" w:hAnsi="Arial"/>
                <w:sz w:val="16"/>
                <w:szCs w:val="16"/>
                <w:color w:val="202020"/>
              </w:rPr>
              <w:t>Global Development and Senior Director,</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Clinical Research and Development from</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1993 to 2002</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shd w:val="clear" w:color="auto" w:fill="E9E9E9"/>
          </w:tcPr>
          <w:p>
            <w:pPr>
              <w:ind w:left="320"/>
              <w:spacing w:after="0"/>
              <w:rPr>
                <w:sz w:val="20"/>
                <w:szCs w:val="20"/>
                <w:color w:val="auto"/>
              </w:rPr>
            </w:pPr>
            <w:r>
              <w:rPr>
                <w:rFonts w:ascii="Arial" w:cs="Arial" w:eastAsia="Arial" w:hAnsi="Arial"/>
                <w:sz w:val="16"/>
                <w:szCs w:val="16"/>
                <w:b w:val="1"/>
                <w:bCs w:val="1"/>
                <w:color w:val="202020"/>
              </w:rPr>
              <w:t>Sandoz Research Institute</w:t>
            </w:r>
          </w:p>
        </w:tc>
        <w:tc>
          <w:tcPr>
            <w:tcW w:w="3540" w:type="dxa"/>
            <w:vAlign w:val="bottom"/>
          </w:tcPr>
          <w:p>
            <w:pPr>
              <w:ind w:left="220"/>
              <w:spacing w:after="0"/>
              <w:rPr>
                <w:sz w:val="20"/>
                <w:szCs w:val="20"/>
                <w:color w:val="auto"/>
              </w:rPr>
            </w:pPr>
            <w:r>
              <w:rPr>
                <w:rFonts w:ascii="Arial" w:cs="Arial" w:eastAsia="Arial" w:hAnsi="Arial"/>
                <w:sz w:val="16"/>
                <w:szCs w:val="16"/>
                <w:color w:val="202020"/>
              </w:rPr>
              <w:t>Held roles at Director of Clinical Research,</w:t>
            </w:r>
          </w:p>
        </w:tc>
        <w:tc>
          <w:tcPr>
            <w:tcW w:w="0" w:type="dxa"/>
            <w:vAlign w:val="bottom"/>
          </w:tcPr>
          <w:p>
            <w:pPr>
              <w:spacing w:after="0"/>
              <w:rPr>
                <w:sz w:val="1"/>
                <w:szCs w:val="1"/>
                <w:color w:val="auto"/>
              </w:rPr>
            </w:pPr>
          </w:p>
        </w:tc>
      </w:tr>
      <w:tr>
        <w:trPr>
          <w:trHeight w:val="200"/>
        </w:trPr>
        <w:tc>
          <w:tcPr>
            <w:tcW w:w="3360" w:type="dxa"/>
            <w:vAlign w:val="bottom"/>
          </w:tcPr>
          <w:p>
            <w:pPr>
              <w:spacing w:after="0"/>
              <w:rPr>
                <w:sz w:val="17"/>
                <w:szCs w:val="17"/>
                <w:color w:val="auto"/>
              </w:rPr>
            </w:pPr>
          </w:p>
        </w:tc>
        <w:tc>
          <w:tcPr>
            <w:tcW w:w="3220" w:type="dxa"/>
            <w:vAlign w:val="bottom"/>
            <w:shd w:val="clear" w:color="auto" w:fill="E9E9E9"/>
          </w:tcPr>
          <w:p>
            <w:pPr>
              <w:spacing w:after="0"/>
              <w:rPr>
                <w:sz w:val="17"/>
                <w:szCs w:val="17"/>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Cytokine Development Unit and Associate</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shd w:val="clear" w:color="auto" w:fill="E9E9E9"/>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Medical Director from 1991 to 1993</w:t>
            </w:r>
          </w:p>
        </w:tc>
        <w:tc>
          <w:tcPr>
            <w:tcW w:w="0" w:type="dxa"/>
            <w:vAlign w:val="bottom"/>
          </w:tcPr>
          <w:p>
            <w:pPr>
              <w:spacing w:after="0"/>
              <w:rPr>
                <w:sz w:val="1"/>
                <w:szCs w:val="1"/>
                <w:color w:val="auto"/>
              </w:rPr>
            </w:pPr>
          </w:p>
        </w:tc>
      </w:tr>
      <w:tr>
        <w:trPr>
          <w:trHeight w:val="74"/>
        </w:trPr>
        <w:tc>
          <w:tcPr>
            <w:tcW w:w="3360" w:type="dxa"/>
            <w:vAlign w:val="bottom"/>
          </w:tcPr>
          <w:p>
            <w:pPr>
              <w:spacing w:after="0"/>
              <w:rPr>
                <w:sz w:val="6"/>
                <w:szCs w:val="6"/>
                <w:color w:val="auto"/>
              </w:rPr>
            </w:pPr>
          </w:p>
        </w:tc>
        <w:tc>
          <w:tcPr>
            <w:tcW w:w="3220" w:type="dxa"/>
            <w:vAlign w:val="bottom"/>
            <w:tcBorders>
              <w:bottom w:val="single" w:sz="8" w:color="202020"/>
            </w:tcBorders>
            <w:shd w:val="clear" w:color="auto" w:fill="E9E9E9"/>
          </w:tcPr>
          <w:p>
            <w:pPr>
              <w:spacing w:after="0"/>
              <w:rPr>
                <w:sz w:val="6"/>
                <w:szCs w:val="6"/>
                <w:color w:val="auto"/>
              </w:rPr>
            </w:pPr>
          </w:p>
        </w:tc>
        <w:tc>
          <w:tcPr>
            <w:tcW w:w="3540" w:type="dxa"/>
            <w:vAlign w:val="bottom"/>
            <w:tcBorders>
              <w:bottom w:val="single" w:sz="8" w:color="202020"/>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3220" w:type="dxa"/>
            <w:vAlign w:val="bottom"/>
          </w:tcPr>
          <w:p>
            <w:pPr>
              <w:ind w:left="320"/>
              <w:spacing w:after="0"/>
              <w:rPr>
                <w:sz w:val="20"/>
                <w:szCs w:val="20"/>
                <w:color w:val="auto"/>
              </w:rPr>
            </w:pPr>
            <w:r>
              <w:rPr>
                <w:rFonts w:ascii="Arial" w:cs="Arial" w:eastAsia="Arial" w:hAnsi="Arial"/>
                <w:sz w:val="16"/>
                <w:szCs w:val="16"/>
                <w:b w:val="1"/>
                <w:bCs w:val="1"/>
                <w:color w:val="202020"/>
              </w:rPr>
              <w:t>Hoffman-LaRoche, Inc.</w:t>
            </w:r>
          </w:p>
        </w:tc>
        <w:tc>
          <w:tcPr>
            <w:tcW w:w="3540" w:type="dxa"/>
            <w:vAlign w:val="bottom"/>
          </w:tcPr>
          <w:p>
            <w:pPr>
              <w:ind w:left="220"/>
              <w:spacing w:after="0"/>
              <w:rPr>
                <w:sz w:val="20"/>
                <w:szCs w:val="20"/>
                <w:color w:val="auto"/>
              </w:rPr>
            </w:pPr>
            <w:r>
              <w:rPr>
                <w:rFonts w:ascii="Arial" w:cs="Arial" w:eastAsia="Arial" w:hAnsi="Arial"/>
                <w:sz w:val="16"/>
                <w:szCs w:val="16"/>
                <w:color w:val="202020"/>
              </w:rPr>
              <w:t>Assistant Director, Clinical Investigation II</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6"/>
                <w:szCs w:val="16"/>
                <w:color w:val="202020"/>
              </w:rPr>
              <w:t>from 1988 to 1990</w:t>
            </w:r>
          </w:p>
        </w:tc>
        <w:tc>
          <w:tcPr>
            <w:tcW w:w="0" w:type="dxa"/>
            <w:vAlign w:val="bottom"/>
          </w:tcPr>
          <w:p>
            <w:pPr>
              <w:spacing w:after="0"/>
              <w:rPr>
                <w:sz w:val="1"/>
                <w:szCs w:val="1"/>
                <w:color w:val="auto"/>
              </w:rPr>
            </w:pPr>
          </w:p>
        </w:tc>
      </w:tr>
      <w:tr>
        <w:trPr>
          <w:trHeight w:val="34"/>
        </w:trPr>
        <w:tc>
          <w:tcPr>
            <w:tcW w:w="3360" w:type="dxa"/>
            <w:vAlign w:val="bottom"/>
            <w:tcBorders>
              <w:bottom w:val="single" w:sz="8" w:color="202020"/>
            </w:tcBorders>
          </w:tcPr>
          <w:p>
            <w:pPr>
              <w:spacing w:after="0"/>
              <w:rPr>
                <w:sz w:val="2"/>
                <w:szCs w:val="2"/>
                <w:color w:val="auto"/>
              </w:rPr>
            </w:pPr>
          </w:p>
        </w:tc>
        <w:tc>
          <w:tcPr>
            <w:tcW w:w="3220" w:type="dxa"/>
            <w:vAlign w:val="bottom"/>
            <w:tcBorders>
              <w:bottom w:val="single" w:sz="8" w:color="202020"/>
            </w:tcBorders>
          </w:tcPr>
          <w:p>
            <w:pPr>
              <w:spacing w:after="0"/>
              <w:rPr>
                <w:sz w:val="2"/>
                <w:szCs w:val="2"/>
                <w:color w:val="auto"/>
              </w:rPr>
            </w:pPr>
          </w:p>
        </w:tc>
        <w:tc>
          <w:tcPr>
            <w:tcW w:w="3540" w:type="dxa"/>
            <w:vAlign w:val="bottom"/>
            <w:tcBorders>
              <w:bottom w:val="single" w:sz="8" w:color="2020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2129155</wp:posOffset>
                </wp:positionH>
                <wp:positionV relativeFrom="paragraph">
                  <wp:posOffset>-7596505</wp:posOffset>
                </wp:positionV>
                <wp:extent cx="0" cy="217297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72970"/>
                        </a:xfrm>
                        <a:prstGeom prst="line">
                          <a:avLst/>
                        </a:prstGeom>
                        <a:solidFill>
                          <a:srgbClr val="FFFFFF"/>
                        </a:solidFill>
                        <a:ln w="190080">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7.65pt,-598.1499pt" to="167.65pt,-427.0499pt" o:allowincell="f" strokecolor="#FFFFFF" strokeweight="14.9669pt"/>
            </w:pict>
          </mc:Fallback>
        </mc:AlternateContent>
        <w:drawing>
          <wp:anchor simplePos="0" relativeHeight="251657728" behindDoc="1" locked="0" layoutInCell="0" allowOverlap="1">
            <wp:simplePos x="0" y="0"/>
            <wp:positionH relativeFrom="column">
              <wp:posOffset>2034540</wp:posOffset>
            </wp:positionH>
            <wp:positionV relativeFrom="paragraph">
              <wp:posOffset>-5321300</wp:posOffset>
            </wp:positionV>
            <wp:extent cx="2160905" cy="53346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6">
                      <a:extLst>
                        <a:ext uri="{28A0092B-C50C-407E-A947-70E740481C1C}"/>
                      </a:extLst>
                    </a:blip>
                    <a:srcRect/>
                    <a:stretch>
                      <a:fillRect/>
                    </a:stretch>
                  </pic:blipFill>
                  <pic:spPr bwMode="auto">
                    <a:xfrm>
                      <a:off x="0" y="0"/>
                      <a:ext cx="2160905" cy="5334635"/>
                    </a:xfrm>
                    <a:prstGeom prst="rect">
                      <a:avLst/>
                    </a:prstGeom>
                    <a:noFill/>
                  </pic:spPr>
                </pic:pic>
              </a:graphicData>
            </a:graphic>
          </wp:anchor>
        </w:drawing>
      </w:r>
    </w:p>
    <w:p>
      <w:pPr>
        <w:sectPr>
          <w:pgSz w:w="11880" w:h="15480" w:orient="portrait"/>
          <w:cols w:equalWidth="0" w:num="1">
            <w:col w:w="10120"/>
          </w:cols>
          <w:pgMar w:left="880" w:top="545"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25</w:t>
      </w:r>
    </w:p>
    <w:p>
      <w:pPr>
        <w:sectPr>
          <w:pgSz w:w="11880" w:h="15480" w:orient="portrait"/>
          <w:cols w:equalWidth="0" w:num="1">
            <w:col w:w="10120"/>
          </w:cols>
          <w:pgMar w:left="880" w:top="545" w:right="880" w:bottom="96"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color w:val="202020"/>
        </w:rPr>
        <w:t>Executive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Executive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Compensation Discussion and Analysis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202020"/>
        </w:rPr>
        <w:t>Introduction</w:t>
      </w:r>
    </w:p>
    <w:p>
      <w:pPr>
        <w:spacing w:after="0" w:line="17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02020"/>
        </w:rPr>
        <w:t>Our Compensation and Organization Development Committee oversees and administers our executive compensation programs. The Committee’s complete roles and responsibilities are set forth in the written charter of the Compensation and Organization Development Committee adopted by our Board of Directors, which can be found at our website, www.celldex.com.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02020"/>
        </w:rPr>
        <w:t>Overview</w:t>
      </w:r>
    </w:p>
    <w:p>
      <w:pPr>
        <w:spacing w:after="0" w:line="172" w:lineRule="exact"/>
        <w:rPr>
          <w:sz w:val="20"/>
          <w:szCs w:val="20"/>
          <w:color w:val="auto"/>
        </w:rPr>
      </w:pPr>
    </w:p>
    <w:p>
      <w:pPr>
        <w:spacing w:after="0" w:line="248" w:lineRule="auto"/>
        <w:rPr>
          <w:sz w:val="20"/>
          <w:szCs w:val="20"/>
          <w:color w:val="auto"/>
        </w:rPr>
      </w:pPr>
      <w:r>
        <w:rPr>
          <w:rFonts w:ascii="Arial" w:cs="Arial" w:eastAsia="Arial" w:hAnsi="Arial"/>
          <w:sz w:val="18"/>
          <w:szCs w:val="18"/>
          <w:color w:val="202020"/>
        </w:rPr>
        <w:t>Our executive compensation programs are designed to deliver compensation that allows us to attract and retain superior talent who can perform effectively and succeed in a demanding business environment and that is competitive with our peer group. Our compensation programs are also designed to reward performance against pre-established goals and align the interests of our executives with our stockholders. We believe that the compensation of our Executive Officers should focus executive behavior on the achievement of near-term corporate targets as well as long-term business objectives and strategies. We believe that pay-for-performance compensation programs, which reward our executives when they achieve individual and/or corporate goals, create stockholder value and thus have emphasized company and individual performance in setting compensation. We use a combination of base salary, annual cash incentive compensation programs, a long-term equity incentive compensation program and a broad-based benefits program to create a competitive compensation package for our executive management team.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202020"/>
        </w:rPr>
        <w:t>We describe below our compensation philosophy, policies and practices with respect to our (i) Chief Executive Officer,</w:t>
      </w:r>
    </w:p>
    <w:p>
      <w:pPr>
        <w:spacing w:after="0" w:line="5" w:lineRule="exact"/>
        <w:rPr>
          <w:sz w:val="20"/>
          <w:szCs w:val="20"/>
          <w:color w:val="auto"/>
        </w:rPr>
      </w:pPr>
    </w:p>
    <w:p>
      <w:pPr>
        <w:ind w:firstLine="1"/>
        <w:spacing w:after="0" w:line="266" w:lineRule="auto"/>
        <w:tabs>
          <w:tab w:leader="none" w:pos="239" w:val="left"/>
        </w:tabs>
        <w:numPr>
          <w:ilvl w:val="0"/>
          <w:numId w:val="14"/>
        </w:numPr>
        <w:rPr>
          <w:rFonts w:ascii="Arial" w:cs="Arial" w:eastAsia="Arial" w:hAnsi="Arial"/>
          <w:sz w:val="18"/>
          <w:szCs w:val="18"/>
          <w:color w:val="202020"/>
        </w:rPr>
      </w:pPr>
      <w:r>
        <w:rPr>
          <w:rFonts w:ascii="Arial" w:cs="Arial" w:eastAsia="Arial" w:hAnsi="Arial"/>
          <w:sz w:val="18"/>
          <w:szCs w:val="18"/>
          <w:color w:val="202020"/>
        </w:rPr>
        <w:t>Chief Financial Officer, and (iii) three most highly compensated Executive Officers, other than the Chief Executive Officer and Chief Financial Officer, who were serving as Executive Officers as of December 31, 2025, collectively referred to as our Named Executive Officers. In 2025, our Named Executive Officers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338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6"/>
              </w:rPr>
              <w:t>ANTHONY S. MARUCCI</w:t>
            </w:r>
          </w:p>
        </w:tc>
        <w:tc>
          <w:tcPr>
            <w:tcW w:w="3360" w:type="dxa"/>
            <w:vAlign w:val="bottom"/>
          </w:tcPr>
          <w:p>
            <w:pPr>
              <w:spacing w:after="0"/>
              <w:rPr>
                <w:sz w:val="24"/>
                <w:szCs w:val="24"/>
                <w:color w:val="auto"/>
              </w:rPr>
            </w:pPr>
          </w:p>
        </w:tc>
        <w:tc>
          <w:tcPr>
            <w:tcW w:w="338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4"/>
              </w:rPr>
              <w:t>TIBOR KELER, PH.D.</w:t>
            </w:r>
          </w:p>
        </w:tc>
        <w:tc>
          <w:tcPr>
            <w:tcW w:w="0" w:type="dxa"/>
            <w:vAlign w:val="bottom"/>
          </w:tcPr>
          <w:p>
            <w:pPr>
              <w:spacing w:after="0"/>
              <w:rPr>
                <w:sz w:val="1"/>
                <w:szCs w:val="1"/>
                <w:color w:val="auto"/>
              </w:rPr>
            </w:pPr>
          </w:p>
        </w:tc>
      </w:tr>
      <w:tr>
        <w:trPr>
          <w:trHeight w:val="227"/>
        </w:trPr>
        <w:tc>
          <w:tcPr>
            <w:tcW w:w="338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President,</w:t>
            </w:r>
          </w:p>
        </w:tc>
        <w:tc>
          <w:tcPr>
            <w:tcW w:w="3360" w:type="dxa"/>
            <w:vAlign w:val="bottom"/>
          </w:tcPr>
          <w:p>
            <w:pPr>
              <w:jc w:val="center"/>
              <w:spacing w:after="0" w:line="228" w:lineRule="exact"/>
              <w:rPr>
                <w:sz w:val="20"/>
                <w:szCs w:val="20"/>
                <w:color w:val="auto"/>
              </w:rPr>
            </w:pPr>
            <w:r>
              <w:rPr>
                <w:rFonts w:ascii="Arial" w:cs="Arial" w:eastAsia="Arial" w:hAnsi="Arial"/>
                <w:sz w:val="20"/>
                <w:szCs w:val="20"/>
                <w:b w:val="1"/>
                <w:bCs w:val="1"/>
                <w:color w:val="FFFFFF"/>
                <w:w w:val="95"/>
              </w:rPr>
              <w:t>NAMED EXECUTIVE</w:t>
            </w:r>
          </w:p>
        </w:tc>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Executive Vice President</w:t>
            </w:r>
          </w:p>
        </w:tc>
        <w:tc>
          <w:tcPr>
            <w:tcW w:w="0" w:type="dxa"/>
            <w:vAlign w:val="bottom"/>
          </w:tcPr>
          <w:p>
            <w:pPr>
              <w:spacing w:after="0"/>
              <w:rPr>
                <w:sz w:val="1"/>
                <w:szCs w:val="1"/>
                <w:color w:val="auto"/>
              </w:rPr>
            </w:pPr>
          </w:p>
        </w:tc>
      </w:tr>
      <w:tr>
        <w:trPr>
          <w:trHeight w:val="110"/>
        </w:trPr>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Chief Executive Officer and</w:t>
            </w:r>
          </w:p>
        </w:tc>
        <w:tc>
          <w:tcPr>
            <w:tcW w:w="3360" w:type="dxa"/>
            <w:vAlign w:val="bottom"/>
            <w:vMerge w:val="restart"/>
          </w:tcPr>
          <w:p>
            <w:pPr>
              <w:jc w:val="center"/>
              <w:spacing w:after="0" w:line="220" w:lineRule="exact"/>
              <w:rPr>
                <w:sz w:val="20"/>
                <w:szCs w:val="20"/>
                <w:color w:val="auto"/>
              </w:rPr>
            </w:pPr>
            <w:r>
              <w:rPr>
                <w:rFonts w:ascii="Arial" w:cs="Arial" w:eastAsia="Arial" w:hAnsi="Arial"/>
                <w:sz w:val="20"/>
                <w:szCs w:val="20"/>
                <w:b w:val="1"/>
                <w:bCs w:val="1"/>
                <w:color w:val="FFFFFF"/>
                <w:w w:val="90"/>
              </w:rPr>
              <w:t>OFFICERS</w:t>
            </w:r>
          </w:p>
        </w:tc>
        <w:tc>
          <w:tcPr>
            <w:tcW w:w="3380" w:type="dxa"/>
            <w:vAlign w:val="bottom"/>
            <w:vMerge w:val="continue"/>
            <w:shd w:val="clear" w:color="auto" w:fill="E9E9E9"/>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380" w:type="dxa"/>
            <w:vAlign w:val="bottom"/>
            <w:vMerge w:val="continue"/>
            <w:shd w:val="clear" w:color="auto" w:fill="E9E9E9"/>
          </w:tcPr>
          <w:p>
            <w:pPr>
              <w:spacing w:after="0"/>
              <w:rPr>
                <w:sz w:val="9"/>
                <w:szCs w:val="9"/>
                <w:color w:val="auto"/>
              </w:rPr>
            </w:pPr>
          </w:p>
        </w:tc>
        <w:tc>
          <w:tcPr>
            <w:tcW w:w="3360" w:type="dxa"/>
            <w:vAlign w:val="bottom"/>
            <w:vMerge w:val="continue"/>
          </w:tcPr>
          <w:p>
            <w:pPr>
              <w:spacing w:after="0"/>
              <w:rPr>
                <w:sz w:val="9"/>
                <w:szCs w:val="9"/>
                <w:color w:val="auto"/>
              </w:rPr>
            </w:pPr>
          </w:p>
        </w:tc>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and Chief Scientific Officer</w:t>
            </w:r>
          </w:p>
        </w:tc>
        <w:tc>
          <w:tcPr>
            <w:tcW w:w="0" w:type="dxa"/>
            <w:vAlign w:val="bottom"/>
          </w:tcPr>
          <w:p>
            <w:pPr>
              <w:spacing w:after="0"/>
              <w:rPr>
                <w:sz w:val="1"/>
                <w:szCs w:val="1"/>
                <w:color w:val="auto"/>
              </w:rPr>
            </w:pPr>
          </w:p>
        </w:tc>
      </w:tr>
      <w:tr>
        <w:trPr>
          <w:trHeight w:val="134"/>
        </w:trPr>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Director</w:t>
            </w:r>
          </w:p>
        </w:tc>
        <w:tc>
          <w:tcPr>
            <w:tcW w:w="3360" w:type="dxa"/>
            <w:vAlign w:val="bottom"/>
          </w:tcPr>
          <w:p>
            <w:pPr>
              <w:spacing w:after="0"/>
              <w:rPr>
                <w:sz w:val="11"/>
                <w:szCs w:val="11"/>
                <w:color w:val="auto"/>
              </w:rPr>
            </w:pPr>
          </w:p>
        </w:tc>
        <w:tc>
          <w:tcPr>
            <w:tcW w:w="3380" w:type="dxa"/>
            <w:vAlign w:val="bottom"/>
            <w:vMerge w:val="continue"/>
            <w:shd w:val="clear" w:color="auto" w:fill="E9E9E9"/>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380" w:type="dxa"/>
            <w:vAlign w:val="bottom"/>
            <w:vMerge w:val="continue"/>
            <w:shd w:val="clear" w:color="auto" w:fill="E9E9E9"/>
          </w:tcPr>
          <w:p>
            <w:pPr>
              <w:spacing w:after="0"/>
              <w:rPr>
                <w:sz w:val="9"/>
                <w:szCs w:val="9"/>
                <w:color w:val="auto"/>
              </w:rPr>
            </w:pPr>
          </w:p>
        </w:tc>
        <w:tc>
          <w:tcPr>
            <w:tcW w:w="3360" w:type="dxa"/>
            <w:vAlign w:val="bottom"/>
          </w:tcPr>
          <w:p>
            <w:pPr>
              <w:spacing w:after="0"/>
              <w:rPr>
                <w:sz w:val="9"/>
                <w:szCs w:val="9"/>
                <w:color w:val="auto"/>
              </w:rPr>
            </w:pPr>
          </w:p>
        </w:tc>
        <w:tc>
          <w:tcPr>
            <w:tcW w:w="3380" w:type="dxa"/>
            <w:vAlign w:val="bottom"/>
            <w:shd w:val="clear" w:color="auto" w:fill="E9E9E9"/>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380" w:type="dxa"/>
            <w:vAlign w:val="bottom"/>
            <w:shd w:val="clear" w:color="auto" w:fill="E9E9E9"/>
          </w:tcPr>
          <w:p>
            <w:pPr>
              <w:spacing w:after="0"/>
              <w:rPr>
                <w:sz w:val="5"/>
                <w:szCs w:val="5"/>
                <w:color w:val="auto"/>
              </w:rPr>
            </w:pPr>
          </w:p>
        </w:tc>
        <w:tc>
          <w:tcPr>
            <w:tcW w:w="3360" w:type="dxa"/>
            <w:vAlign w:val="bottom"/>
          </w:tcPr>
          <w:p>
            <w:pPr>
              <w:spacing w:after="0"/>
              <w:rPr>
                <w:sz w:val="5"/>
                <w:szCs w:val="5"/>
                <w:color w:val="auto"/>
              </w:rPr>
            </w:pPr>
          </w:p>
        </w:tc>
        <w:tc>
          <w:tcPr>
            <w:tcW w:w="3380" w:type="dxa"/>
            <w:vAlign w:val="bottom"/>
            <w:shd w:val="clear" w:color="auto" w:fill="E9E9E9"/>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33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b w:val="1"/>
                <w:bCs w:val="1"/>
                <w:color w:val="202020"/>
                <w:w w:val="93"/>
              </w:rPr>
              <w:t>ELIZABETH CROWLEY</w:t>
            </w:r>
          </w:p>
        </w:tc>
        <w:tc>
          <w:tcPr>
            <w:tcW w:w="33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b w:val="1"/>
                <w:bCs w:val="1"/>
                <w:color w:val="202020"/>
                <w:w w:val="97"/>
              </w:rPr>
              <w:t>MARGO HEATH-CHIOZZI, M.D.</w:t>
            </w:r>
          </w:p>
        </w:tc>
        <w:tc>
          <w:tcPr>
            <w:tcW w:w="33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b w:val="1"/>
                <w:bCs w:val="1"/>
                <w:color w:val="202020"/>
                <w:w w:val="99"/>
              </w:rPr>
              <w:t>SAM MARTIN</w:t>
            </w:r>
          </w:p>
        </w:tc>
        <w:tc>
          <w:tcPr>
            <w:tcW w:w="0" w:type="dxa"/>
            <w:vAlign w:val="bottom"/>
          </w:tcPr>
          <w:p>
            <w:pPr>
              <w:spacing w:after="0"/>
              <w:rPr>
                <w:sz w:val="1"/>
                <w:szCs w:val="1"/>
                <w:color w:val="auto"/>
              </w:rPr>
            </w:pPr>
          </w:p>
        </w:tc>
      </w:tr>
      <w:tr>
        <w:trPr>
          <w:trHeight w:val="227"/>
        </w:trPr>
        <w:tc>
          <w:tcPr>
            <w:tcW w:w="338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w:t>
            </w:r>
          </w:p>
        </w:tc>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w:t>
            </w:r>
          </w:p>
        </w:tc>
        <w:tc>
          <w:tcPr>
            <w:tcW w:w="3380" w:type="dxa"/>
            <w:vAlign w:val="bottom"/>
            <w:shd w:val="clear" w:color="auto" w:fill="E9E9E9"/>
          </w:tcPr>
          <w:p>
            <w:pPr>
              <w:jc w:val="center"/>
              <w:spacing w:after="0"/>
              <w:rPr>
                <w:sz w:val="20"/>
                <w:szCs w:val="20"/>
                <w:color w:val="auto"/>
              </w:rPr>
            </w:pPr>
            <w:r>
              <w:rPr>
                <w:rFonts w:ascii="Arial" w:cs="Arial" w:eastAsia="Arial" w:hAnsi="Arial"/>
                <w:sz w:val="18"/>
                <w:szCs w:val="18"/>
                <w:b w:val="1"/>
                <w:bCs w:val="1"/>
                <w:color w:val="202020"/>
              </w:rPr>
              <w:t>Senior Vice President,</w:t>
            </w:r>
          </w:p>
        </w:tc>
        <w:tc>
          <w:tcPr>
            <w:tcW w:w="0" w:type="dxa"/>
            <w:vAlign w:val="bottom"/>
          </w:tcPr>
          <w:p>
            <w:pPr>
              <w:spacing w:after="0"/>
              <w:rPr>
                <w:sz w:val="1"/>
                <w:szCs w:val="1"/>
                <w:color w:val="auto"/>
              </w:rPr>
            </w:pPr>
          </w:p>
        </w:tc>
      </w:tr>
      <w:tr>
        <w:trPr>
          <w:trHeight w:val="110"/>
        </w:trPr>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Chief Product Development</w:t>
            </w:r>
          </w:p>
        </w:tc>
        <w:tc>
          <w:tcPr>
            <w:tcW w:w="3360" w:type="dxa"/>
            <w:vAlign w:val="bottom"/>
            <w:vMerge w:val="continue"/>
            <w:shd w:val="clear" w:color="auto" w:fill="E9E9E9"/>
          </w:tcPr>
          <w:p>
            <w:pPr>
              <w:spacing w:after="0"/>
              <w:rPr>
                <w:sz w:val="9"/>
                <w:szCs w:val="9"/>
                <w:color w:val="auto"/>
              </w:rPr>
            </w:pPr>
          </w:p>
        </w:tc>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Chief Financial Officer and</w:t>
            </w:r>
          </w:p>
        </w:tc>
        <w:tc>
          <w:tcPr>
            <w:tcW w:w="0" w:type="dxa"/>
            <w:vAlign w:val="bottom"/>
          </w:tcPr>
          <w:p>
            <w:pPr>
              <w:spacing w:after="0"/>
              <w:rPr>
                <w:sz w:val="1"/>
                <w:szCs w:val="1"/>
                <w:color w:val="auto"/>
              </w:rPr>
            </w:pPr>
          </w:p>
        </w:tc>
      </w:tr>
      <w:tr>
        <w:trPr>
          <w:trHeight w:val="110"/>
        </w:trPr>
        <w:tc>
          <w:tcPr>
            <w:tcW w:w="3380" w:type="dxa"/>
            <w:vAlign w:val="bottom"/>
            <w:vMerge w:val="continue"/>
            <w:shd w:val="clear" w:color="auto" w:fill="E9E9E9"/>
          </w:tcPr>
          <w:p>
            <w:pPr>
              <w:spacing w:after="0"/>
              <w:rPr>
                <w:sz w:val="9"/>
                <w:szCs w:val="9"/>
                <w:color w:val="auto"/>
              </w:rPr>
            </w:pPr>
          </w:p>
        </w:tc>
        <w:tc>
          <w:tcPr>
            <w:tcW w:w="336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Regulatory Affairs</w:t>
            </w:r>
          </w:p>
        </w:tc>
        <w:tc>
          <w:tcPr>
            <w:tcW w:w="3380" w:type="dxa"/>
            <w:vAlign w:val="bottom"/>
            <w:vMerge w:val="continue"/>
            <w:shd w:val="clear" w:color="auto" w:fill="E9E9E9"/>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Officer</w:t>
            </w:r>
          </w:p>
        </w:tc>
        <w:tc>
          <w:tcPr>
            <w:tcW w:w="3360" w:type="dxa"/>
            <w:vAlign w:val="bottom"/>
            <w:vMerge w:val="continue"/>
            <w:shd w:val="clear" w:color="auto" w:fill="E9E9E9"/>
          </w:tcPr>
          <w:p>
            <w:pPr>
              <w:spacing w:after="0"/>
              <w:rPr>
                <w:sz w:val="11"/>
                <w:szCs w:val="11"/>
                <w:color w:val="auto"/>
              </w:rPr>
            </w:pPr>
          </w:p>
        </w:tc>
        <w:tc>
          <w:tcPr>
            <w:tcW w:w="3380" w:type="dxa"/>
            <w:vAlign w:val="bottom"/>
            <w:vMerge w:val="restart"/>
            <w:shd w:val="clear" w:color="auto" w:fill="E9E9E9"/>
          </w:tcPr>
          <w:p>
            <w:pPr>
              <w:jc w:val="center"/>
              <w:spacing w:after="0"/>
              <w:rPr>
                <w:sz w:val="20"/>
                <w:szCs w:val="20"/>
                <w:color w:val="auto"/>
              </w:rPr>
            </w:pPr>
            <w:r>
              <w:rPr>
                <w:rFonts w:ascii="Arial" w:cs="Arial" w:eastAsia="Arial" w:hAnsi="Arial"/>
                <w:sz w:val="18"/>
                <w:szCs w:val="18"/>
                <w:b w:val="1"/>
                <w:bCs w:val="1"/>
                <w:color w:val="202020"/>
              </w:rPr>
              <w:t>Secretary</w:t>
            </w:r>
          </w:p>
        </w:tc>
        <w:tc>
          <w:tcPr>
            <w:tcW w:w="0" w:type="dxa"/>
            <w:vAlign w:val="bottom"/>
          </w:tcPr>
          <w:p>
            <w:pPr>
              <w:spacing w:after="0"/>
              <w:rPr>
                <w:sz w:val="1"/>
                <w:szCs w:val="1"/>
                <w:color w:val="auto"/>
              </w:rPr>
            </w:pPr>
          </w:p>
        </w:tc>
      </w:tr>
      <w:tr>
        <w:trPr>
          <w:trHeight w:val="110"/>
        </w:trPr>
        <w:tc>
          <w:tcPr>
            <w:tcW w:w="3380" w:type="dxa"/>
            <w:vAlign w:val="bottom"/>
            <w:vMerge w:val="continue"/>
            <w:shd w:val="clear" w:color="auto" w:fill="E9E9E9"/>
          </w:tcPr>
          <w:p>
            <w:pPr>
              <w:spacing w:after="0"/>
              <w:rPr>
                <w:sz w:val="9"/>
                <w:szCs w:val="9"/>
                <w:color w:val="auto"/>
              </w:rPr>
            </w:pPr>
          </w:p>
        </w:tc>
        <w:tc>
          <w:tcPr>
            <w:tcW w:w="3360" w:type="dxa"/>
            <w:vAlign w:val="bottom"/>
            <w:shd w:val="clear" w:color="auto" w:fill="E9E9E9"/>
          </w:tcPr>
          <w:p>
            <w:pPr>
              <w:spacing w:after="0"/>
              <w:rPr>
                <w:sz w:val="9"/>
                <w:szCs w:val="9"/>
                <w:color w:val="auto"/>
              </w:rPr>
            </w:pPr>
          </w:p>
        </w:tc>
        <w:tc>
          <w:tcPr>
            <w:tcW w:w="3380" w:type="dxa"/>
            <w:vAlign w:val="bottom"/>
            <w:vMerge w:val="continue"/>
            <w:shd w:val="clear" w:color="auto" w:fill="E9E9E9"/>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380" w:type="dxa"/>
            <w:vAlign w:val="bottom"/>
            <w:shd w:val="clear" w:color="auto" w:fill="E9E9E9"/>
          </w:tcPr>
          <w:p>
            <w:pPr>
              <w:spacing w:after="0"/>
              <w:rPr>
                <w:sz w:val="2"/>
                <w:szCs w:val="2"/>
                <w:color w:val="auto"/>
              </w:rPr>
            </w:pPr>
          </w:p>
        </w:tc>
        <w:tc>
          <w:tcPr>
            <w:tcW w:w="3360" w:type="dxa"/>
            <w:vAlign w:val="bottom"/>
            <w:shd w:val="clear" w:color="auto" w:fill="E9E9E9"/>
          </w:tcPr>
          <w:p>
            <w:pPr>
              <w:spacing w:after="0"/>
              <w:rPr>
                <w:sz w:val="2"/>
                <w:szCs w:val="2"/>
                <w:color w:val="auto"/>
              </w:rPr>
            </w:pPr>
          </w:p>
        </w:tc>
        <w:tc>
          <w:tcPr>
            <w:tcW w:w="3380" w:type="dxa"/>
            <w:vAlign w:val="bottom"/>
            <w:shd w:val="clear" w:color="auto" w:fill="E9E9E9"/>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-658495</wp:posOffset>
                </wp:positionV>
                <wp:extent cx="223647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6470" cy="4763"/>
                        </a:xfrm>
                        <a:prstGeom prst="line">
                          <a:avLst/>
                        </a:prstGeom>
                        <a:solidFill>
                          <a:srgbClr val="FFFFFF"/>
                        </a:solidFill>
                        <a:ln w="50685">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51.8499pt" to="176.15pt,-51.8499pt" o:allowincell="f" strokecolor="#FFFFFF" strokeweight="3.9909pt"/>
            </w:pict>
          </mc:Fallback>
        </mc:AlternateContent>
        <mc:AlternateContent>
          <mc:Choice Requires="wps">
            <w:drawing>
              <wp:anchor simplePos="0" relativeHeight="251657728" behindDoc="1" locked="0" layoutInCell="0" allowOverlap="1">
                <wp:simplePos x="0" y="0"/>
                <wp:positionH relativeFrom="column">
                  <wp:posOffset>4188460</wp:posOffset>
                </wp:positionH>
                <wp:positionV relativeFrom="paragraph">
                  <wp:posOffset>-658495</wp:posOffset>
                </wp:positionV>
                <wp:extent cx="223647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6470" cy="4763"/>
                        </a:xfrm>
                        <a:prstGeom prst="line">
                          <a:avLst/>
                        </a:prstGeom>
                        <a:solidFill>
                          <a:srgbClr val="FFFFFF"/>
                        </a:solidFill>
                        <a:ln w="50685">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8pt,-51.8499pt" to="505.9pt,-51.8499pt" o:allowincell="f" strokecolor="#FFFFFF" strokeweight="3.9909pt"/>
            </w:pict>
          </mc:Fallback>
        </mc:AlternateContent>
        <w:drawing>
          <wp:anchor simplePos="0" relativeHeight="251657728" behindDoc="1" locked="0" layoutInCell="0" allowOverlap="1">
            <wp:simplePos x="0" y="0"/>
            <wp:positionH relativeFrom="column">
              <wp:posOffset>2047240</wp:posOffset>
            </wp:positionH>
            <wp:positionV relativeFrom="paragraph">
              <wp:posOffset>-1316990</wp:posOffset>
            </wp:positionV>
            <wp:extent cx="2331720" cy="13176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7">
                      <a:extLst>
                        <a:ext uri="{28A0092B-C50C-407E-A947-70E740481C1C}"/>
                      </a:extLst>
                    </a:blip>
                    <a:srcRect/>
                    <a:stretch>
                      <a:fillRect/>
                    </a:stretch>
                  </pic:blipFill>
                  <pic:spPr bwMode="auto">
                    <a:xfrm>
                      <a:off x="0" y="0"/>
                      <a:ext cx="2331720" cy="1317625"/>
                    </a:xfrm>
                    <a:prstGeom prst="rect">
                      <a:avLst/>
                    </a:prstGeom>
                    <a:noFill/>
                  </pic:spPr>
                </pic:pic>
              </a:graphicData>
            </a:graphic>
          </wp:anchor>
        </w:drawing>
      </w:r>
    </w:p>
    <w:p>
      <w:pPr>
        <w:spacing w:after="0" w:line="6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02020"/>
        </w:rPr>
        <w:t>We establish corporate goals that are designed to contribute to the development of our lead programs, ensure that we manage our cash effectively and have sufficient funding to complete near-term development activities for our lead drug candidates and, where appropriate, to pursue partnerships and collaborations through which we can leverage the value of our drug candidates. We seek to link the financial interests of our Named Executive Officers to those of our stockholders by tying compensation to the achievement of these strategic corporate goals, which we believe will drive long-term stockholder value. Each year we establish corporate goals, the achievement of which we believe is essential to the long-term success of our business.</w:t>
      </w:r>
    </w:p>
    <w:p>
      <w:pPr>
        <w:spacing w:after="0" w:line="33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202020"/>
        </w:rPr>
        <w:t>The Compensation and Organization Development Committee has adopted a compensation philosophy that considers each executive’s experience, scope of position, individual performance and company constraints and reviews the executive compensation of our peer group and the Aon Global Life Sciences (“Aon”) Survey results. In June 2025, the Compensation and Organization Development Committee increased the annual base salary for Mr. Marucci, Dr. Keler, Ms. Crowley,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02020"/>
        </w:rPr>
        <w:t>Dr. Heath-Chiozzi and Mr. Martin by 4.0% to 6.0%. In December 2025, the Compensation and Organization Development Committee increased the annual base salary for Mr. Marucci, Dr. Keler, Ms. Crowley, Dr. Heath-Chiozzi and Mr. Martin by 1.4% to 4.6%. The December 2025 market adjustment followed an analysis of independent benchmarking data of peer companies as the Company prepares for potential commercialization with a view to make compensation competitive and retain a high performing management team.</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02020"/>
        </w:rPr>
        <w:t>In December 2025 and January 2026, our Compensation and Organization Development Committee reviewed our performance relative to our 2025 corporate goals. Our corporate goals cover priorities important to both our short and long-term success. The Committee considers both quantitative and qualitative results and applies discretion when evaluating performance and determining total bonus payout potential. Based on its evaluation of our performance against our strategic goals, including the achievement of stretch goals, the Committee determined a payout factor of 100% of the target.</w:t>
      </w:r>
    </w:p>
    <w:p>
      <w:pPr>
        <w:spacing w:after="0" w:line="40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26 |</w:t>
        <w:tab/>
        <w:t>Celldex Therapeutics</w:t>
      </w:r>
    </w:p>
    <w:p>
      <w:pPr>
        <w:sectPr>
          <w:pgSz w:w="11880" w:h="15480" w:orient="portrait"/>
          <w:cols w:equalWidth="0" w:num="1">
            <w:col w:w="10140"/>
          </w:cols>
          <w:pgMar w:left="880" w:top="544" w:right="860" w:bottom="96" w:gutter="0" w:footer="0" w:header="0"/>
        </w:sectPr>
      </w:pPr>
    </w:p>
    <w:bookmarkStart w:id="30" w:name="page31"/>
    <w:bookmarkEnd w:id="30"/>
    <w:p>
      <w:pPr>
        <w:ind w:left="8300"/>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202020"/>
        </w:rPr>
        <w:t>In 2025, we accomplished the following significant milestones during the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154940</wp:posOffset>
                </wp:positionV>
                <wp:extent cx="6424930" cy="304165"/>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304165"/>
                        </a:xfrm>
                        <a:prstGeom prst="rect">
                          <a:avLst/>
                        </a:prstGeom>
                        <a:solidFill>
                          <a:srgbClr val="CCCCCC"/>
                        </a:solidFill>
                      </wps:spPr>
                      <wps:bodyPr/>
                    </wps:wsp>
                  </a:graphicData>
                </a:graphic>
              </wp:anchor>
            </w:drawing>
          </mc:Choice>
          <mc:Fallback>
            <w:pict>
              <v:rect id="Shape 130" o:spid="_x0000_s1155" style="position:absolute;margin-left:0.05pt;margin-top:12.2pt;width:505.9pt;height:2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02020"/>
        </w:rPr>
        <w:t>Strong execution across the barzolvolimab clinical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104140</wp:posOffset>
                </wp:positionV>
                <wp:extent cx="6424930" cy="793305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7933055"/>
                        </a:xfrm>
                        <a:prstGeom prst="rect">
                          <a:avLst/>
                        </a:prstGeom>
                        <a:solidFill>
                          <a:srgbClr val="E9E9E9"/>
                        </a:solidFill>
                      </wps:spPr>
                      <wps:bodyPr/>
                    </wps:wsp>
                  </a:graphicData>
                </a:graphic>
              </wp:anchor>
            </w:drawing>
          </mc:Choice>
          <mc:Fallback>
            <w:pict>
              <v:rect id="Shape 131" o:spid="_x0000_s1156" style="position:absolute;margin-left:0.05pt;margin-top:8.2pt;width:505.9pt;height:624.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192" w:lineRule="exact"/>
        <w:rPr>
          <w:sz w:val="20"/>
          <w:szCs w:val="20"/>
          <w:color w:val="auto"/>
        </w:rPr>
      </w:pPr>
    </w:p>
    <w:p>
      <w:pPr>
        <w:ind w:left="60" w:right="360"/>
        <w:spacing w:after="0" w:line="265" w:lineRule="auto"/>
        <w:rPr>
          <w:sz w:val="20"/>
          <w:szCs w:val="20"/>
          <w:color w:val="auto"/>
        </w:rPr>
      </w:pPr>
      <w:r>
        <w:rPr>
          <w:rFonts w:ascii="Arial" w:cs="Arial" w:eastAsia="Arial" w:hAnsi="Arial"/>
          <w:sz w:val="18"/>
          <w:szCs w:val="18"/>
          <w:color w:val="202020"/>
        </w:rPr>
        <w:t>In 2025, we made significant progress across the barzolvolimab development program, including strong execution across our Phase 3 chronic spontaneous urticaria (CSU) studies that supported enrollment completion six months ahead of guidance in February 2026, the initiation of our Phase 3 program in Cold Urticaria (ColdU) and Symptomatic Dermographism (SD) and the reporting of multiple positive data sets, including best-in-disease data from Phase 2 studies in both CSU and ColdU/SD.</w:t>
      </w:r>
    </w:p>
    <w:p>
      <w:pPr>
        <w:spacing w:after="0" w:line="55" w:lineRule="exact"/>
        <w:rPr>
          <w:sz w:val="20"/>
          <w:szCs w:val="20"/>
          <w:color w:val="auto"/>
        </w:rPr>
      </w:pPr>
    </w:p>
    <w:p>
      <w:pPr>
        <w:ind w:left="60" w:right="120"/>
        <w:spacing w:after="0" w:line="263" w:lineRule="auto"/>
        <w:rPr>
          <w:sz w:val="20"/>
          <w:szCs w:val="20"/>
          <w:color w:val="auto"/>
        </w:rPr>
      </w:pPr>
      <w:r>
        <w:rPr>
          <w:rFonts w:ascii="Arial" w:cs="Arial" w:eastAsia="Arial" w:hAnsi="Arial"/>
          <w:sz w:val="18"/>
          <w:szCs w:val="18"/>
          <w:color w:val="202020"/>
        </w:rPr>
        <w:t>The global Phase 3 program in CSU consists of two Phase 3 trials (EMBARQ-CSU1 and EMBARQ-CSU2) and enrollment is complete. The studies are designed to establish the efficacy and safety of barzolvolimab in adult patients with CSU who remain symptomatic despite H1 antihistamine treatment and also include patients who remain symptomatic after treatment with biologics. EMBARQ-CSU1 and EMBARQ-CSU2 enrolled 1,939 patients — the largest program conducted in antihistamine refractory CSU, including patients with advanced therapy experienced/refractory CSU. The studies included 43 countries and over 500 sites. Topline data from the study is expected in the fourth quarter of 2026.</w:t>
      </w:r>
    </w:p>
    <w:p>
      <w:pPr>
        <w:spacing w:after="0" w:line="56" w:lineRule="exact"/>
        <w:rPr>
          <w:sz w:val="20"/>
          <w:szCs w:val="20"/>
          <w:color w:val="auto"/>
        </w:rPr>
      </w:pPr>
    </w:p>
    <w:p>
      <w:pPr>
        <w:ind w:left="60" w:right="60"/>
        <w:spacing w:after="0" w:line="254" w:lineRule="auto"/>
        <w:rPr>
          <w:sz w:val="20"/>
          <w:szCs w:val="20"/>
          <w:color w:val="auto"/>
        </w:rPr>
      </w:pPr>
      <w:r>
        <w:rPr>
          <w:rFonts w:ascii="Arial" w:cs="Arial" w:eastAsia="Arial" w:hAnsi="Arial"/>
          <w:sz w:val="18"/>
          <w:szCs w:val="18"/>
          <w:color w:val="202020"/>
        </w:rPr>
        <w:t>Based on results from the completed Phase 2 study of barzolvolimab in CSU, we believe barzolvolimab has the potential to deliver a first-in-class and best-in-disease clinical profile — symptom free complete control and dramatic improvements in quality of life and angioedema. The primary endpoint of the study was met, a statistically significant mean change from baseline to week 12 in UAS7 (weekly urticaria activity score), across all dose levels and all secondary endpoints were also met. Up to 51% of patients on study had a complete response and were symptom free (UAS7=0; no itch/no hives) at 12 weeks, which continued to deepen over 52 weeks of active therapy to up to 71% of patients. In 2025, we reported data that demonstrated that this profound clinical benefit continued even after patients were off therapy with up to 41% of patients reporting complete response seven months after receiving their last dose. This sustained off-treatment efficacy was observed despite barzolvolimab clearance and normalization of tryptase (a measure of mast cell burden), suggesting disease modification and supports barzolvolimab’s significant potential to become a transformative treatment option for patients suffering from CSU. Patients also reported dramatic improvements in angioedema control and quality of life. At 12 weeks, up to 65% of barzolvolimab treated patients were angioedema free (AAS7=0), which increased to up to 77% at Week 52 and remained at up to 64% seven months after last dose. At</w:t>
      </w:r>
    </w:p>
    <w:p>
      <w:pPr>
        <w:spacing w:after="0" w:line="5" w:lineRule="exact"/>
        <w:rPr>
          <w:sz w:val="20"/>
          <w:szCs w:val="20"/>
          <w:color w:val="auto"/>
        </w:rPr>
      </w:pPr>
    </w:p>
    <w:p>
      <w:pPr>
        <w:ind w:left="60" w:right="420"/>
        <w:spacing w:after="0" w:line="254" w:lineRule="auto"/>
        <w:rPr>
          <w:sz w:val="20"/>
          <w:szCs w:val="20"/>
          <w:color w:val="auto"/>
        </w:rPr>
      </w:pPr>
      <w:r>
        <w:rPr>
          <w:rFonts w:ascii="Arial" w:cs="Arial" w:eastAsia="Arial" w:hAnsi="Arial"/>
          <w:sz w:val="18"/>
          <w:szCs w:val="18"/>
          <w:color w:val="202020"/>
        </w:rPr>
        <w:t>12 weeks, up to 67% of patients treated with barzolvolimab reported their CSU had no impact on their quality of life (DLQI 0/1), which increased to up to 82% at Week 52 and remained at up to 48% seven months after last dose.</w:t>
      </w:r>
    </w:p>
    <w:p>
      <w:pPr>
        <w:spacing w:after="0" w:line="1" w:lineRule="exact"/>
        <w:rPr>
          <w:sz w:val="20"/>
          <w:szCs w:val="20"/>
          <w:color w:val="auto"/>
        </w:rPr>
      </w:pPr>
    </w:p>
    <w:p>
      <w:pPr>
        <w:ind w:left="60" w:right="240"/>
        <w:spacing w:after="0" w:line="265" w:lineRule="auto"/>
        <w:rPr>
          <w:sz w:val="20"/>
          <w:szCs w:val="20"/>
          <w:color w:val="auto"/>
        </w:rPr>
      </w:pPr>
      <w:r>
        <w:rPr>
          <w:rFonts w:ascii="Arial" w:cs="Arial" w:eastAsia="Arial" w:hAnsi="Arial"/>
          <w:sz w:val="18"/>
          <w:szCs w:val="18"/>
          <w:color w:val="202020"/>
        </w:rPr>
        <w:t>The global Phase 3 program in ColdU and SD (EMBARQ-ColdU and SD) opened to enrollment in December 2025 and enrollment is ongoing. The study is designed to establish the efficacy and safety of barzolvolimab in adult participants with ColdU and SD who remain symptomatic despite H1 antihistamine treatment. Participants who remain symptomatic after treatment with biologics are also eligible for the study. The Phase 3 study will recruit approximately 240 participants (120 ColdU; 120 SD) from approximately 75 clinical trial sites across 7 countries.</w:t>
      </w:r>
    </w:p>
    <w:p>
      <w:pPr>
        <w:spacing w:after="0" w:line="55" w:lineRule="exact"/>
        <w:rPr>
          <w:sz w:val="20"/>
          <w:szCs w:val="20"/>
          <w:color w:val="auto"/>
        </w:rPr>
      </w:pPr>
    </w:p>
    <w:p>
      <w:pPr>
        <w:ind w:left="60" w:right="60"/>
        <w:spacing w:after="0" w:line="257" w:lineRule="auto"/>
        <w:rPr>
          <w:sz w:val="20"/>
          <w:szCs w:val="20"/>
          <w:color w:val="auto"/>
        </w:rPr>
      </w:pPr>
      <w:r>
        <w:rPr>
          <w:rFonts w:ascii="Arial" w:cs="Arial" w:eastAsia="Arial" w:hAnsi="Arial"/>
          <w:sz w:val="18"/>
          <w:szCs w:val="18"/>
          <w:color w:val="202020"/>
        </w:rPr>
        <w:t>In 2025, we completed our Phase 2 study in ColdU and SD. Barzolvolimab is the first drug to demonstrate clinical benefit in patients with these conditions in a large, randomized, placebo-controlled study, meeting all primary and secondary endpoints at both 12 and 20 weeks. Up to 53.1% of patients with ColdU and 57.6% of patients with SD treated with barzolvolimab experienced a complete response (per provocation test) compared to placebo rates of only 12.5% (p=0.0011) in ColdU and 3.2% (p&lt;0.0001) in SD. In November 2025, we reported that these effects were sustained through the end of the treatment period (20 weeks) with up to 78% of patients with ColdU and 58% of patients with SD obtaining a partial or complete response. Marked and rapid improvement in quality of life was also observed and sustained through the 20-week period with up to 60% of patients reporting that disease symptoms no longer impacted their QOL at Week 20. Patients were followed for up to 24 weeks after treatment completion and patients with returning or continuing symptoms were given the option to enter an open label extension (OLE) during this follow up period. Consistent with the clinical endpoint results at Week 20, placebo-treated patients entered the OLE at a faster rate compared to barzolvolimab-treated patients. In March of 2026, data from the OLE were presented demonstrating barzolvolimab retreatment achieves similar profound efficacy to first exposure in patients with ColdU and SD further supporting barzolvolimab’s first-in-class and best-in-disease profile.</w:t>
      </w:r>
    </w:p>
    <w:p>
      <w:pPr>
        <w:spacing w:after="0" w:line="291" w:lineRule="exact"/>
        <w:rPr>
          <w:sz w:val="20"/>
          <w:szCs w:val="20"/>
          <w:color w:val="auto"/>
        </w:rPr>
      </w:pPr>
    </w:p>
    <w:p>
      <w:pPr>
        <w:ind w:left="60" w:right="140"/>
        <w:spacing w:after="0" w:line="260" w:lineRule="auto"/>
        <w:rPr>
          <w:sz w:val="20"/>
          <w:szCs w:val="20"/>
          <w:color w:val="auto"/>
        </w:rPr>
      </w:pPr>
      <w:r>
        <w:rPr>
          <w:rFonts w:ascii="Arial" w:cs="Arial" w:eastAsia="Arial" w:hAnsi="Arial"/>
          <w:sz w:val="18"/>
          <w:szCs w:val="18"/>
          <w:color w:val="202020"/>
        </w:rPr>
        <w:t>We continued to execute across the Phase 2 studies of barzolvolimab in patients with eosinophilic esophagitis (EOE), prurigo nodularis (PN) and atopic dermatitis (AD) in 2025. Data from the EOE study were presented in August 2025. The study met the primary endpoint demonstrating barzolvolimab’s ability to potently deplete mast cells in the gastrointestinal tract. The depletion of mast cells did not result in improved clinical outcomes providing direct evidence that mast cells are not a primary driver in EoE. Based on these results, Celldex did not advance development in EoE but will consider future development with KIT- or SCF-targeted therapies in other GI indications where mucosal mast cells are believed to play an important role. Enrollment to the Phase 2 studies in PN and AD is complete and topline data from these programs are expected in summer 2026 and late 2026, respectively.</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202020"/>
        </w:rPr>
        <w:t>Barzolvolimab has demonstrated a well-tolerated safety profile across all studies reported to date.</w:t>
      </w:r>
    </w:p>
    <w:p>
      <w:pPr>
        <w:spacing w:after="0" w:line="354" w:lineRule="exact"/>
        <w:rPr>
          <w:sz w:val="20"/>
          <w:szCs w:val="20"/>
          <w:color w:val="auto"/>
        </w:rPr>
      </w:pPr>
    </w:p>
    <w:p>
      <w:pPr>
        <w:jc w:val="right"/>
        <w:spacing w:after="0"/>
        <w:tabs>
          <w:tab w:leader="none" w:pos="320" w:val="left"/>
        </w:tabs>
        <w:rPr>
          <w:sz w:val="20"/>
          <w:szCs w:val="20"/>
          <w:color w:val="auto"/>
        </w:rPr>
      </w:pPr>
      <w:r>
        <w:rPr>
          <w:rFonts w:ascii="Arial" w:cs="Arial" w:eastAsia="Arial" w:hAnsi="Arial"/>
          <w:sz w:val="18"/>
          <w:szCs w:val="18"/>
          <w:color w:val="202020"/>
        </w:rPr>
        <w:t>Celldex Therapeutics</w:t>
        <w:tab/>
        <w:t>| 27</w:t>
      </w:r>
    </w:p>
    <w:p>
      <w:pPr>
        <w:sectPr>
          <w:pgSz w:w="11880" w:h="15480" w:orient="portrait"/>
          <w:cols w:equalWidth="0" w:num="1">
            <w:col w:w="10120"/>
          </w:cols>
          <w:pgMar w:left="880" w:top="544" w:right="880" w:bottom="96" w:gutter="0" w:footer="0" w:header="0"/>
        </w:sectPr>
      </w:pPr>
    </w:p>
    <w:bookmarkStart w:id="31" w:name="page32"/>
    <w:bookmarkEnd w:id="31"/>
    <w:p>
      <w:pPr>
        <w:spacing w:after="0"/>
        <w:rPr>
          <w:sz w:val="20"/>
          <w:szCs w:val="20"/>
          <w:color w:val="auto"/>
        </w:rPr>
      </w:pPr>
      <w:r>
        <w:rPr>
          <w:rFonts w:ascii="Arial" w:cs="Arial" w:eastAsia="Arial" w:hAnsi="Arial"/>
          <w:sz w:val="16"/>
          <w:szCs w:val="16"/>
          <w:color w:val="202020"/>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181610</wp:posOffset>
                </wp:positionV>
                <wp:extent cx="6424930" cy="30416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304165"/>
                        </a:xfrm>
                        <a:prstGeom prst="rect">
                          <a:avLst/>
                        </a:prstGeom>
                        <a:solidFill>
                          <a:srgbClr val="CCCCCC"/>
                        </a:solidFill>
                      </wps:spPr>
                      <wps:bodyPr/>
                    </wps:wsp>
                  </a:graphicData>
                </a:graphic>
              </wp:anchor>
            </w:drawing>
          </mc:Choice>
          <mc:Fallback>
            <w:pict>
              <v:rect id="Shape 132" o:spid="_x0000_s1157" style="position:absolute;margin-left:0.05pt;margin-top:14.3pt;width:505.9pt;height:2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02020"/>
        </w:rPr>
        <w:t>Continued progress across our bispecific platform: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104140</wp:posOffset>
                </wp:positionV>
                <wp:extent cx="6424930" cy="197739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1977390"/>
                        </a:xfrm>
                        <a:prstGeom prst="rect">
                          <a:avLst/>
                        </a:prstGeom>
                        <a:solidFill>
                          <a:srgbClr val="E9E9E9"/>
                        </a:solidFill>
                      </wps:spPr>
                      <wps:bodyPr/>
                    </wps:wsp>
                  </a:graphicData>
                </a:graphic>
              </wp:anchor>
            </w:drawing>
          </mc:Choice>
          <mc:Fallback>
            <w:pict>
              <v:rect id="Shape 133" o:spid="_x0000_s1158" style="position:absolute;margin-left:0.05pt;margin-top:8.2pt;width:505.9pt;height:15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192" w:lineRule="exact"/>
        <w:rPr>
          <w:sz w:val="20"/>
          <w:szCs w:val="20"/>
          <w:color w:val="auto"/>
        </w:rPr>
      </w:pPr>
    </w:p>
    <w:p>
      <w:pPr>
        <w:ind w:left="60" w:right="100"/>
        <w:spacing w:after="0" w:line="291" w:lineRule="auto"/>
        <w:rPr>
          <w:sz w:val="20"/>
          <w:szCs w:val="20"/>
          <w:color w:val="auto"/>
        </w:rPr>
      </w:pPr>
      <w:r>
        <w:rPr>
          <w:rFonts w:ascii="Arial" w:cs="Arial" w:eastAsia="Arial" w:hAnsi="Arial"/>
          <w:sz w:val="18"/>
          <w:szCs w:val="18"/>
          <w:color w:val="202020"/>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74" w:lineRule="exact"/>
        <w:rPr>
          <w:sz w:val="20"/>
          <w:szCs w:val="20"/>
          <w:color w:val="auto"/>
        </w:rPr>
      </w:pPr>
    </w:p>
    <w:p>
      <w:pPr>
        <w:ind w:left="60" w:right="180"/>
        <w:spacing w:after="0" w:line="284" w:lineRule="auto"/>
        <w:rPr>
          <w:sz w:val="20"/>
          <w:szCs w:val="20"/>
          <w:color w:val="auto"/>
        </w:rPr>
      </w:pPr>
      <w:r>
        <w:rPr>
          <w:rFonts w:ascii="Arial" w:cs="Arial" w:eastAsia="Arial" w:hAnsi="Arial"/>
          <w:sz w:val="18"/>
          <w:szCs w:val="18"/>
          <w:color w:val="202020"/>
        </w:rPr>
        <w:t>CDX-622, the first candidate, targets two complementary pathways that drive chronic inflammation, potently neutralizing the alarmin thymic stromal lymphopoietin (TSLP) and depleting mast cells via stem cell factor (SCF) starvation. In November 2024, a multi-part Phase 1 dose-escalation study in healthy volunteers was initiated and enrollment was completed across all parts in January 2026. Positive data from the single ascending dose portion of the study was presented in October 2025 demonstrating a favorable safety and pharmacokinetic profile and sustained mast cell inhibition. Data from the multiple ascending dose portion of the study and subcutaneous administration are anticipated in the third quarter of 2026. In January 2026, we initiated an open-label, single-dose Phase 1 proof of mechanism study in adults with mild to moderate asthma.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274955</wp:posOffset>
                </wp:positionV>
                <wp:extent cx="6424930" cy="35496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354965"/>
                        </a:xfrm>
                        <a:prstGeom prst="rect">
                          <a:avLst/>
                        </a:prstGeom>
                        <a:solidFill>
                          <a:srgbClr val="CCCCCC"/>
                        </a:solidFill>
                      </wps:spPr>
                      <wps:bodyPr/>
                    </wps:wsp>
                  </a:graphicData>
                </a:graphic>
              </wp:anchor>
            </w:drawing>
          </mc:Choice>
          <mc:Fallback>
            <w:pict>
              <v:rect id="Shape 134" o:spid="_x0000_s1159" style="position:absolute;margin-left:0.05pt;margin-top:21.65pt;width:505.9pt;height:27.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200" w:lineRule="exact"/>
        <w:rPr>
          <w:sz w:val="20"/>
          <w:szCs w:val="20"/>
          <w:color w:val="auto"/>
        </w:rPr>
      </w:pPr>
    </w:p>
    <w:p>
      <w:pPr>
        <w:spacing w:after="0" w:line="260" w:lineRule="exact"/>
        <w:rPr>
          <w:sz w:val="20"/>
          <w:szCs w:val="20"/>
          <w:color w:val="auto"/>
        </w:rPr>
      </w:pPr>
    </w:p>
    <w:p>
      <w:pPr>
        <w:ind w:left="60" w:right="640"/>
        <w:spacing w:after="0" w:line="274" w:lineRule="auto"/>
        <w:rPr>
          <w:sz w:val="20"/>
          <w:szCs w:val="20"/>
          <w:color w:val="auto"/>
        </w:rPr>
      </w:pPr>
      <w:r>
        <w:rPr>
          <w:rFonts w:ascii="Arial" w:cs="Arial" w:eastAsia="Arial" w:hAnsi="Arial"/>
          <w:sz w:val="18"/>
          <w:szCs w:val="18"/>
          <w:b w:val="1"/>
          <w:bCs w:val="1"/>
          <w:color w:val="202020"/>
        </w:rPr>
        <w:t>Fund the continued development of our clinical and preclinical programs and the overall operation of our business: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600" w:type="dxa"/>
            <w:vAlign w:val="bottom"/>
            <w:shd w:val="clear" w:color="auto" w:fill="E9E9E9"/>
          </w:tcPr>
          <w:p>
            <w:pPr>
              <w:ind w:left="60"/>
              <w:spacing w:after="0"/>
              <w:rPr>
                <w:sz w:val="20"/>
                <w:szCs w:val="20"/>
                <w:color w:val="auto"/>
              </w:rPr>
            </w:pPr>
            <w:r>
              <w:rPr>
                <w:rFonts w:ascii="Arial" w:cs="Arial" w:eastAsia="Arial" w:hAnsi="Arial"/>
                <w:sz w:val="18"/>
                <w:szCs w:val="18"/>
                <w:color w:val="202020"/>
              </w:rPr>
              <w:t>We ended 2025 with cash, cash equivalents and marketable securities of $519 million which is</w:t>
            </w:r>
          </w:p>
        </w:tc>
        <w:tc>
          <w:tcPr>
            <w:tcW w:w="1520" w:type="dxa"/>
            <w:vAlign w:val="bottom"/>
            <w:vMerge w:val="restart"/>
            <w:shd w:val="clear" w:color="auto" w:fill="8F8F8F"/>
          </w:tcPr>
          <w:p>
            <w:pPr>
              <w:ind w:left="120"/>
              <w:spacing w:after="0"/>
              <w:rPr>
                <w:sz w:val="20"/>
                <w:szCs w:val="20"/>
                <w:color w:val="auto"/>
              </w:rPr>
            </w:pPr>
            <w:r>
              <w:rPr>
                <w:rFonts w:ascii="Arial" w:cs="Arial" w:eastAsia="Arial" w:hAnsi="Arial"/>
                <w:sz w:val="40"/>
                <w:szCs w:val="40"/>
                <w:b w:val="1"/>
                <w:bCs w:val="1"/>
                <w:color w:val="FFFFFF"/>
                <w:shd w:val="clear" w:color="auto" w:fill="8F8F8F"/>
              </w:rPr>
              <w:t>$519M</w:t>
            </w:r>
          </w:p>
        </w:tc>
        <w:tc>
          <w:tcPr>
            <w:tcW w:w="0" w:type="dxa"/>
            <w:vAlign w:val="bottom"/>
          </w:tcPr>
          <w:p>
            <w:pPr>
              <w:spacing w:after="0"/>
              <w:rPr>
                <w:sz w:val="1"/>
                <w:szCs w:val="1"/>
                <w:color w:val="auto"/>
              </w:rPr>
            </w:pPr>
          </w:p>
        </w:tc>
      </w:tr>
      <w:tr>
        <w:trPr>
          <w:trHeight w:val="192"/>
        </w:trPr>
        <w:tc>
          <w:tcPr>
            <w:tcW w:w="8600" w:type="dxa"/>
            <w:vAlign w:val="bottom"/>
            <w:vMerge w:val="restart"/>
            <w:shd w:val="clear" w:color="auto" w:fill="E9E9E9"/>
          </w:tcPr>
          <w:p>
            <w:pPr>
              <w:ind w:left="60"/>
              <w:spacing w:after="0"/>
              <w:rPr>
                <w:sz w:val="20"/>
                <w:szCs w:val="20"/>
                <w:color w:val="auto"/>
              </w:rPr>
            </w:pPr>
            <w:r>
              <w:rPr>
                <w:rFonts w:ascii="Arial" w:cs="Arial" w:eastAsia="Arial" w:hAnsi="Arial"/>
                <w:sz w:val="18"/>
                <w:szCs w:val="18"/>
                <w:color w:val="202020"/>
              </w:rPr>
              <w:t>sufficient to meet estimated working capital requirements and fund current planned operations</w:t>
            </w:r>
          </w:p>
        </w:tc>
        <w:tc>
          <w:tcPr>
            <w:tcW w:w="1520" w:type="dxa"/>
            <w:vAlign w:val="bottom"/>
            <w:vMerge w:val="continue"/>
            <w:shd w:val="clear" w:color="auto" w:fill="8F8F8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600" w:type="dxa"/>
            <w:vAlign w:val="bottom"/>
            <w:vMerge w:val="continue"/>
            <w:shd w:val="clear" w:color="auto" w:fill="E9E9E9"/>
          </w:tcPr>
          <w:p>
            <w:pPr>
              <w:spacing w:after="0"/>
              <w:rPr>
                <w:sz w:val="4"/>
                <w:szCs w:val="4"/>
                <w:color w:val="auto"/>
              </w:rPr>
            </w:pPr>
          </w:p>
        </w:tc>
        <w:tc>
          <w:tcPr>
            <w:tcW w:w="1520" w:type="dxa"/>
            <w:vAlign w:val="bottom"/>
            <w:shd w:val="clear" w:color="auto" w:fill="8F8F8F"/>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600" w:type="dxa"/>
            <w:vAlign w:val="bottom"/>
            <w:shd w:val="clear" w:color="auto" w:fill="E9E9E9"/>
          </w:tcPr>
          <w:p>
            <w:pPr>
              <w:ind w:left="60"/>
              <w:spacing w:after="0"/>
              <w:rPr>
                <w:sz w:val="20"/>
                <w:szCs w:val="20"/>
                <w:color w:val="auto"/>
              </w:rPr>
            </w:pPr>
            <w:r>
              <w:rPr>
                <w:rFonts w:ascii="Arial" w:cs="Arial" w:eastAsia="Arial" w:hAnsi="Arial"/>
                <w:sz w:val="18"/>
                <w:szCs w:val="18"/>
                <w:color w:val="202020"/>
              </w:rPr>
              <w:t>through 2027.</w:t>
            </w:r>
          </w:p>
        </w:tc>
        <w:tc>
          <w:tcPr>
            <w:tcW w:w="1520" w:type="dxa"/>
            <w:vAlign w:val="bottom"/>
            <w:shd w:val="clear" w:color="auto" w:fill="8F8F8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8600" w:type="dxa"/>
            <w:vAlign w:val="bottom"/>
            <w:shd w:val="clear" w:color="auto" w:fill="E9E9E9"/>
          </w:tcPr>
          <w:p>
            <w:pPr>
              <w:spacing w:after="0"/>
              <w:rPr>
                <w:sz w:val="9"/>
                <w:szCs w:val="9"/>
                <w:color w:val="auto"/>
              </w:rPr>
            </w:pPr>
          </w:p>
        </w:tc>
        <w:tc>
          <w:tcPr>
            <w:tcW w:w="1520" w:type="dxa"/>
            <w:vAlign w:val="bottom"/>
            <w:shd w:val="clear" w:color="auto" w:fill="8F8F8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101600</wp:posOffset>
                </wp:positionV>
                <wp:extent cx="6424930" cy="30416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304165"/>
                        </a:xfrm>
                        <a:prstGeom prst="rect">
                          <a:avLst/>
                        </a:prstGeom>
                        <a:solidFill>
                          <a:srgbClr val="CCCCCC"/>
                        </a:solidFill>
                      </wps:spPr>
                      <wps:bodyPr/>
                    </wps:wsp>
                  </a:graphicData>
                </a:graphic>
              </wp:anchor>
            </w:drawing>
          </mc:Choice>
          <mc:Fallback>
            <w:pict>
              <v:rect id="Shape 135" o:spid="_x0000_s1160" style="position:absolute;margin-left:0.05pt;margin-top:8pt;width:505.9pt;height:2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CCCCC" stroked="f"/>
            </w:pict>
          </mc:Fallback>
        </mc:AlternateContent>
      </w: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02020"/>
        </w:rPr>
        <w:t>Execute across Diversity and Inclusion (D&amp;I) initiatives: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104140</wp:posOffset>
                </wp:positionV>
                <wp:extent cx="6424930" cy="68453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930" cy="684530"/>
                        </a:xfrm>
                        <a:prstGeom prst="rect">
                          <a:avLst/>
                        </a:prstGeom>
                        <a:solidFill>
                          <a:srgbClr val="E9E9E9"/>
                        </a:solidFill>
                      </wps:spPr>
                      <wps:bodyPr/>
                    </wps:wsp>
                  </a:graphicData>
                </a:graphic>
              </wp:anchor>
            </w:drawing>
          </mc:Choice>
          <mc:Fallback>
            <w:pict>
              <v:rect id="Shape 136" o:spid="_x0000_s1161" style="position:absolute;margin-left:0.05pt;margin-top:8.2pt;width:505.9pt;height:5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w:r>
    </w:p>
    <w:p>
      <w:pPr>
        <w:spacing w:after="0" w:line="192" w:lineRule="exact"/>
        <w:rPr>
          <w:sz w:val="20"/>
          <w:szCs w:val="20"/>
          <w:color w:val="auto"/>
        </w:rPr>
      </w:pPr>
    </w:p>
    <w:p>
      <w:pPr>
        <w:ind w:left="60" w:right="60"/>
        <w:spacing w:after="0" w:line="291" w:lineRule="auto"/>
        <w:rPr>
          <w:sz w:val="20"/>
          <w:szCs w:val="20"/>
          <w:color w:val="auto"/>
        </w:rPr>
      </w:pPr>
      <w:r>
        <w:rPr>
          <w:rFonts w:ascii="Arial" w:cs="Arial" w:eastAsia="Arial" w:hAnsi="Arial"/>
          <w:sz w:val="18"/>
          <w:szCs w:val="18"/>
          <w:color w:val="202020"/>
        </w:rPr>
        <w:t>In 2025, we continued our commitment to diversity and inclusion by promoting a welcoming, diverse environment, including our partnership with the internal Employee Resource Group (ERG). The ERG continued to focus their efforts on hosting local urban high school and college STEM students for experiential learning in biotechnology and delivering various employee educational programs at Celldex.</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Independent Compensation Consultants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202020"/>
        </w:rPr>
        <w:t>The Compensation and Organization Development Committee believes that independent advice is important in developing Celldex’s director and executive compensation programs and engages Aon’s Human Capital Solutions practice, a division of Aon plc, as its independent compensation consultant. Aon reports directly to the Compensation and Organization Development Committee and provides guidance on trends in executive and non-employee director compensation, the development of specific executive compensation programs, the composition of the Company’s compensation peer group and other matters as directed by the Compensation and Organization Development Committee. The Company also participated in various Aon surveys in 2025. In 2025, Aon did not provide any other services to Celldex. The Compensation and Organization Development Committee has assessed the independence of Aon and concluded that no conflict of interests exists under applicable NASDAQ and SEC rules.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Data Used to Make Compensation Determinations</w:t>
      </w:r>
    </w:p>
    <w:p>
      <w:pPr>
        <w:spacing w:after="0" w:line="180"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202020"/>
        </w:rPr>
        <w:t>In making decisions regarding the compensation of our Executive Officers, the Compensation and Organization Development Committee generally considers compensation and survey data for similarly situated executives at a comparison group of companies it considers our peer group as a reference point. These comparison data are primarily used to gauge the reasonableness and competitiveness of executive compensation decisions, but are not used to set compensation formulaically.</w:t>
      </w:r>
    </w:p>
    <w:p>
      <w:pPr>
        <w:spacing w:after="0" w:line="116" w:lineRule="exact"/>
        <w:rPr>
          <w:sz w:val="20"/>
          <w:szCs w:val="20"/>
          <w:color w:val="auto"/>
        </w:rPr>
      </w:pPr>
    </w:p>
    <w:p>
      <w:pPr>
        <w:spacing w:after="0" w:line="261" w:lineRule="auto"/>
        <w:rPr>
          <w:sz w:val="20"/>
          <w:szCs w:val="20"/>
          <w:color w:val="auto"/>
        </w:rPr>
      </w:pPr>
      <w:r>
        <w:rPr>
          <w:rFonts w:ascii="Arial" w:cs="Arial" w:eastAsia="Arial" w:hAnsi="Arial"/>
          <w:sz w:val="18"/>
          <w:szCs w:val="18"/>
          <w:color w:val="202020"/>
        </w:rPr>
        <w:t>We draw upon a pool of talent that is highly sought after by large and established pharmaceutical and biotechnology companies as well as other development-stage life science companies, both within and outside our geographic areas. We believe that the compensation practices of our industry in general and of our select peer group in particular provide useful information to help us establish compensation practices that allow us to attract, reward, motivate and retain a highly talented executive team. We believe we must offer a compensation package to all of our officers and our other employees that is competitive with our peer group, as well as larger pharmaceutical and biotechnology companies from whom we frequently draw talent. In addition, the comparator companies should be aligned with our current stage of development and have similar short and long-term growth objectives. The Compensation and Organization Development Committee’s pay for performance philosophy considers the compensation of our peer group when assessing total executive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28 |</w:t>
        <w:tab/>
        <w:t>Celldex Therapeutics</w:t>
      </w:r>
    </w:p>
    <w:p>
      <w:pPr>
        <w:sectPr>
          <w:pgSz w:w="11880" w:h="15480" w:orient="portrait"/>
          <w:cols w:equalWidth="0" w:num="1">
            <w:col w:w="10120"/>
          </w:cols>
          <w:pgMar w:left="880" w:top="544" w:right="880" w:bottom="96" w:gutter="0" w:footer="0" w:header="0"/>
        </w:sectPr>
      </w:pPr>
    </w:p>
    <w:bookmarkStart w:id="32" w:name="page33"/>
    <w:bookmarkEnd w:id="32"/>
    <w:p>
      <w:pPr>
        <w:ind w:left="8300"/>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202020"/>
        </w:rPr>
        <w:t>compensation and other key factors related to compensation including but not limited to overall job scope/span, performance, impact to corporate goals, tenure and market dynamics to set individual compensation. The Committee reviews and adjusts compensation as appropriate over the course of the year.</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202020"/>
        </w:rPr>
        <w:t>We review the cash, equity and total compensation for all comparable officers in our peer group relative to the elements of compensation paid to our officers. In considering how these data relate to our existing compensation structure, we also take into account our size, stage of development, performance and geographic location as compared to these peer companies, as well as what we know about the comparable scope of responsibilities of our officers versus those of comparable executives at such peer group companies. We used two primary market frames of reference (which we refer to as the “market”) against which to compare our total executive compensation practices and levels and inform our decisions regarding compensation of our officers as follows:</w:t>
      </w:r>
    </w:p>
    <w:p>
      <w:pPr>
        <w:spacing w:after="0" w:line="79" w:lineRule="exact"/>
        <w:rPr>
          <w:sz w:val="20"/>
          <w:szCs w:val="20"/>
          <w:color w:val="auto"/>
        </w:rPr>
      </w:pPr>
    </w:p>
    <w:p>
      <w:pPr>
        <w:ind w:left="160" w:right="320" w:hanging="159"/>
        <w:spacing w:after="0" w:line="287" w:lineRule="auto"/>
        <w:tabs>
          <w:tab w:leader="none" w:pos="160" w:val="left"/>
        </w:tabs>
        <w:numPr>
          <w:ilvl w:val="0"/>
          <w:numId w:val="15"/>
        </w:numPr>
        <w:rPr>
          <w:rFonts w:ascii="Arial" w:cs="Arial" w:eastAsia="Arial" w:hAnsi="Arial"/>
          <w:sz w:val="18"/>
          <w:szCs w:val="18"/>
          <w:color w:val="202020"/>
        </w:rPr>
      </w:pPr>
      <w:r>
        <w:rPr>
          <w:rFonts w:ascii="Arial" w:cs="Arial" w:eastAsia="Arial" w:hAnsi="Arial"/>
          <w:sz w:val="18"/>
          <w:szCs w:val="18"/>
          <w:color w:val="202020"/>
        </w:rPr>
        <w:t>Select Peer Group — A select group of national biotechnology companies at a similar stage of development as our company with similar headcount, R&amp;D expense, market capitalization and in most cases, similar therapeutic targets, and</w:t>
      </w:r>
    </w:p>
    <w:p>
      <w:pPr>
        <w:spacing w:after="0" w:line="283" w:lineRule="exact"/>
        <w:rPr>
          <w:rFonts w:ascii="Arial" w:cs="Arial" w:eastAsia="Arial" w:hAnsi="Arial"/>
          <w:sz w:val="18"/>
          <w:szCs w:val="18"/>
          <w:color w:val="202020"/>
        </w:rPr>
      </w:pPr>
    </w:p>
    <w:p>
      <w:pPr>
        <w:ind w:left="160" w:right="720" w:hanging="159"/>
        <w:spacing w:after="0" w:line="297" w:lineRule="auto"/>
        <w:tabs>
          <w:tab w:leader="none" w:pos="160" w:val="left"/>
        </w:tabs>
        <w:numPr>
          <w:ilvl w:val="0"/>
          <w:numId w:val="15"/>
        </w:numPr>
        <w:rPr>
          <w:rFonts w:ascii="Arial" w:cs="Arial" w:eastAsia="Arial" w:hAnsi="Arial"/>
          <w:sz w:val="18"/>
          <w:szCs w:val="18"/>
          <w:color w:val="202020"/>
        </w:rPr>
      </w:pPr>
      <w:r>
        <w:rPr>
          <w:rFonts w:ascii="Arial" w:cs="Arial" w:eastAsia="Arial" w:hAnsi="Arial"/>
          <w:sz w:val="18"/>
          <w:szCs w:val="18"/>
          <w:color w:val="202020"/>
        </w:rPr>
        <w:t>Aon Global Life Sciences Survey — A national survey of executive compensation levels and practices that covers approximately sixty executive positions in over 600 multinational life sciences organizations.</w:t>
      </w:r>
    </w:p>
    <w:p>
      <w:pPr>
        <w:spacing w:after="0" w:line="86"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202020"/>
        </w:rPr>
        <w:t>We do not apply a specific weighting to either data source when making compensation comparisons. Instead, we develop competitive market guidelines using these data sources.</w:t>
      </w:r>
    </w:p>
    <w:p>
      <w:pPr>
        <w:spacing w:after="0" w:line="8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02020"/>
        </w:rPr>
        <w:t>We review our peer group each year to ensure continued relevance as we grow and develop, and the Compensation and Organization Development Committee approves our peer group prior to its adoption. In March 2024, the below peer group was approved by the Compensation and Organization Development Committee and used to inform our decisions affecting executive compensation in 2024. In March 2024, this peer group consisted of public companies in the biopharmaceutical industry with product candidates generally in mid to late-stage development, with employee headcount 50</w:t>
      </w:r>
      <w:r>
        <w:rPr>
          <w:rFonts w:ascii="Arial" w:cs="Arial" w:eastAsia="Arial" w:hAnsi="Arial"/>
          <w:sz w:val="21"/>
          <w:szCs w:val="21"/>
          <w:color w:val="202020"/>
          <w:vertAlign w:val="superscript"/>
        </w:rPr>
        <w:t>th</w:t>
      </w:r>
      <w:r>
        <w:rPr>
          <w:rFonts w:ascii="Arial" w:cs="Arial" w:eastAsia="Arial" w:hAnsi="Arial"/>
          <w:sz w:val="18"/>
          <w:szCs w:val="18"/>
          <w:color w:val="202020"/>
        </w:rPr>
        <w:t xml:space="preserve"> percentile of 341 (range of 112 to 904), R&amp;D expense 50</w:t>
      </w:r>
      <w:r>
        <w:rPr>
          <w:rFonts w:ascii="Arial" w:cs="Arial" w:eastAsia="Arial" w:hAnsi="Arial"/>
          <w:sz w:val="21"/>
          <w:szCs w:val="21"/>
          <w:color w:val="202020"/>
          <w:vertAlign w:val="superscript"/>
        </w:rPr>
        <w:t>th</w:t>
      </w:r>
      <w:r>
        <w:rPr>
          <w:rFonts w:ascii="Arial" w:cs="Arial" w:eastAsia="Arial" w:hAnsi="Arial"/>
          <w:sz w:val="18"/>
          <w:szCs w:val="18"/>
          <w:color w:val="202020"/>
        </w:rPr>
        <w:t xml:space="preserve"> percentile of $301 million and market capitalization 50</w:t>
      </w:r>
      <w:r>
        <w:rPr>
          <w:rFonts w:ascii="Arial" w:cs="Arial" w:eastAsia="Arial" w:hAnsi="Arial"/>
          <w:sz w:val="21"/>
          <w:szCs w:val="21"/>
          <w:color w:val="202020"/>
          <w:vertAlign w:val="superscript"/>
        </w:rPr>
        <w:t>th</w:t>
      </w:r>
      <w:r>
        <w:rPr>
          <w:rFonts w:ascii="Arial" w:cs="Arial" w:eastAsia="Arial" w:hAnsi="Arial"/>
          <w:sz w:val="18"/>
          <w:szCs w:val="18"/>
          <w:color w:val="202020"/>
        </w:rPr>
        <w:t xml:space="preserve"> percentile of $3.6 billion.</w:t>
      </w:r>
    </w:p>
    <w:p>
      <w:pPr>
        <w:spacing w:after="0" w:line="2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202020"/>
        </w:rPr>
        <w:t>In December 2024, the Compensation and Organization Development Committee decided to keep our 2025 peer group consistent with the 2024 peer group based on the consistency of our stage of development from year to year. Our Compensation and Organization Development Committee believes that, as of December 2024, this list continued to be representative of the companies with whom we generally compete for talent.</w:t>
      </w:r>
    </w:p>
    <w:p>
      <w:pPr>
        <w:spacing w:after="0" w:line="165" w:lineRule="exact"/>
        <w:rPr>
          <w:sz w:val="20"/>
          <w:szCs w:val="20"/>
          <w:color w:val="auto"/>
        </w:rPr>
      </w:pPr>
    </w:p>
    <w:tbl>
      <w:tblPr>
        <w:tblLayout w:type="fixed"/>
        <w:tblInd w:w="400" w:type="dxa"/>
        <w:tblCellMar>
          <w:top w:w="0" w:type="dxa"/>
          <w:left w:w="0" w:type="dxa"/>
          <w:bottom w:w="0" w:type="dxa"/>
          <w:right w:w="0" w:type="dxa"/>
        </w:tblCellMar>
      </w:tblPr>
      <w:tr>
        <w:trPr>
          <w:trHeight w:val="314"/>
        </w:trPr>
        <w:tc>
          <w:tcPr>
            <w:tcW w:w="3380" w:type="dxa"/>
            <w:vAlign w:val="bottom"/>
            <w:tcBorders>
              <w:top w:val="single" w:sz="8" w:color="202020"/>
              <w:bottom w:val="single" w:sz="8" w:color="E9E9E9"/>
            </w:tcBorders>
            <w:shd w:val="clear" w:color="auto" w:fill="E9E9E9"/>
          </w:tcPr>
          <w:p>
            <w:pPr>
              <w:spacing w:after="0"/>
              <w:rPr>
                <w:sz w:val="20"/>
                <w:szCs w:val="20"/>
                <w:color w:val="auto"/>
              </w:rPr>
            </w:pPr>
            <w:r>
              <w:rPr>
                <w:rFonts w:ascii="Arial" w:cs="Arial" w:eastAsia="Arial" w:hAnsi="Arial"/>
                <w:sz w:val="18"/>
                <w:szCs w:val="18"/>
                <w:color w:val="202020"/>
              </w:rPr>
              <w:t>Apellis Pharmaceuticals</w:t>
            </w:r>
          </w:p>
        </w:tc>
        <w:tc>
          <w:tcPr>
            <w:tcW w:w="5940" w:type="dxa"/>
            <w:vAlign w:val="bottom"/>
            <w:tcBorders>
              <w:top w:val="single" w:sz="8" w:color="202020"/>
              <w:bottom w:val="single" w:sz="8" w:color="E9E9E9"/>
            </w:tcBorders>
            <w:shd w:val="clear" w:color="auto" w:fill="E9E9E9"/>
          </w:tcPr>
          <w:p>
            <w:pPr>
              <w:ind w:left="1400"/>
              <w:spacing w:after="0"/>
              <w:rPr>
                <w:sz w:val="20"/>
                <w:szCs w:val="20"/>
                <w:color w:val="auto"/>
              </w:rPr>
            </w:pPr>
            <w:r>
              <w:rPr>
                <w:rFonts w:ascii="Arial" w:cs="Arial" w:eastAsia="Arial" w:hAnsi="Arial"/>
                <w:sz w:val="18"/>
                <w:szCs w:val="18"/>
                <w:color w:val="202020"/>
              </w:rPr>
              <w:t>Iovance Biotherapeutics</w:t>
            </w:r>
          </w:p>
        </w:tc>
      </w:tr>
      <w:tr>
        <w:trPr>
          <w:trHeight w:val="252"/>
        </w:trPr>
        <w:tc>
          <w:tcPr>
            <w:tcW w:w="3380" w:type="dxa"/>
            <w:vAlign w:val="bottom"/>
          </w:tcPr>
          <w:p>
            <w:pPr>
              <w:spacing w:after="0"/>
              <w:rPr>
                <w:sz w:val="20"/>
                <w:szCs w:val="20"/>
                <w:color w:val="auto"/>
              </w:rPr>
            </w:pPr>
            <w:r>
              <w:rPr>
                <w:rFonts w:ascii="Arial" w:cs="Arial" w:eastAsia="Arial" w:hAnsi="Arial"/>
                <w:sz w:val="18"/>
                <w:szCs w:val="18"/>
                <w:color w:val="202020"/>
              </w:rPr>
              <w:t>Arcellx</w:t>
            </w:r>
          </w:p>
        </w:tc>
        <w:tc>
          <w:tcPr>
            <w:tcW w:w="5940" w:type="dxa"/>
            <w:vAlign w:val="bottom"/>
          </w:tcPr>
          <w:p>
            <w:pPr>
              <w:ind w:left="1400"/>
              <w:spacing w:after="0"/>
              <w:rPr>
                <w:sz w:val="20"/>
                <w:szCs w:val="20"/>
                <w:color w:val="auto"/>
              </w:rPr>
            </w:pPr>
            <w:r>
              <w:rPr>
                <w:rFonts w:ascii="Arial" w:cs="Arial" w:eastAsia="Arial" w:hAnsi="Arial"/>
                <w:sz w:val="18"/>
                <w:szCs w:val="18"/>
                <w:color w:val="202020"/>
              </w:rPr>
              <w:t>Keros Therapeutics</w:t>
            </w:r>
          </w:p>
        </w:tc>
      </w:tr>
      <w:tr>
        <w:trPr>
          <w:trHeight w:val="28"/>
        </w:trPr>
        <w:tc>
          <w:tcPr>
            <w:tcW w:w="33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9"/>
        </w:trPr>
        <w:tc>
          <w:tcPr>
            <w:tcW w:w="33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202020"/>
              </w:rPr>
              <w:t>Arvinas</w:t>
            </w:r>
          </w:p>
        </w:tc>
        <w:tc>
          <w:tcPr>
            <w:tcW w:w="5940" w:type="dxa"/>
            <w:vAlign w:val="bottom"/>
            <w:tcBorders>
              <w:bottom w:val="single" w:sz="8" w:color="E9E9E9"/>
            </w:tcBorders>
            <w:shd w:val="clear" w:color="auto" w:fill="E9E9E9"/>
          </w:tcPr>
          <w:p>
            <w:pPr>
              <w:ind w:left="1400"/>
              <w:spacing w:after="0"/>
              <w:rPr>
                <w:sz w:val="20"/>
                <w:szCs w:val="20"/>
                <w:color w:val="auto"/>
              </w:rPr>
            </w:pPr>
            <w:r>
              <w:rPr>
                <w:rFonts w:ascii="Arial" w:cs="Arial" w:eastAsia="Arial" w:hAnsi="Arial"/>
                <w:sz w:val="18"/>
                <w:szCs w:val="18"/>
                <w:color w:val="202020"/>
              </w:rPr>
              <w:t>Kiniksa Pharmaceuticals</w:t>
            </w:r>
          </w:p>
        </w:tc>
      </w:tr>
      <w:tr>
        <w:trPr>
          <w:trHeight w:val="252"/>
        </w:trPr>
        <w:tc>
          <w:tcPr>
            <w:tcW w:w="3380" w:type="dxa"/>
            <w:vAlign w:val="bottom"/>
          </w:tcPr>
          <w:p>
            <w:pPr>
              <w:spacing w:after="0"/>
              <w:rPr>
                <w:sz w:val="20"/>
                <w:szCs w:val="20"/>
                <w:color w:val="auto"/>
              </w:rPr>
            </w:pPr>
            <w:r>
              <w:rPr>
                <w:rFonts w:ascii="Arial" w:cs="Arial" w:eastAsia="Arial" w:hAnsi="Arial"/>
                <w:sz w:val="18"/>
                <w:szCs w:val="18"/>
                <w:color w:val="202020"/>
              </w:rPr>
              <w:t>Biohaven</w:t>
            </w:r>
          </w:p>
        </w:tc>
        <w:tc>
          <w:tcPr>
            <w:tcW w:w="5940" w:type="dxa"/>
            <w:vAlign w:val="bottom"/>
          </w:tcPr>
          <w:p>
            <w:pPr>
              <w:ind w:left="1400"/>
              <w:spacing w:after="0"/>
              <w:rPr>
                <w:sz w:val="20"/>
                <w:szCs w:val="20"/>
                <w:color w:val="auto"/>
              </w:rPr>
            </w:pPr>
            <w:r>
              <w:rPr>
                <w:rFonts w:ascii="Arial" w:cs="Arial" w:eastAsia="Arial" w:hAnsi="Arial"/>
                <w:sz w:val="18"/>
                <w:szCs w:val="18"/>
                <w:color w:val="202020"/>
              </w:rPr>
              <w:t>Madrigal Pharmaceuticals</w:t>
            </w:r>
          </w:p>
        </w:tc>
      </w:tr>
      <w:tr>
        <w:trPr>
          <w:trHeight w:val="28"/>
        </w:trPr>
        <w:tc>
          <w:tcPr>
            <w:tcW w:w="33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9"/>
        </w:trPr>
        <w:tc>
          <w:tcPr>
            <w:tcW w:w="33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202020"/>
              </w:rPr>
              <w:t>Blueprint Medicines</w:t>
            </w:r>
          </w:p>
        </w:tc>
        <w:tc>
          <w:tcPr>
            <w:tcW w:w="5940" w:type="dxa"/>
            <w:vAlign w:val="bottom"/>
            <w:tcBorders>
              <w:bottom w:val="single" w:sz="8" w:color="E9E9E9"/>
            </w:tcBorders>
            <w:shd w:val="clear" w:color="auto" w:fill="E9E9E9"/>
          </w:tcPr>
          <w:p>
            <w:pPr>
              <w:ind w:left="1400"/>
              <w:spacing w:after="0"/>
              <w:rPr>
                <w:sz w:val="20"/>
                <w:szCs w:val="20"/>
                <w:color w:val="auto"/>
              </w:rPr>
            </w:pPr>
            <w:r>
              <w:rPr>
                <w:rFonts w:ascii="Arial" w:cs="Arial" w:eastAsia="Arial" w:hAnsi="Arial"/>
                <w:sz w:val="18"/>
                <w:szCs w:val="18"/>
                <w:color w:val="202020"/>
              </w:rPr>
              <w:t>Morphic</w:t>
            </w:r>
          </w:p>
        </w:tc>
      </w:tr>
      <w:tr>
        <w:trPr>
          <w:trHeight w:val="252"/>
        </w:trPr>
        <w:tc>
          <w:tcPr>
            <w:tcW w:w="3380" w:type="dxa"/>
            <w:vAlign w:val="bottom"/>
          </w:tcPr>
          <w:p>
            <w:pPr>
              <w:spacing w:after="0"/>
              <w:rPr>
                <w:sz w:val="20"/>
                <w:szCs w:val="20"/>
                <w:color w:val="auto"/>
              </w:rPr>
            </w:pPr>
            <w:r>
              <w:rPr>
                <w:rFonts w:ascii="Arial" w:cs="Arial" w:eastAsia="Arial" w:hAnsi="Arial"/>
                <w:sz w:val="18"/>
                <w:szCs w:val="18"/>
                <w:color w:val="202020"/>
              </w:rPr>
              <w:t>BridgeBio Pharma</w:t>
            </w:r>
          </w:p>
        </w:tc>
        <w:tc>
          <w:tcPr>
            <w:tcW w:w="5940" w:type="dxa"/>
            <w:vAlign w:val="bottom"/>
          </w:tcPr>
          <w:p>
            <w:pPr>
              <w:ind w:left="1400"/>
              <w:spacing w:after="0"/>
              <w:rPr>
                <w:sz w:val="20"/>
                <w:szCs w:val="20"/>
                <w:color w:val="auto"/>
              </w:rPr>
            </w:pPr>
            <w:r>
              <w:rPr>
                <w:rFonts w:ascii="Arial" w:cs="Arial" w:eastAsia="Arial" w:hAnsi="Arial"/>
                <w:sz w:val="18"/>
                <w:szCs w:val="18"/>
                <w:color w:val="202020"/>
              </w:rPr>
              <w:t>Protagonist Therapeutics</w:t>
            </w:r>
          </w:p>
        </w:tc>
      </w:tr>
      <w:tr>
        <w:trPr>
          <w:trHeight w:val="27"/>
        </w:trPr>
        <w:tc>
          <w:tcPr>
            <w:tcW w:w="33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9"/>
        </w:trPr>
        <w:tc>
          <w:tcPr>
            <w:tcW w:w="33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202020"/>
              </w:rPr>
              <w:t>CRISPR Therapeutics</w:t>
            </w:r>
          </w:p>
        </w:tc>
        <w:tc>
          <w:tcPr>
            <w:tcW w:w="5940" w:type="dxa"/>
            <w:vAlign w:val="bottom"/>
            <w:tcBorders>
              <w:bottom w:val="single" w:sz="8" w:color="E9E9E9"/>
            </w:tcBorders>
            <w:shd w:val="clear" w:color="auto" w:fill="E9E9E9"/>
          </w:tcPr>
          <w:p>
            <w:pPr>
              <w:ind w:left="1400"/>
              <w:spacing w:after="0"/>
              <w:rPr>
                <w:sz w:val="20"/>
                <w:szCs w:val="20"/>
                <w:color w:val="auto"/>
              </w:rPr>
            </w:pPr>
            <w:r>
              <w:rPr>
                <w:rFonts w:ascii="Arial" w:cs="Arial" w:eastAsia="Arial" w:hAnsi="Arial"/>
                <w:sz w:val="18"/>
                <w:szCs w:val="18"/>
                <w:color w:val="202020"/>
              </w:rPr>
              <w:t>Roivant Sciences</w:t>
            </w:r>
          </w:p>
        </w:tc>
      </w:tr>
      <w:tr>
        <w:trPr>
          <w:trHeight w:val="252"/>
        </w:trPr>
        <w:tc>
          <w:tcPr>
            <w:tcW w:w="3380" w:type="dxa"/>
            <w:vAlign w:val="bottom"/>
          </w:tcPr>
          <w:p>
            <w:pPr>
              <w:spacing w:after="0"/>
              <w:rPr>
                <w:sz w:val="20"/>
                <w:szCs w:val="20"/>
                <w:color w:val="auto"/>
              </w:rPr>
            </w:pPr>
            <w:r>
              <w:rPr>
                <w:rFonts w:ascii="Arial" w:cs="Arial" w:eastAsia="Arial" w:hAnsi="Arial"/>
                <w:sz w:val="18"/>
                <w:szCs w:val="18"/>
                <w:color w:val="202020"/>
              </w:rPr>
              <w:t>Cytokinetics</w:t>
            </w:r>
          </w:p>
        </w:tc>
        <w:tc>
          <w:tcPr>
            <w:tcW w:w="5940" w:type="dxa"/>
            <w:vAlign w:val="bottom"/>
          </w:tcPr>
          <w:p>
            <w:pPr>
              <w:ind w:left="1400"/>
              <w:spacing w:after="0"/>
              <w:rPr>
                <w:sz w:val="20"/>
                <w:szCs w:val="20"/>
                <w:color w:val="auto"/>
              </w:rPr>
            </w:pPr>
            <w:r>
              <w:rPr>
                <w:rFonts w:ascii="Arial" w:cs="Arial" w:eastAsia="Arial" w:hAnsi="Arial"/>
                <w:sz w:val="18"/>
                <w:szCs w:val="18"/>
                <w:color w:val="202020"/>
              </w:rPr>
              <w:t>SpringWorks Therapeutics</w:t>
            </w:r>
          </w:p>
        </w:tc>
      </w:tr>
      <w:tr>
        <w:trPr>
          <w:trHeight w:val="27"/>
        </w:trPr>
        <w:tc>
          <w:tcPr>
            <w:tcW w:w="33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9"/>
        </w:trPr>
        <w:tc>
          <w:tcPr>
            <w:tcW w:w="33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202020"/>
              </w:rPr>
              <w:t>Denali Therapeutics</w:t>
            </w:r>
          </w:p>
        </w:tc>
        <w:tc>
          <w:tcPr>
            <w:tcW w:w="5940" w:type="dxa"/>
            <w:vAlign w:val="bottom"/>
            <w:tcBorders>
              <w:bottom w:val="single" w:sz="8" w:color="E9E9E9"/>
            </w:tcBorders>
            <w:shd w:val="clear" w:color="auto" w:fill="E9E9E9"/>
          </w:tcPr>
          <w:p>
            <w:pPr>
              <w:ind w:left="1400"/>
              <w:spacing w:after="0"/>
              <w:rPr>
                <w:sz w:val="20"/>
                <w:szCs w:val="20"/>
                <w:color w:val="auto"/>
              </w:rPr>
            </w:pPr>
            <w:r>
              <w:rPr>
                <w:rFonts w:ascii="Arial" w:cs="Arial" w:eastAsia="Arial" w:hAnsi="Arial"/>
                <w:sz w:val="18"/>
                <w:szCs w:val="18"/>
                <w:color w:val="202020"/>
              </w:rPr>
              <w:t>Syndax Pharmaceuticals</w:t>
            </w:r>
          </w:p>
        </w:tc>
      </w:tr>
      <w:tr>
        <w:trPr>
          <w:trHeight w:val="252"/>
        </w:trPr>
        <w:tc>
          <w:tcPr>
            <w:tcW w:w="3380" w:type="dxa"/>
            <w:vAlign w:val="bottom"/>
          </w:tcPr>
          <w:p>
            <w:pPr>
              <w:spacing w:after="0"/>
              <w:rPr>
                <w:sz w:val="20"/>
                <w:szCs w:val="20"/>
                <w:color w:val="auto"/>
              </w:rPr>
            </w:pPr>
            <w:r>
              <w:rPr>
                <w:rFonts w:ascii="Arial" w:cs="Arial" w:eastAsia="Arial" w:hAnsi="Arial"/>
                <w:sz w:val="18"/>
                <w:szCs w:val="18"/>
                <w:color w:val="202020"/>
              </w:rPr>
              <w:t>ImmunityBio</w:t>
            </w:r>
          </w:p>
        </w:tc>
        <w:tc>
          <w:tcPr>
            <w:tcW w:w="5940" w:type="dxa"/>
            <w:vAlign w:val="bottom"/>
          </w:tcPr>
          <w:p>
            <w:pPr>
              <w:ind w:left="1400"/>
              <w:spacing w:after="0"/>
              <w:rPr>
                <w:sz w:val="20"/>
                <w:szCs w:val="20"/>
                <w:color w:val="auto"/>
              </w:rPr>
            </w:pPr>
            <w:r>
              <w:rPr>
                <w:rFonts w:ascii="Arial" w:cs="Arial" w:eastAsia="Arial" w:hAnsi="Arial"/>
                <w:sz w:val="18"/>
                <w:szCs w:val="18"/>
                <w:color w:val="202020"/>
              </w:rPr>
              <w:t>Vaxcyte</w:t>
            </w:r>
          </w:p>
        </w:tc>
      </w:tr>
      <w:tr>
        <w:trPr>
          <w:trHeight w:val="27"/>
        </w:trPr>
        <w:tc>
          <w:tcPr>
            <w:tcW w:w="3380" w:type="dxa"/>
            <w:vAlign w:val="bottom"/>
          </w:tcPr>
          <w:p>
            <w:pPr>
              <w:spacing w:after="0"/>
              <w:rPr>
                <w:sz w:val="2"/>
                <w:szCs w:val="2"/>
                <w:color w:val="auto"/>
              </w:rPr>
            </w:pPr>
          </w:p>
        </w:tc>
        <w:tc>
          <w:tcPr>
            <w:tcW w:w="5940" w:type="dxa"/>
            <w:vAlign w:val="bottom"/>
          </w:tcPr>
          <w:p>
            <w:pPr>
              <w:spacing w:after="0"/>
              <w:rPr>
                <w:sz w:val="2"/>
                <w:szCs w:val="2"/>
                <w:color w:val="auto"/>
              </w:rPr>
            </w:pPr>
          </w:p>
        </w:tc>
      </w:tr>
      <w:tr>
        <w:trPr>
          <w:trHeight w:val="259"/>
        </w:trPr>
        <w:tc>
          <w:tcPr>
            <w:tcW w:w="3380" w:type="dxa"/>
            <w:vAlign w:val="bottom"/>
            <w:tcBorders>
              <w:bottom w:val="single" w:sz="8" w:color="E9E9E9"/>
            </w:tcBorders>
            <w:shd w:val="clear" w:color="auto" w:fill="E9E9E9"/>
          </w:tcPr>
          <w:p>
            <w:pPr>
              <w:spacing w:after="0"/>
              <w:rPr>
                <w:sz w:val="20"/>
                <w:szCs w:val="20"/>
                <w:color w:val="auto"/>
              </w:rPr>
            </w:pPr>
            <w:r>
              <w:rPr>
                <w:rFonts w:ascii="Arial" w:cs="Arial" w:eastAsia="Arial" w:hAnsi="Arial"/>
                <w:sz w:val="18"/>
                <w:szCs w:val="18"/>
                <w:color w:val="202020"/>
              </w:rPr>
              <w:t>Immunovant</w:t>
            </w:r>
          </w:p>
        </w:tc>
        <w:tc>
          <w:tcPr>
            <w:tcW w:w="5940" w:type="dxa"/>
            <w:vAlign w:val="bottom"/>
            <w:tcBorders>
              <w:bottom w:val="single" w:sz="8" w:color="E9E9E9"/>
            </w:tcBorders>
            <w:shd w:val="clear" w:color="auto" w:fill="E9E9E9"/>
          </w:tcPr>
          <w:p>
            <w:pPr>
              <w:ind w:left="1400"/>
              <w:spacing w:after="0"/>
              <w:rPr>
                <w:sz w:val="20"/>
                <w:szCs w:val="20"/>
                <w:color w:val="auto"/>
              </w:rPr>
            </w:pPr>
            <w:r>
              <w:rPr>
                <w:rFonts w:ascii="Arial" w:cs="Arial" w:eastAsia="Arial" w:hAnsi="Arial"/>
                <w:sz w:val="18"/>
                <w:szCs w:val="18"/>
                <w:color w:val="202020"/>
              </w:rPr>
              <w:t>Vir Biotechnology</w:t>
            </w:r>
          </w:p>
        </w:tc>
      </w:tr>
      <w:tr>
        <w:trPr>
          <w:trHeight w:val="252"/>
        </w:trPr>
        <w:tc>
          <w:tcPr>
            <w:tcW w:w="3380" w:type="dxa"/>
            <w:vAlign w:val="bottom"/>
          </w:tcPr>
          <w:p>
            <w:pPr>
              <w:spacing w:after="0"/>
              <w:rPr>
                <w:sz w:val="20"/>
                <w:szCs w:val="20"/>
                <w:color w:val="auto"/>
              </w:rPr>
            </w:pPr>
            <w:r>
              <w:rPr>
                <w:rFonts w:ascii="Arial" w:cs="Arial" w:eastAsia="Arial" w:hAnsi="Arial"/>
                <w:sz w:val="18"/>
                <w:szCs w:val="18"/>
                <w:color w:val="202020"/>
              </w:rPr>
              <w:t>Inhibrx</w:t>
            </w:r>
          </w:p>
        </w:tc>
        <w:tc>
          <w:tcPr>
            <w:tcW w:w="5940" w:type="dxa"/>
            <w:vAlign w:val="bottom"/>
          </w:tcPr>
          <w:p>
            <w:pPr>
              <w:ind w:left="1400"/>
              <w:spacing w:after="0"/>
              <w:rPr>
                <w:sz w:val="20"/>
                <w:szCs w:val="20"/>
                <w:color w:val="auto"/>
              </w:rPr>
            </w:pPr>
            <w:r>
              <w:rPr>
                <w:rFonts w:ascii="Arial" w:cs="Arial" w:eastAsia="Arial" w:hAnsi="Arial"/>
                <w:sz w:val="18"/>
                <w:szCs w:val="18"/>
                <w:color w:val="202020"/>
              </w:rPr>
              <w:t>Zentalis Pharmaceuticals</w:t>
            </w:r>
          </w:p>
        </w:tc>
      </w:tr>
      <w:tr>
        <w:trPr>
          <w:trHeight w:val="47"/>
        </w:trPr>
        <w:tc>
          <w:tcPr>
            <w:tcW w:w="3380" w:type="dxa"/>
            <w:vAlign w:val="bottom"/>
            <w:tcBorders>
              <w:bottom w:val="single" w:sz="8" w:color="202020"/>
            </w:tcBorders>
          </w:tcPr>
          <w:p>
            <w:pPr>
              <w:spacing w:after="0"/>
              <w:rPr>
                <w:sz w:val="4"/>
                <w:szCs w:val="4"/>
                <w:color w:val="auto"/>
              </w:rPr>
            </w:pPr>
          </w:p>
        </w:tc>
        <w:tc>
          <w:tcPr>
            <w:tcW w:w="5940" w:type="dxa"/>
            <w:vAlign w:val="bottom"/>
            <w:tcBorders>
              <w:bottom w:val="single" w:sz="8" w:color="202020"/>
            </w:tcBorders>
          </w:tcPr>
          <w:p>
            <w:pPr>
              <w:spacing w:after="0"/>
              <w:rPr>
                <w:sz w:val="4"/>
                <w:szCs w:val="4"/>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Administration and Objectives of Our Executive Compensation Program</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02020"/>
        </w:rPr>
        <w:t>The Compensation and Organization Development Committee of the Board of Directors, which comprises independent, non-employee directors, is responsible for establishing and administering the policies governing the compensation of our Executive Officers, including salary, bonus and stock option grants. The policy of the Compensation and Organization Development Committee is to compensate our Executive Officers with competitive salaries based on their level of experience and job performance. All Executive Officers are eligible for annual bonus awards based on achievement of our strategic corporate goals and participation in our stock option program. Stock option grants are made in accordance with our 2021 Incentive Plan. Prior to the approval of the 2021 Incentive Plan, stock option grants were made in accordance with our 2008 Stock Option and Incentive Plan, as amended and restated (the “2008 Incentive Plan”). The Compensation and Organization Development Committee is also responsible for the administration of our 2004 Employee Stock Purchase Plan, as amended (the “2004 Plan”), in which employees participate on a voluntary basis.</w:t>
      </w:r>
    </w:p>
    <w:p>
      <w:pPr>
        <w:spacing w:after="0" w:line="181"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29</w:t>
      </w:r>
    </w:p>
    <w:p>
      <w:pPr>
        <w:sectPr>
          <w:pgSz w:w="11880" w:h="15480" w:orient="portrait"/>
          <w:cols w:equalWidth="0" w:num="1">
            <w:col w:w="10140"/>
          </w:cols>
          <w:pgMar w:left="880" w:top="544" w:right="860" w:bottom="96" w:gutter="0" w:footer="0" w:header="0"/>
        </w:sectPr>
      </w:pPr>
    </w:p>
    <w:bookmarkStart w:id="33" w:name="page34"/>
    <w:bookmarkEnd w:id="33"/>
    <w:p>
      <w:pPr>
        <w:spacing w:after="0" w:line="192" w:lineRule="auto"/>
        <w:tabs>
          <w:tab w:leader="none" w:pos="9760" w:val="left"/>
        </w:tabs>
        <w:framePr w:w="620" w:h="120" w:wrap="auto" w:vAnchor="page" w:hAnchor="page" w:x="9840" w:y="11706"/>
        <w:rPr>
          <w:rFonts w:ascii="Arial" w:cs="Arial" w:eastAsia="Arial" w:hAnsi="Arial"/>
          <w:sz w:val="13"/>
          <w:szCs w:val="13"/>
          <w:color w:val="202020"/>
        </w:rPr>
      </w:pPr>
      <w:r>
        <w:rPr>
          <w:rFonts w:ascii="Arial" w:cs="Arial" w:eastAsia="Arial" w:hAnsi="Arial"/>
          <w:sz w:val="13"/>
          <w:szCs w:val="13"/>
          <w:color w:val="202020"/>
        </w:rPr>
        <w:t>Shares</w:t>
      </w:r>
    </w:p>
    <w:p>
      <w:pPr>
        <w:spacing w:after="0" w:line="192" w:lineRule="auto"/>
        <w:tabs>
          <w:tab w:leader="none" w:pos="9760" w:val="left"/>
        </w:tabs>
        <w:framePr w:w="500" w:h="120" w:wrap="auto" w:vAnchor="page" w:hAnchor="page" w:x="9900" w:y="11874"/>
        <w:rPr>
          <w:rFonts w:ascii="Arial" w:cs="Arial" w:eastAsia="Arial" w:hAnsi="Arial"/>
          <w:sz w:val="13"/>
          <w:szCs w:val="13"/>
          <w:color w:val="202020"/>
        </w:rPr>
      </w:pPr>
      <w:r>
        <w:rPr>
          <w:rFonts w:ascii="Arial" w:cs="Arial" w:eastAsia="Arial" w:hAnsi="Arial"/>
          <w:sz w:val="13"/>
          <w:szCs w:val="13"/>
          <w:color w:val="202020"/>
        </w:rPr>
        <w:t>Voted</w:t>
      </w:r>
    </w:p>
    <w:p>
      <w:pPr>
        <w:spacing w:after="0" w:line="218" w:lineRule="auto"/>
        <w:tabs>
          <w:tab w:leader="none" w:pos="9760" w:val="left"/>
        </w:tabs>
        <w:framePr w:w="640" w:h="283" w:wrap="auto" w:vAnchor="page" w:hAnchor="page" w:x="9840" w:y="11334"/>
        <w:rPr>
          <w:rFonts w:ascii="Arial" w:cs="Arial" w:eastAsia="Arial" w:hAnsi="Arial"/>
          <w:sz w:val="27"/>
          <w:szCs w:val="27"/>
          <w:b w:val="1"/>
          <w:bCs w:val="1"/>
          <w:color w:val="8F8F8F"/>
        </w:rPr>
      </w:pPr>
      <w:r>
        <w:rPr>
          <w:rFonts w:ascii="Arial" w:cs="Arial" w:eastAsia="Arial" w:hAnsi="Arial"/>
          <w:sz w:val="27"/>
          <w:szCs w:val="27"/>
          <w:b w:val="1"/>
          <w:bCs w:val="1"/>
          <w:color w:val="8F8F8F"/>
        </w:rPr>
        <w:t>99%</w:t>
      </w:r>
    </w:p>
    <w:p>
      <w:pPr>
        <w:spacing w:after="0"/>
        <w:rPr>
          <w:sz w:val="20"/>
          <w:szCs w:val="20"/>
          <w:color w:val="auto"/>
        </w:rPr>
      </w:pPr>
      <w:r>
        <w:rPr>
          <w:rFonts w:ascii="Arial" w:cs="Arial" w:eastAsia="Arial" w:hAnsi="Arial"/>
          <w:sz w:val="16"/>
          <w:szCs w:val="16"/>
          <w:color w:val="202020"/>
        </w:rPr>
        <w:t>Executive Compensation</w:t>
      </w:r>
    </w:p>
    <w:p>
      <w:pPr>
        <w:spacing w:after="0" w:line="214" w:lineRule="exact"/>
        <w:rPr>
          <w:rFonts w:ascii="Arial" w:cs="Arial" w:eastAsia="Arial" w:hAnsi="Arial"/>
          <w:sz w:val="27"/>
          <w:szCs w:val="27"/>
          <w:b w:val="1"/>
          <w:bCs w:val="1"/>
          <w:color w:val="8F8F8F"/>
        </w:rPr>
      </w:pPr>
    </w:p>
    <w:p>
      <w:pPr>
        <w:spacing w:after="0" w:line="297" w:lineRule="auto"/>
        <w:rPr>
          <w:sz w:val="20"/>
          <w:szCs w:val="20"/>
          <w:color w:val="auto"/>
        </w:rPr>
      </w:pPr>
      <w:r>
        <w:rPr>
          <w:rFonts w:ascii="Arial" w:cs="Arial" w:eastAsia="Arial" w:hAnsi="Arial"/>
          <w:sz w:val="18"/>
          <w:szCs w:val="18"/>
          <w:color w:val="202020"/>
        </w:rPr>
        <w:t>Our Compensation and Organization Development Committee has designed our overall executive compensation program to achieve the following objectives:</w:t>
      </w:r>
    </w:p>
    <w:p>
      <w:pPr>
        <w:spacing w:after="0" w:line="46" w:lineRule="exact"/>
        <w:rPr>
          <w:rFonts w:ascii="Arial" w:cs="Arial" w:eastAsia="Arial" w:hAnsi="Arial"/>
          <w:sz w:val="27"/>
          <w:szCs w:val="27"/>
          <w:b w:val="1"/>
          <w:bCs w:val="1"/>
          <w:color w:val="8F8F8F"/>
        </w:rPr>
      </w:pPr>
    </w:p>
    <w:p>
      <w:pPr>
        <w:ind w:left="160" w:hanging="159"/>
        <w:spacing w:after="0"/>
        <w:tabs>
          <w:tab w:leader="none" w:pos="160" w:val="left"/>
        </w:tabs>
        <w:numPr>
          <w:ilvl w:val="0"/>
          <w:numId w:val="16"/>
        </w:numPr>
        <w:rPr>
          <w:rFonts w:ascii="Arial" w:cs="Arial" w:eastAsia="Arial" w:hAnsi="Arial"/>
          <w:sz w:val="18"/>
          <w:szCs w:val="18"/>
          <w:color w:val="202020"/>
        </w:rPr>
      </w:pPr>
      <w:r>
        <w:rPr>
          <w:rFonts w:ascii="Arial" w:cs="Arial" w:eastAsia="Arial" w:hAnsi="Arial"/>
          <w:sz w:val="18"/>
          <w:szCs w:val="18"/>
          <w:color w:val="202020"/>
        </w:rPr>
        <w:t>attract and retain talented and experienced executives;</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6"/>
        </w:numPr>
        <w:rPr>
          <w:rFonts w:ascii="Arial" w:cs="Arial" w:eastAsia="Arial" w:hAnsi="Arial"/>
          <w:sz w:val="18"/>
          <w:szCs w:val="18"/>
          <w:color w:val="202020"/>
        </w:rPr>
      </w:pPr>
      <w:r>
        <w:rPr>
          <w:rFonts w:ascii="Arial" w:cs="Arial" w:eastAsia="Arial" w:hAnsi="Arial"/>
          <w:sz w:val="18"/>
          <w:szCs w:val="18"/>
          <w:color w:val="202020"/>
        </w:rPr>
        <w:t>motivate and reward executives whose knowledge, skills and performance are critical to our success;</w:t>
      </w:r>
    </w:p>
    <w:p>
      <w:pPr>
        <w:spacing w:after="0" w:line="132" w:lineRule="exact"/>
        <w:rPr>
          <w:rFonts w:ascii="Arial" w:cs="Arial" w:eastAsia="Arial" w:hAnsi="Arial"/>
          <w:sz w:val="18"/>
          <w:szCs w:val="18"/>
          <w:color w:val="202020"/>
        </w:rPr>
      </w:pPr>
    </w:p>
    <w:p>
      <w:pPr>
        <w:ind w:left="160" w:right="60" w:hanging="159"/>
        <w:spacing w:after="0" w:line="275" w:lineRule="auto"/>
        <w:tabs>
          <w:tab w:leader="none" w:pos="160" w:val="left"/>
        </w:tabs>
        <w:numPr>
          <w:ilvl w:val="0"/>
          <w:numId w:val="16"/>
        </w:numPr>
        <w:rPr>
          <w:rFonts w:ascii="Arial" w:cs="Arial" w:eastAsia="Arial" w:hAnsi="Arial"/>
          <w:sz w:val="18"/>
          <w:szCs w:val="18"/>
          <w:color w:val="202020"/>
        </w:rPr>
      </w:pPr>
      <w:r>
        <w:rPr>
          <w:rFonts w:ascii="Arial" w:cs="Arial" w:eastAsia="Arial" w:hAnsi="Arial"/>
          <w:sz w:val="18"/>
          <w:szCs w:val="18"/>
          <w:color w:val="202020"/>
        </w:rPr>
        <w:t>provide a competitive compensation package that aligns the interests of our executive officers and stockholders by including a significant variable component which is weighted heavily towards performance-based rewards, based upon achievement of predetermined goals;</w:t>
      </w:r>
    </w:p>
    <w:p>
      <w:pPr>
        <w:spacing w:after="0" w:line="66" w:lineRule="exact"/>
        <w:rPr>
          <w:rFonts w:ascii="Arial" w:cs="Arial" w:eastAsia="Arial" w:hAnsi="Arial"/>
          <w:sz w:val="18"/>
          <w:szCs w:val="18"/>
          <w:color w:val="202020"/>
        </w:rPr>
      </w:pPr>
    </w:p>
    <w:p>
      <w:pPr>
        <w:ind w:left="160" w:right="100" w:hanging="159"/>
        <w:spacing w:after="0" w:line="297" w:lineRule="auto"/>
        <w:tabs>
          <w:tab w:leader="none" w:pos="160" w:val="left"/>
        </w:tabs>
        <w:numPr>
          <w:ilvl w:val="0"/>
          <w:numId w:val="16"/>
        </w:numPr>
        <w:rPr>
          <w:rFonts w:ascii="Arial" w:cs="Arial" w:eastAsia="Arial" w:hAnsi="Arial"/>
          <w:sz w:val="18"/>
          <w:szCs w:val="18"/>
          <w:color w:val="202020"/>
        </w:rPr>
      </w:pPr>
      <w:r>
        <w:rPr>
          <w:rFonts w:ascii="Arial" w:cs="Arial" w:eastAsia="Arial" w:hAnsi="Arial"/>
          <w:sz w:val="18"/>
          <w:szCs w:val="18"/>
          <w:color w:val="202020"/>
        </w:rPr>
        <w:t>ensure fairness among the executive management team by recognizing the contributions each executive makes to our success;</w:t>
      </w:r>
    </w:p>
    <w:p>
      <w:pPr>
        <w:spacing w:after="0" w:line="46" w:lineRule="exact"/>
        <w:rPr>
          <w:rFonts w:ascii="Arial" w:cs="Arial" w:eastAsia="Arial" w:hAnsi="Arial"/>
          <w:sz w:val="18"/>
          <w:szCs w:val="18"/>
          <w:color w:val="202020"/>
        </w:rPr>
      </w:pPr>
    </w:p>
    <w:p>
      <w:pPr>
        <w:ind w:left="160" w:hanging="159"/>
        <w:spacing w:after="0"/>
        <w:tabs>
          <w:tab w:leader="none" w:pos="160" w:val="left"/>
        </w:tabs>
        <w:numPr>
          <w:ilvl w:val="0"/>
          <w:numId w:val="16"/>
        </w:numPr>
        <w:rPr>
          <w:rFonts w:ascii="Arial" w:cs="Arial" w:eastAsia="Arial" w:hAnsi="Arial"/>
          <w:sz w:val="18"/>
          <w:szCs w:val="18"/>
          <w:color w:val="202020"/>
        </w:rPr>
      </w:pPr>
      <w:r>
        <w:rPr>
          <w:rFonts w:ascii="Arial" w:cs="Arial" w:eastAsia="Arial" w:hAnsi="Arial"/>
          <w:sz w:val="18"/>
          <w:szCs w:val="18"/>
          <w:color w:val="202020"/>
        </w:rPr>
        <w:t>foster a shared commitment among executives by aligning our and their individual goals; and</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6"/>
        </w:numPr>
        <w:rPr>
          <w:rFonts w:ascii="Arial" w:cs="Arial" w:eastAsia="Arial" w:hAnsi="Arial"/>
          <w:sz w:val="18"/>
          <w:szCs w:val="18"/>
          <w:color w:val="202020"/>
        </w:rPr>
      </w:pPr>
      <w:r>
        <w:rPr>
          <w:rFonts w:ascii="Arial" w:cs="Arial" w:eastAsia="Arial" w:hAnsi="Arial"/>
          <w:sz w:val="18"/>
          <w:szCs w:val="18"/>
          <w:color w:val="202020"/>
        </w:rPr>
        <w:t>compensate our executives to manage our business to meet our near-term and long-term objectives.</w:t>
      </w:r>
    </w:p>
    <w:p>
      <w:pPr>
        <w:spacing w:after="0" w:line="172" w:lineRule="exact"/>
        <w:rPr>
          <w:rFonts w:ascii="Arial" w:cs="Arial" w:eastAsia="Arial" w:hAnsi="Arial"/>
          <w:sz w:val="27"/>
          <w:szCs w:val="27"/>
          <w:b w:val="1"/>
          <w:bCs w:val="1"/>
          <w:color w:val="8F8F8F"/>
        </w:rPr>
      </w:pPr>
    </w:p>
    <w:p>
      <w:pPr>
        <w:spacing w:after="0" w:line="260" w:lineRule="auto"/>
        <w:rPr>
          <w:sz w:val="20"/>
          <w:szCs w:val="20"/>
          <w:color w:val="auto"/>
        </w:rPr>
      </w:pPr>
      <w:r>
        <w:rPr>
          <w:rFonts w:ascii="Arial" w:cs="Arial" w:eastAsia="Arial" w:hAnsi="Arial"/>
          <w:sz w:val="18"/>
          <w:szCs w:val="18"/>
          <w:color w:val="202020"/>
        </w:rPr>
        <w:t>We use a mix of short-term compensation (base salaries and cash incentive bonuses) and long-term compensation (equity incentive compensation) to provide a total compensation structure that is designed to achieve these objectives. We determine the percentage mix of compensation structures that we think is appropriate for each of our Executive Officers. In general, the Compensation and Organization Development Committee believes that a substantial percentage of the compensation of our Executive Officers should be performance based. We consider stock options that vest over time an appropriate choice of long-term incentive given the development stage of the Company. The Compensation and Organization Development Committee uses its judgment, experience, relative peer group data and the recommendations of the Chief Executive Officer (except for his own compensation) to determine the appropriate mix of compensation for each Executive Officer.</w:t>
      </w:r>
    </w:p>
    <w:p>
      <w:pPr>
        <w:spacing w:after="0" w:line="341" w:lineRule="exact"/>
        <w:rPr>
          <w:rFonts w:ascii="Arial" w:cs="Arial" w:eastAsia="Arial" w:hAnsi="Arial"/>
          <w:sz w:val="27"/>
          <w:szCs w:val="27"/>
          <w:b w:val="1"/>
          <w:bCs w:val="1"/>
          <w:color w:val="8F8F8F"/>
        </w:rPr>
      </w:pPr>
    </w:p>
    <w:p>
      <w:pPr>
        <w:ind w:right="360"/>
        <w:spacing w:after="0" w:line="297" w:lineRule="auto"/>
        <w:rPr>
          <w:sz w:val="20"/>
          <w:szCs w:val="20"/>
          <w:color w:val="auto"/>
        </w:rPr>
      </w:pPr>
      <w:r>
        <w:rPr>
          <w:rFonts w:ascii="Arial" w:cs="Arial" w:eastAsia="Arial" w:hAnsi="Arial"/>
          <w:sz w:val="18"/>
          <w:szCs w:val="18"/>
          <w:color w:val="202020"/>
        </w:rPr>
        <w:t>In determining whether to adjust the compensation of any of our Named Executive Officers, we take into account the changes, if any, in the following:</w:t>
      </w:r>
    </w:p>
    <w:p>
      <w:pPr>
        <w:spacing w:after="0" w:line="46" w:lineRule="exact"/>
        <w:rPr>
          <w:rFonts w:ascii="Arial" w:cs="Arial" w:eastAsia="Arial" w:hAnsi="Arial"/>
          <w:sz w:val="27"/>
          <w:szCs w:val="27"/>
          <w:b w:val="1"/>
          <w:bCs w:val="1"/>
          <w:color w:val="8F8F8F"/>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market compensation levels;</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the contributions made by each Executive Officer;</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the performance of each Executive Officer;</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the increases or decreases in responsibilities and roles of each Executive Officer;</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the business needs of the Company with respect to each Executive Officer;</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the relevance of each Executive Officer’s experience to other potential employers; and</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7"/>
        </w:numPr>
        <w:rPr>
          <w:rFonts w:ascii="Arial" w:cs="Arial" w:eastAsia="Arial" w:hAnsi="Arial"/>
          <w:sz w:val="18"/>
          <w:szCs w:val="18"/>
          <w:color w:val="202020"/>
        </w:rPr>
      </w:pPr>
      <w:r>
        <w:rPr>
          <w:rFonts w:ascii="Arial" w:cs="Arial" w:eastAsia="Arial" w:hAnsi="Arial"/>
          <w:sz w:val="18"/>
          <w:szCs w:val="18"/>
          <w:color w:val="202020"/>
        </w:rPr>
        <w:t>the readiness of each Executive Officer to assume a more significant role within the organization.</w:t>
      </w:r>
    </w:p>
    <w:p>
      <w:pPr>
        <w:spacing w:after="0" w:line="172" w:lineRule="exact"/>
        <w:rPr>
          <w:rFonts w:ascii="Arial" w:cs="Arial" w:eastAsia="Arial" w:hAnsi="Arial"/>
          <w:sz w:val="27"/>
          <w:szCs w:val="27"/>
          <w:b w:val="1"/>
          <w:bCs w:val="1"/>
          <w:color w:val="8F8F8F"/>
        </w:rPr>
      </w:pPr>
    </w:p>
    <w:p>
      <w:pPr>
        <w:jc w:val="both"/>
        <w:spacing w:after="0" w:line="275" w:lineRule="auto"/>
        <w:rPr>
          <w:sz w:val="20"/>
          <w:szCs w:val="20"/>
          <w:color w:val="auto"/>
        </w:rPr>
      </w:pPr>
      <w:r>
        <w:rPr>
          <w:rFonts w:ascii="Arial" w:cs="Arial" w:eastAsia="Arial" w:hAnsi="Arial"/>
          <w:sz w:val="18"/>
          <w:szCs w:val="18"/>
          <w:color w:val="202020"/>
        </w:rPr>
        <w:t>In addition, with respect to new Executive Officers, we take into account their prior base salary and annual cash incentives, their expected contribution and our business needs. We believe that our executive officers should be fairly compensated each year relative to market pay levels within our industry.</w:t>
      </w:r>
    </w:p>
    <w:p>
      <w:pPr>
        <w:spacing w:after="0" w:line="175" w:lineRule="exact"/>
        <w:rPr>
          <w:rFonts w:ascii="Arial" w:cs="Arial" w:eastAsia="Arial" w:hAnsi="Arial"/>
          <w:sz w:val="27"/>
          <w:szCs w:val="27"/>
          <w:b w:val="1"/>
          <w:bCs w:val="1"/>
          <w:color w:val="8F8F8F"/>
        </w:rPr>
      </w:pPr>
    </w:p>
    <w:p>
      <w:pPr>
        <w:ind w:right="820"/>
        <w:spacing w:after="0" w:line="289" w:lineRule="auto"/>
        <w:rPr>
          <w:sz w:val="20"/>
          <w:szCs w:val="20"/>
          <w:color w:val="auto"/>
        </w:rPr>
      </w:pPr>
      <w:r>
        <w:rPr>
          <w:rFonts w:ascii="Arial" w:cs="Arial" w:eastAsia="Arial" w:hAnsi="Arial"/>
          <w:sz w:val="21"/>
          <w:szCs w:val="21"/>
          <w:b w:val="1"/>
          <w:bCs w:val="1"/>
          <w:color w:val="202020"/>
        </w:rPr>
        <w:t>Committee Consideration of the Company’s 2025 Shareholder Advisory Vote on Executive Compensation</w:t>
      </w:r>
    </w:p>
    <w:p>
      <w:pPr>
        <w:spacing w:after="0" w:line="89" w:lineRule="exact"/>
        <w:rPr>
          <w:rFonts w:ascii="Arial" w:cs="Arial" w:eastAsia="Arial" w:hAnsi="Arial"/>
          <w:sz w:val="27"/>
          <w:szCs w:val="27"/>
          <w:b w:val="1"/>
          <w:bCs w:val="1"/>
          <w:color w:val="8F8F8F"/>
        </w:rPr>
      </w:pPr>
    </w:p>
    <w:p>
      <w:pPr>
        <w:ind w:right="1800"/>
        <w:spacing w:after="0" w:line="255" w:lineRule="auto"/>
        <w:rPr>
          <w:sz w:val="20"/>
          <w:szCs w:val="20"/>
          <w:color w:val="auto"/>
        </w:rPr>
      </w:pPr>
      <w:r>
        <w:rPr>
          <w:rFonts w:ascii="Arial" w:cs="Arial" w:eastAsia="Arial" w:hAnsi="Arial"/>
          <w:sz w:val="18"/>
          <w:szCs w:val="18"/>
          <w:color w:val="202020"/>
        </w:rPr>
        <w:t>At our 2025 Annual Meeting of Shareholders, approximately 99% of the shares voted at the meeting approved, on an advisory basis, the compensation of the Named Executive Officers. Given that a majority of the shares voted approved the ‘say on pay’ advisory proposal, the Committee did not implement specific changes and continued with its performance-based compensation philosophy and its balanced approach to various components of its compensation program. However, the Compensation and Organization Development Committee does monitor the results of the annual advisory ‘say-on-pay’ proposal and refers to such results as one of many factors considered in</w:t>
      </w:r>
    </w:p>
    <w:p>
      <w:pPr>
        <w:spacing w:after="0" w:line="20" w:lineRule="exact"/>
        <w:rPr>
          <w:rFonts w:ascii="Arial" w:cs="Arial" w:eastAsia="Arial" w:hAnsi="Arial"/>
          <w:sz w:val="27"/>
          <w:szCs w:val="27"/>
          <w:b w:val="1"/>
          <w:bCs w:val="1"/>
          <w:color w:val="8F8F8F"/>
        </w:rPr>
      </w:pPr>
      <w:r>
        <w:rPr>
          <w:rFonts w:ascii="Arial" w:cs="Arial" w:eastAsia="Arial" w:hAnsi="Arial"/>
          <w:sz w:val="27"/>
          <w:szCs w:val="27"/>
          <w:b w:val="1"/>
          <w:bCs w:val="1"/>
          <w:color w:val="8F8F8F"/>
        </w:rPr>
        <w:drawing>
          <wp:anchor simplePos="0" relativeHeight="251657728" behindDoc="1" locked="0" layoutInCell="0" allowOverlap="1">
            <wp:simplePos x="0" y="0"/>
            <wp:positionH relativeFrom="column">
              <wp:posOffset>5461635</wp:posOffset>
            </wp:positionH>
            <wp:positionV relativeFrom="paragraph">
              <wp:posOffset>-913130</wp:posOffset>
            </wp:positionV>
            <wp:extent cx="855980" cy="855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48">
                      <a:extLst>
                        <a:ext uri="{28A0092B-C50C-407E-A947-70E740481C1C}"/>
                      </a:extLst>
                    </a:blip>
                    <a:srcRect/>
                    <a:stretch>
                      <a:fillRect/>
                    </a:stretch>
                  </pic:blipFill>
                  <pic:spPr bwMode="auto">
                    <a:xfrm>
                      <a:off x="0" y="0"/>
                      <a:ext cx="855980" cy="855980"/>
                    </a:xfrm>
                    <a:prstGeom prst="rect">
                      <a:avLst/>
                    </a:prstGeom>
                    <a:noFill/>
                  </pic:spPr>
                </pic:pic>
              </a:graphicData>
            </a:graphic>
          </wp:anchor>
        </w:drawing>
      </w:r>
    </w:p>
    <w:p>
      <w:pPr>
        <w:ind w:right="100"/>
        <w:spacing w:after="0" w:line="304" w:lineRule="auto"/>
        <w:rPr>
          <w:sz w:val="20"/>
          <w:szCs w:val="20"/>
          <w:color w:val="auto"/>
        </w:rPr>
      </w:pPr>
      <w:r>
        <w:rPr>
          <w:rFonts w:ascii="Arial" w:cs="Arial" w:eastAsia="Arial" w:hAnsi="Arial"/>
          <w:sz w:val="18"/>
          <w:szCs w:val="18"/>
          <w:color w:val="202020"/>
        </w:rPr>
        <w:t>connection with the discharge of its responsibilities, although the Committee does not assign a quantitative weighting to any such factors.</w:t>
      </w:r>
    </w:p>
    <w:p>
      <w:pPr>
        <w:spacing w:after="0" w:line="86" w:lineRule="exact"/>
        <w:rPr>
          <w:rFonts w:ascii="Arial" w:cs="Arial" w:eastAsia="Arial" w:hAnsi="Arial"/>
          <w:sz w:val="27"/>
          <w:szCs w:val="27"/>
          <w:b w:val="1"/>
          <w:bCs w:val="1"/>
          <w:color w:val="8F8F8F"/>
        </w:rPr>
      </w:pPr>
    </w:p>
    <w:p>
      <w:pPr>
        <w:spacing w:after="0" w:line="268" w:lineRule="auto"/>
        <w:rPr>
          <w:sz w:val="20"/>
          <w:szCs w:val="20"/>
          <w:color w:val="auto"/>
        </w:rPr>
      </w:pPr>
      <w:r>
        <w:rPr>
          <w:rFonts w:ascii="Arial" w:cs="Arial" w:eastAsia="Arial" w:hAnsi="Arial"/>
          <w:sz w:val="18"/>
          <w:szCs w:val="18"/>
          <w:color w:val="202020"/>
        </w:rPr>
        <w:t>At our 2023 annual meeting of stockholders, we conducted a non-binding stockholder vote on the frequency of future Say-on-Pay votes. We recommended that such votes be conducted annually and our stockholders overwhelmingly approved that recommendation. We listen to the views of shareholders and receive valuable commentary and insights from them. We believe that our executive compensation program is aligned with structures and the components sought by our shareholders and the practices of our peer companies. We believe that our program is effective at motivating our Executive Officers to achieve our goals.</w:t>
      </w:r>
    </w:p>
    <w:p>
      <w:pPr>
        <w:spacing w:after="0" w:line="172" w:lineRule="exact"/>
        <w:rPr>
          <w:rFonts w:ascii="Arial" w:cs="Arial" w:eastAsia="Arial" w:hAnsi="Arial"/>
          <w:sz w:val="27"/>
          <w:szCs w:val="27"/>
          <w:b w:val="1"/>
          <w:bCs w:val="1"/>
          <w:color w:val="8F8F8F"/>
        </w:rPr>
      </w:pPr>
    </w:p>
    <w:p>
      <w:pPr>
        <w:spacing w:after="0"/>
        <w:tabs>
          <w:tab w:leader="none" w:pos="500" w:val="left"/>
        </w:tabs>
        <w:rPr>
          <w:sz w:val="20"/>
          <w:szCs w:val="20"/>
          <w:color w:val="auto"/>
        </w:rPr>
      </w:pPr>
      <w:r>
        <w:rPr>
          <w:rFonts w:ascii="Arial" w:cs="Arial" w:eastAsia="Arial" w:hAnsi="Arial"/>
          <w:sz w:val="18"/>
          <w:szCs w:val="18"/>
          <w:color w:val="202020"/>
        </w:rPr>
        <w:t>30 |</w:t>
        <w:tab/>
        <w:t>Celldex Therapeutics</w:t>
      </w:r>
    </w:p>
    <w:p>
      <w:pPr>
        <w:sectPr>
          <w:pgSz w:w="11880" w:h="15480" w:orient="portrait"/>
          <w:cols w:equalWidth="0" w:num="1">
            <w:col w:w="10120"/>
          </w:cols>
          <w:pgMar w:left="880" w:top="544" w:right="880" w:bottom="96" w:gutter="0" w:footer="0" w:header="0"/>
        </w:sectPr>
      </w:pPr>
    </w:p>
    <w:bookmarkStart w:id="34" w:name="page35"/>
    <w:bookmarkEnd w:id="34"/>
    <w:p>
      <w:pPr>
        <w:ind w:left="8300"/>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202020"/>
        </w:rPr>
        <w:t>The Compensation and Organization Development Committee and the Board are committed to continually evaluating changes to the compensation program that will enhance the link between our long-term strategy and objectives and the incentives for our Executive Officers and enhancing alignment between our Executive Officers’ and our shareholders’ interests.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Executive Compensation Components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202020"/>
        </w:rPr>
        <w:t>In order to both attract and retain experienced and qualified executives to manage us, the Compensation and Organization Development Committee’s policy on executive compensation is to (i) pay salaries which are competitive with the salaries of executives in comparable positions in the biotechnology industry, and (ii) allow for additional incentive-based compensation through the payment of annual cash bonuses and the grant of stock-based incentive awards. This policy is designed to have a significant portion of each executive’s total compensation be tied to our progress in order to incentivize the executive to fully dedicate himself or herself to achievement of corporate goals and align the executive’s interest with those of our stockholders.</w:t>
      </w:r>
    </w:p>
    <w:p>
      <w:pPr>
        <w:spacing w:after="0" w:line="340" w:lineRule="exact"/>
        <w:rPr>
          <w:sz w:val="20"/>
          <w:szCs w:val="20"/>
          <w:color w:val="auto"/>
        </w:rPr>
      </w:pPr>
    </w:p>
    <w:p>
      <w:pPr>
        <w:spacing w:after="0" w:line="263" w:lineRule="auto"/>
        <w:rPr>
          <w:sz w:val="20"/>
          <w:szCs w:val="20"/>
          <w:color w:val="auto"/>
        </w:rPr>
      </w:pPr>
      <w:r>
        <w:rPr>
          <w:rFonts w:ascii="Arial" w:cs="Arial" w:eastAsia="Arial" w:hAnsi="Arial"/>
          <w:sz w:val="18"/>
          <w:szCs w:val="18"/>
          <w:color w:val="202020"/>
        </w:rPr>
        <w:t>Our executive compensation program is primarily composed of base salary, incentive cash compensation payable on an annual basis and equity compensation. In addition, we provide our executives with benefits that are generally available to our salaried employees, including medical, dental, group life and accidental death and dismemberment insurance, short and long-term disability coverage and our 401(k) plan. Within the context of the overall objectives of our compensation programs, we determined the specific amounts of compensation to be paid to each of our executives in 2025 based on a number of factors including:</w:t>
      </w:r>
    </w:p>
    <w:p>
      <w:pPr>
        <w:spacing w:after="0" w:line="76" w:lineRule="exact"/>
        <w:rPr>
          <w:sz w:val="20"/>
          <w:szCs w:val="20"/>
          <w:color w:val="auto"/>
        </w:rPr>
      </w:pPr>
    </w:p>
    <w:p>
      <w:pPr>
        <w:ind w:left="160" w:hanging="159"/>
        <w:spacing w:after="0"/>
        <w:tabs>
          <w:tab w:leader="none" w:pos="160" w:val="left"/>
        </w:tabs>
        <w:numPr>
          <w:ilvl w:val="0"/>
          <w:numId w:val="18"/>
        </w:numPr>
        <w:rPr>
          <w:rFonts w:ascii="Arial" w:cs="Arial" w:eastAsia="Arial" w:hAnsi="Arial"/>
          <w:sz w:val="18"/>
          <w:szCs w:val="18"/>
          <w:color w:val="202020"/>
        </w:rPr>
      </w:pPr>
      <w:r>
        <w:rPr>
          <w:rFonts w:ascii="Arial" w:cs="Arial" w:eastAsia="Arial" w:hAnsi="Arial"/>
          <w:sz w:val="18"/>
          <w:szCs w:val="18"/>
          <w:color w:val="202020"/>
        </w:rPr>
        <w:t>the roles and responsibilities of our executives;</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8"/>
        </w:numPr>
        <w:rPr>
          <w:rFonts w:ascii="Arial" w:cs="Arial" w:eastAsia="Arial" w:hAnsi="Arial"/>
          <w:sz w:val="18"/>
          <w:szCs w:val="18"/>
          <w:color w:val="202020"/>
        </w:rPr>
      </w:pPr>
      <w:r>
        <w:rPr>
          <w:rFonts w:ascii="Arial" w:cs="Arial" w:eastAsia="Arial" w:hAnsi="Arial"/>
          <w:sz w:val="18"/>
          <w:szCs w:val="18"/>
          <w:color w:val="202020"/>
        </w:rPr>
        <w:t>the individual experience and skills of, and expected contributions from, our executives;</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8"/>
        </w:numPr>
        <w:rPr>
          <w:rFonts w:ascii="Arial" w:cs="Arial" w:eastAsia="Arial" w:hAnsi="Arial"/>
          <w:sz w:val="18"/>
          <w:szCs w:val="18"/>
          <w:color w:val="202020"/>
        </w:rPr>
      </w:pPr>
      <w:r>
        <w:rPr>
          <w:rFonts w:ascii="Arial" w:cs="Arial" w:eastAsia="Arial" w:hAnsi="Arial"/>
          <w:sz w:val="18"/>
          <w:szCs w:val="18"/>
          <w:color w:val="202020"/>
        </w:rPr>
        <w:t>the amounts of compensation being paid to our other executives;</w:t>
      </w:r>
    </w:p>
    <w:p>
      <w:pPr>
        <w:spacing w:after="0" w:line="132" w:lineRule="exact"/>
        <w:rPr>
          <w:rFonts w:ascii="Arial" w:cs="Arial" w:eastAsia="Arial" w:hAnsi="Arial"/>
          <w:sz w:val="18"/>
          <w:szCs w:val="18"/>
          <w:color w:val="202020"/>
        </w:rPr>
      </w:pPr>
    </w:p>
    <w:p>
      <w:pPr>
        <w:ind w:left="160" w:hanging="159"/>
        <w:spacing w:after="0"/>
        <w:tabs>
          <w:tab w:leader="none" w:pos="160" w:val="left"/>
        </w:tabs>
        <w:numPr>
          <w:ilvl w:val="0"/>
          <w:numId w:val="18"/>
        </w:numPr>
        <w:rPr>
          <w:rFonts w:ascii="Arial" w:cs="Arial" w:eastAsia="Arial" w:hAnsi="Arial"/>
          <w:sz w:val="18"/>
          <w:szCs w:val="18"/>
          <w:color w:val="202020"/>
        </w:rPr>
      </w:pPr>
      <w:r>
        <w:rPr>
          <w:rFonts w:ascii="Arial" w:cs="Arial" w:eastAsia="Arial" w:hAnsi="Arial"/>
          <w:sz w:val="18"/>
          <w:szCs w:val="18"/>
          <w:color w:val="202020"/>
        </w:rPr>
        <w:t>our executives’ historical compensation; and</w:t>
      </w:r>
    </w:p>
    <w:p>
      <w:pPr>
        <w:spacing w:after="0" w:line="132" w:lineRule="exact"/>
        <w:rPr>
          <w:rFonts w:ascii="Arial" w:cs="Arial" w:eastAsia="Arial" w:hAnsi="Arial"/>
          <w:sz w:val="18"/>
          <w:szCs w:val="18"/>
          <w:color w:val="202020"/>
        </w:rPr>
      </w:pPr>
    </w:p>
    <w:p>
      <w:pPr>
        <w:ind w:left="160" w:right="220" w:hanging="159"/>
        <w:spacing w:after="0" w:line="297" w:lineRule="auto"/>
        <w:tabs>
          <w:tab w:leader="none" w:pos="160" w:val="left"/>
        </w:tabs>
        <w:numPr>
          <w:ilvl w:val="0"/>
          <w:numId w:val="18"/>
        </w:numPr>
        <w:rPr>
          <w:rFonts w:ascii="Arial" w:cs="Arial" w:eastAsia="Arial" w:hAnsi="Arial"/>
          <w:sz w:val="18"/>
          <w:szCs w:val="18"/>
          <w:color w:val="202020"/>
        </w:rPr>
      </w:pPr>
      <w:r>
        <w:rPr>
          <w:rFonts w:ascii="Arial" w:cs="Arial" w:eastAsia="Arial" w:hAnsi="Arial"/>
          <w:sz w:val="18"/>
          <w:szCs w:val="18"/>
          <w:color w:val="202020"/>
        </w:rPr>
        <w:t>our understanding of the amount of compensation generally paid by similarly situated companies to their executives with similar roles and responsibilities.</w:t>
      </w:r>
    </w:p>
    <w:p>
      <w:pPr>
        <w:spacing w:after="0" w:line="8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202020"/>
        </w:rPr>
        <w:t>We discuss each of the primary elements of our executive compensation in detail below. While we have identified particular compensation objectives that each element of executive compensation serves, our compensation programs complement each other and collectively serve all of our executive compensation objectives described above.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202020"/>
        </w:rPr>
        <w:t>Base Salary</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202020"/>
        </w:rPr>
        <w:t>Each Executive Officer (except the Chief Executive Officer whose performance is reviewed by the Compensation and Organization Development Committee) has an annual performance review with the Chief Executive Officer who makes recommendations on salary increases, promotions, cash bonuses and stock option grants to the Compensation and Organization Development Committee. We have historically established base salaries for each of our executives based on many factors, including average salary increases expected in the biotechnology industry in the Boston, Massachusetts, New Haven, Connecticut and central New Jersey areas, competition in the marketplace to hire and retain executives, experiences of our leadership team with respect to salaries and compensation of executives in similarly situated companies in our industry and other similar industries, as well as additional factors which we believe enable us to hire and retain our leadership team in an extremely competitive environment. Our Compensation and Organization Development Committee at least annually reviews salary ranges and individual salaries for our Executive Officers and approved the following salaries for our Named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264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202020"/>
              </w:rPr>
              <w:t>Annual Salary</w:t>
            </w: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4"/>
        </w:trPr>
        <w:tc>
          <w:tcPr>
            <w:tcW w:w="5720" w:type="dxa"/>
            <w:vAlign w:val="bottom"/>
          </w:tcPr>
          <w:p>
            <w:pPr>
              <w:spacing w:after="0"/>
              <w:rPr>
                <w:sz w:val="3"/>
                <w:szCs w:val="3"/>
                <w:color w:val="auto"/>
              </w:rPr>
            </w:pPr>
          </w:p>
        </w:tc>
        <w:tc>
          <w:tcPr>
            <w:tcW w:w="1320" w:type="dxa"/>
            <w:vAlign w:val="bottom"/>
            <w:tcBorders>
              <w:bottom w:val="single" w:sz="8" w:color="202020"/>
            </w:tcBorders>
          </w:tcPr>
          <w:p>
            <w:pPr>
              <w:spacing w:after="0"/>
              <w:rPr>
                <w:sz w:val="3"/>
                <w:szCs w:val="3"/>
                <w:color w:val="auto"/>
              </w:rPr>
            </w:pPr>
          </w:p>
        </w:tc>
        <w:tc>
          <w:tcPr>
            <w:tcW w:w="1320" w:type="dxa"/>
            <w:vAlign w:val="bottom"/>
            <w:tcBorders>
              <w:bottom w:val="single" w:sz="8" w:color="202020"/>
            </w:tcBorders>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89"/>
        </w:trPr>
        <w:tc>
          <w:tcPr>
            <w:tcW w:w="5720" w:type="dxa"/>
            <w:vAlign w:val="bottom"/>
          </w:tcPr>
          <w:p>
            <w:pPr>
              <w:spacing w:after="0"/>
              <w:rPr>
                <w:sz w:val="16"/>
                <w:szCs w:val="16"/>
                <w:color w:val="auto"/>
              </w:rPr>
            </w:pPr>
          </w:p>
        </w:tc>
        <w:tc>
          <w:tcPr>
            <w:tcW w:w="1320" w:type="dxa"/>
            <w:vAlign w:val="bottom"/>
          </w:tcPr>
          <w:p>
            <w:pPr>
              <w:jc w:val="right"/>
              <w:ind w:right="400"/>
              <w:spacing w:after="0"/>
              <w:rPr>
                <w:sz w:val="20"/>
                <w:szCs w:val="20"/>
                <w:color w:val="auto"/>
              </w:rPr>
            </w:pPr>
            <w:r>
              <w:rPr>
                <w:rFonts w:ascii="Arial" w:cs="Arial" w:eastAsia="Arial" w:hAnsi="Arial"/>
                <w:sz w:val="16"/>
                <w:szCs w:val="16"/>
                <w:b w:val="1"/>
                <w:bCs w:val="1"/>
                <w:color w:val="202020"/>
              </w:rPr>
              <w:t>As of</w:t>
            </w:r>
          </w:p>
        </w:tc>
        <w:tc>
          <w:tcPr>
            <w:tcW w:w="1320" w:type="dxa"/>
            <w:vAlign w:val="bottom"/>
          </w:tcPr>
          <w:p>
            <w:pPr>
              <w:jc w:val="right"/>
              <w:ind w:right="400"/>
              <w:spacing w:after="0"/>
              <w:rPr>
                <w:sz w:val="20"/>
                <w:szCs w:val="20"/>
                <w:color w:val="auto"/>
              </w:rPr>
            </w:pPr>
            <w:r>
              <w:rPr>
                <w:rFonts w:ascii="Arial" w:cs="Arial" w:eastAsia="Arial" w:hAnsi="Arial"/>
                <w:sz w:val="16"/>
                <w:szCs w:val="16"/>
                <w:b w:val="1"/>
                <w:bCs w:val="1"/>
                <w:color w:val="202020"/>
              </w:rPr>
              <w:t>As of</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0"/>
        </w:trPr>
        <w:tc>
          <w:tcPr>
            <w:tcW w:w="5720" w:type="dxa"/>
            <w:vAlign w:val="bottom"/>
          </w:tcPr>
          <w:p>
            <w:pPr>
              <w:spacing w:after="0"/>
              <w:rPr>
                <w:sz w:val="15"/>
                <w:szCs w:val="15"/>
                <w:color w:val="auto"/>
              </w:rPr>
            </w:pPr>
          </w:p>
        </w:tc>
        <w:tc>
          <w:tcPr>
            <w:tcW w:w="1320" w:type="dxa"/>
            <w:vAlign w:val="bottom"/>
          </w:tcPr>
          <w:p>
            <w:pPr>
              <w:jc w:val="right"/>
              <w:ind w:right="40"/>
              <w:spacing w:after="0" w:line="180" w:lineRule="exact"/>
              <w:rPr>
                <w:sz w:val="20"/>
                <w:szCs w:val="20"/>
                <w:color w:val="auto"/>
              </w:rPr>
            </w:pPr>
            <w:r>
              <w:rPr>
                <w:rFonts w:ascii="Arial" w:cs="Arial" w:eastAsia="Arial" w:hAnsi="Arial"/>
                <w:sz w:val="16"/>
                <w:szCs w:val="16"/>
                <w:b w:val="1"/>
                <w:bCs w:val="1"/>
                <w:color w:val="202020"/>
              </w:rPr>
              <w:t>December 31,</w:t>
            </w:r>
          </w:p>
        </w:tc>
        <w:tc>
          <w:tcPr>
            <w:tcW w:w="1320" w:type="dxa"/>
            <w:vAlign w:val="bottom"/>
          </w:tcPr>
          <w:p>
            <w:pPr>
              <w:jc w:val="right"/>
              <w:ind w:right="40"/>
              <w:spacing w:after="0" w:line="180" w:lineRule="exact"/>
              <w:rPr>
                <w:sz w:val="20"/>
                <w:szCs w:val="20"/>
                <w:color w:val="auto"/>
              </w:rPr>
            </w:pPr>
            <w:r>
              <w:rPr>
                <w:rFonts w:ascii="Arial" w:cs="Arial" w:eastAsia="Arial" w:hAnsi="Arial"/>
                <w:sz w:val="16"/>
                <w:szCs w:val="16"/>
                <w:b w:val="1"/>
                <w:bCs w:val="1"/>
                <w:color w:val="202020"/>
              </w:rPr>
              <w:t>December 31,</w:t>
            </w:r>
          </w:p>
        </w:tc>
        <w:tc>
          <w:tcPr>
            <w:tcW w:w="900" w:type="dxa"/>
            <w:vAlign w:val="bottom"/>
          </w:tcPr>
          <w:p>
            <w:pPr>
              <w:jc w:val="right"/>
              <w:ind w:right="40"/>
              <w:spacing w:after="0" w:line="180" w:lineRule="exact"/>
              <w:rPr>
                <w:sz w:val="20"/>
                <w:szCs w:val="20"/>
                <w:color w:val="auto"/>
              </w:rPr>
            </w:pPr>
            <w:r>
              <w:rPr>
                <w:rFonts w:ascii="Arial" w:cs="Arial" w:eastAsia="Arial" w:hAnsi="Arial"/>
                <w:sz w:val="16"/>
                <w:szCs w:val="16"/>
                <w:b w:val="1"/>
                <w:bCs w:val="1"/>
                <w:color w:val="202020"/>
              </w:rPr>
              <w:t>Increase</w:t>
            </w:r>
          </w:p>
        </w:tc>
        <w:tc>
          <w:tcPr>
            <w:tcW w:w="860" w:type="dxa"/>
            <w:vAlign w:val="bottom"/>
          </w:tcPr>
          <w:p>
            <w:pPr>
              <w:jc w:val="right"/>
              <w:spacing w:after="0" w:line="180" w:lineRule="exact"/>
              <w:rPr>
                <w:sz w:val="20"/>
                <w:szCs w:val="20"/>
                <w:color w:val="auto"/>
              </w:rPr>
            </w:pPr>
            <w:r>
              <w:rPr>
                <w:rFonts w:ascii="Arial" w:cs="Arial" w:eastAsia="Arial" w:hAnsi="Arial"/>
                <w:sz w:val="16"/>
                <w:szCs w:val="16"/>
                <w:b w:val="1"/>
                <w:bCs w:val="1"/>
                <w:color w:val="202020"/>
              </w:rPr>
              <w:t>Increase</w:t>
            </w:r>
          </w:p>
        </w:tc>
      </w:tr>
      <w:tr>
        <w:trPr>
          <w:trHeight w:val="217"/>
        </w:trPr>
        <w:tc>
          <w:tcPr>
            <w:tcW w:w="5720" w:type="dxa"/>
            <w:vAlign w:val="bottom"/>
          </w:tcPr>
          <w:p>
            <w:pPr>
              <w:ind w:left="60"/>
              <w:spacing w:after="0"/>
              <w:rPr>
                <w:sz w:val="20"/>
                <w:szCs w:val="20"/>
                <w:color w:val="auto"/>
              </w:rPr>
            </w:pPr>
            <w:r>
              <w:rPr>
                <w:rFonts w:ascii="Arial" w:cs="Arial" w:eastAsia="Arial" w:hAnsi="Arial"/>
                <w:sz w:val="16"/>
                <w:szCs w:val="16"/>
                <w:b w:val="1"/>
                <w:bCs w:val="1"/>
                <w:color w:val="202020"/>
              </w:rPr>
              <w:t>Name</w:t>
            </w:r>
          </w:p>
        </w:tc>
        <w:tc>
          <w:tcPr>
            <w:tcW w:w="1320" w:type="dxa"/>
            <w:vAlign w:val="bottom"/>
          </w:tcPr>
          <w:p>
            <w:pPr>
              <w:jc w:val="right"/>
              <w:ind w:right="400"/>
              <w:spacing w:after="0"/>
              <w:rPr>
                <w:sz w:val="20"/>
                <w:szCs w:val="20"/>
                <w:color w:val="auto"/>
              </w:rPr>
            </w:pPr>
            <w:r>
              <w:rPr>
                <w:rFonts w:ascii="Arial" w:cs="Arial" w:eastAsia="Arial" w:hAnsi="Arial"/>
                <w:sz w:val="16"/>
                <w:szCs w:val="16"/>
                <w:b w:val="1"/>
                <w:bCs w:val="1"/>
                <w:color w:val="202020"/>
              </w:rPr>
              <w:t>2025</w:t>
            </w:r>
          </w:p>
        </w:tc>
        <w:tc>
          <w:tcPr>
            <w:tcW w:w="1320" w:type="dxa"/>
            <w:vAlign w:val="bottom"/>
          </w:tcPr>
          <w:p>
            <w:pPr>
              <w:jc w:val="right"/>
              <w:ind w:right="400"/>
              <w:spacing w:after="0"/>
              <w:rPr>
                <w:sz w:val="20"/>
                <w:szCs w:val="20"/>
                <w:color w:val="auto"/>
              </w:rPr>
            </w:pPr>
            <w:r>
              <w:rPr>
                <w:rFonts w:ascii="Arial" w:cs="Arial" w:eastAsia="Arial" w:hAnsi="Arial"/>
                <w:sz w:val="16"/>
                <w:szCs w:val="16"/>
                <w:b w:val="1"/>
                <w:bCs w:val="1"/>
                <w:color w:val="202020"/>
              </w:rPr>
              <w:t>2024</w:t>
            </w:r>
          </w:p>
        </w:tc>
        <w:tc>
          <w:tcPr>
            <w:tcW w:w="900" w:type="dxa"/>
            <w:vAlign w:val="bottom"/>
          </w:tcPr>
          <w:p>
            <w:pPr>
              <w:jc w:val="right"/>
              <w:ind w:right="320"/>
              <w:spacing w:after="0"/>
              <w:rPr>
                <w:sz w:val="20"/>
                <w:szCs w:val="20"/>
                <w:color w:val="auto"/>
              </w:rPr>
            </w:pPr>
            <w:r>
              <w:rPr>
                <w:rFonts w:ascii="Arial" w:cs="Arial" w:eastAsia="Arial" w:hAnsi="Arial"/>
                <w:sz w:val="16"/>
                <w:szCs w:val="16"/>
                <w:b w:val="1"/>
                <w:bCs w:val="1"/>
                <w:color w:val="202020"/>
              </w:rPr>
              <w:t>$</w:t>
            </w:r>
          </w:p>
        </w:tc>
        <w:tc>
          <w:tcPr>
            <w:tcW w:w="860" w:type="dxa"/>
            <w:vAlign w:val="bottom"/>
          </w:tcPr>
          <w:p>
            <w:pPr>
              <w:jc w:val="right"/>
              <w:ind w:right="240"/>
              <w:spacing w:after="0"/>
              <w:rPr>
                <w:sz w:val="20"/>
                <w:szCs w:val="20"/>
                <w:color w:val="auto"/>
              </w:rPr>
            </w:pPr>
            <w:r>
              <w:rPr>
                <w:rFonts w:ascii="Arial" w:cs="Arial" w:eastAsia="Arial" w:hAnsi="Arial"/>
                <w:sz w:val="16"/>
                <w:szCs w:val="16"/>
                <w:b w:val="1"/>
                <w:bCs w:val="1"/>
                <w:color w:val="202020"/>
              </w:rPr>
              <w:t>%</w:t>
            </w:r>
          </w:p>
        </w:tc>
      </w:tr>
      <w:tr>
        <w:trPr>
          <w:trHeight w:val="44"/>
        </w:trPr>
        <w:tc>
          <w:tcPr>
            <w:tcW w:w="5720" w:type="dxa"/>
            <w:vAlign w:val="bottom"/>
            <w:tcBorders>
              <w:bottom w:val="single" w:sz="8" w:color="202020"/>
            </w:tcBorders>
          </w:tcPr>
          <w:p>
            <w:pPr>
              <w:spacing w:after="0"/>
              <w:rPr>
                <w:sz w:val="3"/>
                <w:szCs w:val="3"/>
                <w:color w:val="auto"/>
              </w:rPr>
            </w:pPr>
          </w:p>
        </w:tc>
        <w:tc>
          <w:tcPr>
            <w:tcW w:w="1320" w:type="dxa"/>
            <w:vAlign w:val="bottom"/>
            <w:tcBorders>
              <w:bottom w:val="single" w:sz="8" w:color="202020"/>
            </w:tcBorders>
          </w:tcPr>
          <w:p>
            <w:pPr>
              <w:spacing w:after="0"/>
              <w:rPr>
                <w:sz w:val="3"/>
                <w:szCs w:val="3"/>
                <w:color w:val="auto"/>
              </w:rPr>
            </w:pPr>
          </w:p>
        </w:tc>
        <w:tc>
          <w:tcPr>
            <w:tcW w:w="1320" w:type="dxa"/>
            <w:vAlign w:val="bottom"/>
            <w:tcBorders>
              <w:bottom w:val="single" w:sz="8" w:color="202020"/>
            </w:tcBorders>
          </w:tcPr>
          <w:p>
            <w:pPr>
              <w:spacing w:after="0"/>
              <w:rPr>
                <w:sz w:val="3"/>
                <w:szCs w:val="3"/>
                <w:color w:val="auto"/>
              </w:rPr>
            </w:pPr>
          </w:p>
        </w:tc>
        <w:tc>
          <w:tcPr>
            <w:tcW w:w="900" w:type="dxa"/>
            <w:vAlign w:val="bottom"/>
            <w:tcBorders>
              <w:bottom w:val="single" w:sz="8" w:color="202020"/>
            </w:tcBorders>
          </w:tcPr>
          <w:p>
            <w:pPr>
              <w:spacing w:after="0"/>
              <w:rPr>
                <w:sz w:val="3"/>
                <w:szCs w:val="3"/>
                <w:color w:val="auto"/>
              </w:rPr>
            </w:pPr>
          </w:p>
        </w:tc>
        <w:tc>
          <w:tcPr>
            <w:tcW w:w="860" w:type="dxa"/>
            <w:vAlign w:val="bottom"/>
            <w:tcBorders>
              <w:bottom w:val="single" w:sz="8" w:color="202020"/>
            </w:tcBorders>
          </w:tcPr>
          <w:p>
            <w:pPr>
              <w:spacing w:after="0"/>
              <w:rPr>
                <w:sz w:val="3"/>
                <w:szCs w:val="3"/>
                <w:color w:val="auto"/>
              </w:rPr>
            </w:pPr>
          </w:p>
        </w:tc>
      </w:tr>
      <w:tr>
        <w:trPr>
          <w:trHeight w:val="225"/>
        </w:trPr>
        <w:tc>
          <w:tcPr>
            <w:tcW w:w="572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$822,000</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$769,611</w:t>
            </w:r>
          </w:p>
        </w:tc>
        <w:tc>
          <w:tcPr>
            <w:tcW w:w="900" w:type="dxa"/>
            <w:vAlign w:val="bottom"/>
          </w:tcPr>
          <w:p>
            <w:pPr>
              <w:jc w:val="right"/>
              <w:ind w:right="40"/>
              <w:spacing w:after="0"/>
              <w:rPr>
                <w:sz w:val="20"/>
                <w:szCs w:val="20"/>
                <w:color w:val="auto"/>
              </w:rPr>
            </w:pPr>
            <w:r>
              <w:rPr>
                <w:rFonts w:ascii="Arial" w:cs="Arial" w:eastAsia="Arial" w:hAnsi="Arial"/>
                <w:sz w:val="16"/>
                <w:szCs w:val="16"/>
                <w:color w:val="202020"/>
              </w:rPr>
              <w:t>$52,389</w:t>
            </w:r>
          </w:p>
        </w:tc>
        <w:tc>
          <w:tcPr>
            <w:tcW w:w="860" w:type="dxa"/>
            <w:vAlign w:val="bottom"/>
          </w:tcPr>
          <w:p>
            <w:pPr>
              <w:jc w:val="right"/>
              <w:spacing w:after="0"/>
              <w:rPr>
                <w:sz w:val="20"/>
                <w:szCs w:val="20"/>
                <w:color w:val="auto"/>
              </w:rPr>
            </w:pPr>
            <w:r>
              <w:rPr>
                <w:rFonts w:ascii="Arial" w:cs="Arial" w:eastAsia="Arial" w:hAnsi="Arial"/>
                <w:sz w:val="16"/>
                <w:szCs w:val="16"/>
                <w:color w:val="202020"/>
              </w:rPr>
              <w:t>6.8%</w:t>
            </w:r>
          </w:p>
        </w:tc>
      </w:tr>
      <w:tr>
        <w:trPr>
          <w:trHeight w:val="259"/>
        </w:trPr>
        <w:tc>
          <w:tcPr>
            <w:tcW w:w="572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$574,276</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$542,573</w:t>
            </w:r>
          </w:p>
        </w:tc>
        <w:tc>
          <w:tcPr>
            <w:tcW w:w="900" w:type="dxa"/>
            <w:vAlign w:val="bottom"/>
          </w:tcPr>
          <w:p>
            <w:pPr>
              <w:jc w:val="right"/>
              <w:ind w:right="40"/>
              <w:spacing w:after="0"/>
              <w:rPr>
                <w:sz w:val="20"/>
                <w:szCs w:val="20"/>
                <w:color w:val="auto"/>
              </w:rPr>
            </w:pPr>
            <w:r>
              <w:rPr>
                <w:rFonts w:ascii="Arial" w:cs="Arial" w:eastAsia="Arial" w:hAnsi="Arial"/>
                <w:sz w:val="16"/>
                <w:szCs w:val="16"/>
                <w:color w:val="202020"/>
              </w:rPr>
              <w:t>$31,703</w:t>
            </w:r>
          </w:p>
        </w:tc>
        <w:tc>
          <w:tcPr>
            <w:tcW w:w="860" w:type="dxa"/>
            <w:vAlign w:val="bottom"/>
          </w:tcPr>
          <w:p>
            <w:pPr>
              <w:jc w:val="right"/>
              <w:spacing w:after="0"/>
              <w:rPr>
                <w:sz w:val="20"/>
                <w:szCs w:val="20"/>
                <w:color w:val="auto"/>
              </w:rPr>
            </w:pPr>
            <w:r>
              <w:rPr>
                <w:rFonts w:ascii="Arial" w:cs="Arial" w:eastAsia="Arial" w:hAnsi="Arial"/>
                <w:sz w:val="16"/>
                <w:szCs w:val="16"/>
                <w:color w:val="202020"/>
              </w:rPr>
              <w:t>5.8%</w:t>
            </w:r>
          </w:p>
        </w:tc>
      </w:tr>
      <w:tr>
        <w:trPr>
          <w:trHeight w:val="34"/>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9"/>
        </w:trPr>
        <w:tc>
          <w:tcPr>
            <w:tcW w:w="57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Elizabeth Crowley</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$498,000</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$463,059</w:t>
            </w:r>
          </w:p>
        </w:tc>
        <w:tc>
          <w:tcPr>
            <w:tcW w:w="90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$34,941</w:t>
            </w:r>
          </w:p>
        </w:tc>
        <w:tc>
          <w:tcPr>
            <w:tcW w:w="8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7.5%</w:t>
            </w:r>
          </w:p>
        </w:tc>
      </w:tr>
      <w:tr>
        <w:trPr>
          <w:trHeight w:val="225"/>
        </w:trPr>
        <w:tc>
          <w:tcPr>
            <w:tcW w:w="572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$501,000</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$475,069</w:t>
            </w:r>
          </w:p>
        </w:tc>
        <w:tc>
          <w:tcPr>
            <w:tcW w:w="900" w:type="dxa"/>
            <w:vAlign w:val="bottom"/>
          </w:tcPr>
          <w:p>
            <w:pPr>
              <w:jc w:val="right"/>
              <w:ind w:right="40"/>
              <w:spacing w:after="0"/>
              <w:rPr>
                <w:sz w:val="20"/>
                <w:szCs w:val="20"/>
                <w:color w:val="auto"/>
              </w:rPr>
            </w:pPr>
            <w:r>
              <w:rPr>
                <w:rFonts w:ascii="Arial" w:cs="Arial" w:eastAsia="Arial" w:hAnsi="Arial"/>
                <w:sz w:val="16"/>
                <w:szCs w:val="16"/>
                <w:color w:val="202020"/>
              </w:rPr>
              <w:t>$25,931</w:t>
            </w:r>
          </w:p>
        </w:tc>
        <w:tc>
          <w:tcPr>
            <w:tcW w:w="860" w:type="dxa"/>
            <w:vAlign w:val="bottom"/>
          </w:tcPr>
          <w:p>
            <w:pPr>
              <w:jc w:val="right"/>
              <w:spacing w:after="0"/>
              <w:rPr>
                <w:sz w:val="20"/>
                <w:szCs w:val="20"/>
                <w:color w:val="auto"/>
              </w:rPr>
            </w:pPr>
            <w:r>
              <w:rPr>
                <w:rFonts w:ascii="Arial" w:cs="Arial" w:eastAsia="Arial" w:hAnsi="Arial"/>
                <w:sz w:val="16"/>
                <w:szCs w:val="16"/>
                <w:color w:val="202020"/>
              </w:rPr>
              <w:t>5.5%</w:t>
            </w:r>
          </w:p>
        </w:tc>
      </w:tr>
      <w:tr>
        <w:trPr>
          <w:trHeight w:val="34"/>
        </w:trPr>
        <w:tc>
          <w:tcPr>
            <w:tcW w:w="5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9"/>
        </w:trPr>
        <w:tc>
          <w:tcPr>
            <w:tcW w:w="57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$529,000</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$477,240</w:t>
            </w:r>
          </w:p>
        </w:tc>
        <w:tc>
          <w:tcPr>
            <w:tcW w:w="90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$51,760</w:t>
            </w:r>
          </w:p>
        </w:tc>
        <w:tc>
          <w:tcPr>
            <w:tcW w:w="8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10.8%</w:t>
            </w:r>
          </w:p>
        </w:tc>
      </w:tr>
      <w:tr>
        <w:trPr>
          <w:trHeight w:val="30"/>
        </w:trPr>
        <w:tc>
          <w:tcPr>
            <w:tcW w:w="5720" w:type="dxa"/>
            <w:vAlign w:val="bottom"/>
            <w:shd w:val="clear" w:color="auto" w:fill="202020"/>
          </w:tcPr>
          <w:p>
            <w:pPr>
              <w:spacing w:after="0"/>
              <w:rPr>
                <w:sz w:val="2"/>
                <w:szCs w:val="2"/>
                <w:color w:val="auto"/>
              </w:rPr>
            </w:pPr>
          </w:p>
        </w:tc>
        <w:tc>
          <w:tcPr>
            <w:tcW w:w="1320" w:type="dxa"/>
            <w:vAlign w:val="bottom"/>
            <w:shd w:val="clear" w:color="auto" w:fill="202020"/>
          </w:tcPr>
          <w:p>
            <w:pPr>
              <w:spacing w:after="0"/>
              <w:rPr>
                <w:sz w:val="2"/>
                <w:szCs w:val="2"/>
                <w:color w:val="auto"/>
              </w:rPr>
            </w:pPr>
          </w:p>
        </w:tc>
        <w:tc>
          <w:tcPr>
            <w:tcW w:w="1320" w:type="dxa"/>
            <w:vAlign w:val="bottom"/>
            <w:shd w:val="clear" w:color="auto" w:fill="202020"/>
          </w:tcPr>
          <w:p>
            <w:pPr>
              <w:spacing w:after="0"/>
              <w:rPr>
                <w:sz w:val="2"/>
                <w:szCs w:val="2"/>
                <w:color w:val="auto"/>
              </w:rPr>
            </w:pPr>
          </w:p>
        </w:tc>
        <w:tc>
          <w:tcPr>
            <w:tcW w:w="900" w:type="dxa"/>
            <w:vAlign w:val="bottom"/>
            <w:shd w:val="clear" w:color="auto" w:fill="202020"/>
          </w:tcPr>
          <w:p>
            <w:pPr>
              <w:spacing w:after="0"/>
              <w:rPr>
                <w:sz w:val="2"/>
                <w:szCs w:val="2"/>
                <w:color w:val="auto"/>
              </w:rPr>
            </w:pPr>
          </w:p>
        </w:tc>
        <w:tc>
          <w:tcPr>
            <w:tcW w:w="860" w:type="dxa"/>
            <w:vAlign w:val="bottom"/>
            <w:shd w:val="clear" w:color="auto" w:fill="20202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-864235</wp:posOffset>
            </wp:positionV>
            <wp:extent cx="6450330" cy="1993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9">
                      <a:extLst>
                        <a:ext uri="{28A0092B-C50C-407E-A947-70E740481C1C}"/>
                      </a:extLst>
                    </a:blip>
                    <a:srcRect/>
                    <a:stretch>
                      <a:fillRect/>
                    </a:stretch>
                  </pic:blipFill>
                  <pic:spPr bwMode="auto">
                    <a:xfrm>
                      <a:off x="0" y="0"/>
                      <a:ext cx="6450330" cy="199390"/>
                    </a:xfrm>
                    <a:prstGeom prst="rect">
                      <a:avLst/>
                    </a:prstGeom>
                    <a:noFill/>
                  </pic:spPr>
                </pic:pic>
              </a:graphicData>
            </a:graphic>
          </wp:anchor>
        </w:drawing>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31</w:t>
      </w:r>
    </w:p>
    <w:p>
      <w:pPr>
        <w:sectPr>
          <w:pgSz w:w="11880" w:h="15480" w:orient="portrait"/>
          <w:cols w:equalWidth="0" w:num="1">
            <w:col w:w="10120"/>
          </w:cols>
          <w:pgMar w:left="880" w:top="544" w:right="880" w:bottom="96"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202020"/>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202020"/>
        </w:rPr>
        <w:t>Annual Performance-Based Cash Bonus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02020"/>
        </w:rPr>
        <w:t>We have designed our annual cash bonuses to reward our Executive Officers for their individual performance and contributions to our corporate goals for each year, as approved in advance by our Compensation and Organization Development Committee and Board of Directors. The corporate goals are allocated between specific product and financial performance targets. Achievement of our corporate goals was, in 2025, the primary factor considered by our Compensation and Organization Development Committee in determining the annual bonuses for our Executive Officers. However, the Compensation and Organization Development Committee retains discretion to adjust any individual bonus based on assessment of such individual’s performance. Our performance-based bonus plan emphasizes the contributions of each of our Executive Officers to the achievement of our corporate goals.</w:t>
      </w:r>
    </w:p>
    <w:p>
      <w:pPr>
        <w:spacing w:after="0" w:line="122" w:lineRule="exact"/>
        <w:rPr>
          <w:sz w:val="20"/>
          <w:szCs w:val="20"/>
          <w:color w:val="auto"/>
        </w:rPr>
      </w:pPr>
    </w:p>
    <w:p>
      <w:pPr>
        <w:spacing w:after="0" w:line="250" w:lineRule="auto"/>
        <w:rPr>
          <w:sz w:val="20"/>
          <w:szCs w:val="20"/>
          <w:color w:val="auto"/>
        </w:rPr>
      </w:pPr>
      <w:r>
        <w:rPr>
          <w:rFonts w:ascii="Arial" w:cs="Arial" w:eastAsia="Arial" w:hAnsi="Arial"/>
          <w:sz w:val="18"/>
          <w:szCs w:val="18"/>
          <w:color w:val="202020"/>
        </w:rPr>
        <w:t>At the beginning of each calendar year, the Compensation and Organization Development Committee establishes annual corporate performance goals and target bonuses. The Compensation and Organization Development Committee has established target bonuses for each of our Named Executive Officers including 60% of base salary for Mr. Marucci, 45% of base salary for Dr. Keler, and 40% of base salary for Ms. Crowley, Dr. Heath-Chiozzi and Mr. Martin. In December 2025, the Compensation and Organization Development Committee established new target bonuses for each of our Named Executive Officers including 65% of base salary for Mr. Marucci, 53% of base salary for Dr. Keler, and 45% of base salary for Ms. Crowley, Dr. Heath-Chiozzi and Mr. Martin, in each case applicable to the entire year 2025. The December 2025 market adjustment followed an analysis of independent benchmarking data of peer companies as the Company prepares for potential commercialization with a view to make compensation competitive and retain a high performing management team. In evaluating the updated target bonus opportunities, the Committee also considered the expanded scope of responsibilities with advancing barzolvolimab through multiple late-stage registrational studies and preparing for potential commercialization. Corporate goals are proposed by management, reviewed and approved by the Compensation and Organization Development Committee and also approved by the Board of Directors on an annual basis. The Compensation and Organization Development Committee considers and assigns a relative weight to appropriately focus efforts on corporate goals that are intended to enhance shareholder value.</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02020"/>
        </w:rPr>
        <w:t>The Compensation and Organization Development Committee reviewed the 2025 corporate goals at meetings held in April, June and September 2025 to gauge our levels of achievement and to assess whether the corporate goals approved earlier in the year remained relevant and complete. In December 2025 and January 2026, prior to approving 2025 incentive bonuses, the Compensation and Organization Development Committee evaluated our 2025 performance by assessing if, and the extent to which, we achieved or failed to achieve the corporate goals approved by the Board of Directors for 2025. The Compensation and Organization Development Committee considered the 2025 performance and determined that based on the success the Company had in accomplishing the significant milestones detailed above we met 100% of our 2025 corporate goals for pipeline development and business and financial operations. Our corporate goals for 2025 and the level at which the Compensation and Organization Development Committee determined they were achieved are as follows: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2025 Corporate Goals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1400" w:type="dxa"/>
            <w:vAlign w:val="bottom"/>
            <w:tcBorders>
              <w:bottom w:val="single" w:sz="8" w:color="202020"/>
            </w:tcBorders>
            <w:shd w:val="clear" w:color="auto" w:fill="8F8F8F"/>
          </w:tcPr>
          <w:p>
            <w:pPr>
              <w:spacing w:after="0"/>
              <w:rPr>
                <w:sz w:val="24"/>
                <w:szCs w:val="24"/>
                <w:color w:val="auto"/>
              </w:rPr>
            </w:pPr>
          </w:p>
        </w:tc>
        <w:tc>
          <w:tcPr>
            <w:tcW w:w="4440" w:type="dxa"/>
            <w:vAlign w:val="bottom"/>
            <w:tcBorders>
              <w:left w:val="single" w:sz="8" w:color="8F8F8F"/>
              <w:bottom w:val="single" w:sz="8" w:color="202020"/>
              <w:right w:val="single" w:sz="8" w:color="202020"/>
            </w:tcBorders>
            <w:shd w:val="clear" w:color="auto" w:fill="CCCCCC"/>
          </w:tcPr>
          <w:p>
            <w:pPr>
              <w:ind w:left="120"/>
              <w:spacing w:after="0"/>
              <w:rPr>
                <w:sz w:val="20"/>
                <w:szCs w:val="20"/>
                <w:color w:val="auto"/>
              </w:rPr>
            </w:pPr>
            <w:r>
              <w:rPr>
                <w:rFonts w:ascii="Arial" w:cs="Arial" w:eastAsia="Arial" w:hAnsi="Arial"/>
                <w:sz w:val="18"/>
                <w:szCs w:val="18"/>
                <w:b w:val="1"/>
                <w:bCs w:val="1"/>
                <w:color w:val="202020"/>
              </w:rPr>
              <w:t>Pipeline Development:</w:t>
            </w:r>
          </w:p>
        </w:tc>
        <w:tc>
          <w:tcPr>
            <w:tcW w:w="3460" w:type="dxa"/>
            <w:vAlign w:val="bottom"/>
            <w:tcBorders>
              <w:bottom w:val="single" w:sz="8" w:color="202020"/>
              <w:right w:val="single" w:sz="8" w:color="202020"/>
            </w:tcBorders>
            <w:shd w:val="clear" w:color="auto" w:fill="CCCCCC"/>
          </w:tcPr>
          <w:p>
            <w:pPr>
              <w:ind w:left="120"/>
              <w:spacing w:after="0"/>
              <w:rPr>
                <w:sz w:val="20"/>
                <w:szCs w:val="20"/>
                <w:color w:val="auto"/>
              </w:rPr>
            </w:pPr>
            <w:r>
              <w:rPr>
                <w:rFonts w:ascii="Arial" w:cs="Arial" w:eastAsia="Arial" w:hAnsi="Arial"/>
                <w:sz w:val="18"/>
                <w:szCs w:val="18"/>
                <w:b w:val="1"/>
                <w:bCs w:val="1"/>
                <w:color w:val="202020"/>
              </w:rPr>
              <w:t>Business and Financial Operations:</w:t>
            </w:r>
          </w:p>
        </w:tc>
        <w:tc>
          <w:tcPr>
            <w:tcW w:w="820" w:type="dxa"/>
            <w:vAlign w:val="bottom"/>
            <w:tcBorders>
              <w:bottom w:val="single" w:sz="8" w:color="202020"/>
            </w:tcBorders>
            <w:shd w:val="clear" w:color="auto" w:fill="CCCCCC"/>
          </w:tcPr>
          <w:p>
            <w:pPr>
              <w:jc w:val="center"/>
              <w:spacing w:after="0"/>
              <w:rPr>
                <w:sz w:val="20"/>
                <w:szCs w:val="20"/>
                <w:color w:val="auto"/>
              </w:rPr>
            </w:pPr>
            <w:r>
              <w:rPr>
                <w:rFonts w:ascii="Arial" w:cs="Arial" w:eastAsia="Arial" w:hAnsi="Arial"/>
                <w:sz w:val="18"/>
                <w:szCs w:val="18"/>
                <w:b w:val="1"/>
                <w:bCs w:val="1"/>
                <w:color w:val="202020"/>
                <w:w w:val="98"/>
              </w:rPr>
              <w:t>Totals:</w:t>
            </w:r>
          </w:p>
        </w:tc>
        <w:tc>
          <w:tcPr>
            <w:tcW w:w="0" w:type="dxa"/>
            <w:vAlign w:val="bottom"/>
          </w:tcPr>
          <w:p>
            <w:pPr>
              <w:spacing w:after="0"/>
              <w:rPr>
                <w:sz w:val="1"/>
                <w:szCs w:val="1"/>
                <w:color w:val="auto"/>
              </w:rPr>
            </w:pPr>
          </w:p>
        </w:tc>
      </w:tr>
      <w:tr>
        <w:trPr>
          <w:trHeight w:val="337"/>
        </w:trPr>
        <w:tc>
          <w:tcPr>
            <w:tcW w:w="1400" w:type="dxa"/>
            <w:vAlign w:val="bottom"/>
            <w:shd w:val="clear" w:color="auto" w:fill="E9E9E9"/>
          </w:tcPr>
          <w:p>
            <w:pPr>
              <w:ind w:left="120"/>
              <w:spacing w:after="0"/>
              <w:rPr>
                <w:sz w:val="20"/>
                <w:szCs w:val="20"/>
                <w:color w:val="auto"/>
              </w:rPr>
            </w:pPr>
            <w:r>
              <w:rPr>
                <w:rFonts w:ascii="Arial" w:cs="Arial" w:eastAsia="Arial" w:hAnsi="Arial"/>
                <w:sz w:val="18"/>
                <w:szCs w:val="18"/>
                <w:b w:val="1"/>
                <w:bCs w:val="1"/>
                <w:color w:val="202020"/>
              </w:rPr>
              <w:t>Relative</w:t>
            </w:r>
          </w:p>
        </w:tc>
        <w:tc>
          <w:tcPr>
            <w:tcW w:w="444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8"/>
                <w:szCs w:val="18"/>
                <w:color w:val="202020"/>
              </w:rPr>
              <w:t>65%</w:t>
            </w:r>
          </w:p>
        </w:tc>
        <w:tc>
          <w:tcPr>
            <w:tcW w:w="346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8"/>
                <w:szCs w:val="18"/>
                <w:color w:val="202020"/>
              </w:rPr>
              <w:t>35%</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202020"/>
                <w:w w:val="99"/>
              </w:rPr>
              <w:t>100%</w:t>
            </w:r>
          </w:p>
        </w:tc>
        <w:tc>
          <w:tcPr>
            <w:tcW w:w="0" w:type="dxa"/>
            <w:vAlign w:val="bottom"/>
          </w:tcPr>
          <w:p>
            <w:pPr>
              <w:spacing w:after="0"/>
              <w:rPr>
                <w:sz w:val="1"/>
                <w:szCs w:val="1"/>
                <w:color w:val="auto"/>
              </w:rPr>
            </w:pPr>
          </w:p>
        </w:tc>
      </w:tr>
      <w:tr>
        <w:trPr>
          <w:trHeight w:val="244"/>
        </w:trPr>
        <w:tc>
          <w:tcPr>
            <w:tcW w:w="1400" w:type="dxa"/>
            <w:vAlign w:val="bottom"/>
            <w:shd w:val="clear" w:color="auto" w:fill="E9E9E9"/>
          </w:tcPr>
          <w:p>
            <w:pPr>
              <w:ind w:left="120"/>
              <w:spacing w:after="0"/>
              <w:rPr>
                <w:sz w:val="20"/>
                <w:szCs w:val="20"/>
                <w:color w:val="auto"/>
              </w:rPr>
            </w:pPr>
            <w:r>
              <w:rPr>
                <w:rFonts w:ascii="Arial" w:cs="Arial" w:eastAsia="Arial" w:hAnsi="Arial"/>
                <w:sz w:val="18"/>
                <w:szCs w:val="18"/>
                <w:b w:val="1"/>
                <w:bCs w:val="1"/>
                <w:color w:val="202020"/>
              </w:rPr>
              <w:t>Weight</w:t>
            </w:r>
          </w:p>
        </w:tc>
        <w:tc>
          <w:tcPr>
            <w:tcW w:w="4440" w:type="dxa"/>
            <w:vAlign w:val="bottom"/>
            <w:tcBorders>
              <w:right w:val="single" w:sz="8" w:color="202020"/>
            </w:tcBorders>
            <w:vMerge w:val="continue"/>
          </w:tcPr>
          <w:p>
            <w:pPr>
              <w:spacing w:after="0"/>
              <w:rPr>
                <w:sz w:val="21"/>
                <w:szCs w:val="21"/>
                <w:color w:val="auto"/>
              </w:rPr>
            </w:pPr>
          </w:p>
        </w:tc>
        <w:tc>
          <w:tcPr>
            <w:tcW w:w="3460" w:type="dxa"/>
            <w:vAlign w:val="bottom"/>
            <w:tcBorders>
              <w:right w:val="single" w:sz="8" w:color="202020"/>
            </w:tcBorders>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400" w:type="dxa"/>
            <w:vAlign w:val="bottom"/>
            <w:tcBorders>
              <w:bottom w:val="single" w:sz="8" w:color="202020"/>
            </w:tcBorders>
            <w:shd w:val="clear" w:color="auto" w:fill="E9E9E9"/>
          </w:tcPr>
          <w:p>
            <w:pPr>
              <w:spacing w:after="0"/>
              <w:rPr>
                <w:sz w:val="16"/>
                <w:szCs w:val="16"/>
                <w:color w:val="auto"/>
              </w:rPr>
            </w:pPr>
          </w:p>
        </w:tc>
        <w:tc>
          <w:tcPr>
            <w:tcW w:w="4440" w:type="dxa"/>
            <w:vAlign w:val="bottom"/>
            <w:tcBorders>
              <w:bottom w:val="single" w:sz="8" w:color="202020"/>
              <w:right w:val="single" w:sz="8" w:color="202020"/>
            </w:tcBorders>
          </w:tcPr>
          <w:p>
            <w:pPr>
              <w:spacing w:after="0"/>
              <w:rPr>
                <w:sz w:val="16"/>
                <w:szCs w:val="16"/>
                <w:color w:val="auto"/>
              </w:rPr>
            </w:pPr>
          </w:p>
        </w:tc>
        <w:tc>
          <w:tcPr>
            <w:tcW w:w="3460" w:type="dxa"/>
            <w:vAlign w:val="bottom"/>
            <w:tcBorders>
              <w:bottom w:val="single" w:sz="8" w:color="202020"/>
              <w:right w:val="single" w:sz="8" w:color="202020"/>
            </w:tcBorders>
          </w:tcPr>
          <w:p>
            <w:pPr>
              <w:spacing w:after="0"/>
              <w:rPr>
                <w:sz w:val="16"/>
                <w:szCs w:val="16"/>
                <w:color w:val="auto"/>
              </w:rPr>
            </w:pPr>
          </w:p>
        </w:tc>
        <w:tc>
          <w:tcPr>
            <w:tcW w:w="820" w:type="dxa"/>
            <w:vAlign w:val="bottom"/>
            <w:tcBorders>
              <w:bottom w:val="single" w:sz="8" w:color="202020"/>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4440" w:type="dxa"/>
            <w:vAlign w:val="bottom"/>
            <w:tcBorders>
              <w:right w:val="single" w:sz="8" w:color="202020"/>
            </w:tcBorders>
          </w:tcPr>
          <w:p>
            <w:pPr>
              <w:ind w:left="120"/>
              <w:spacing w:after="0" w:line="204" w:lineRule="exact"/>
              <w:rPr>
                <w:sz w:val="20"/>
                <w:szCs w:val="20"/>
                <w:color w:val="auto"/>
              </w:rPr>
            </w:pPr>
            <w:r>
              <w:rPr>
                <w:rFonts w:ascii="Arial" w:cs="Arial" w:eastAsia="Arial" w:hAnsi="Arial"/>
                <w:sz w:val="18"/>
                <w:szCs w:val="18"/>
                <w:color w:val="202020"/>
              </w:rPr>
              <w:t>• Progress the barzolvolimab clinical program,</w:t>
            </w:r>
          </w:p>
        </w:tc>
        <w:tc>
          <w:tcPr>
            <w:tcW w:w="3460" w:type="dxa"/>
            <w:vAlign w:val="bottom"/>
            <w:tcBorders>
              <w:right w:val="single" w:sz="8" w:color="202020"/>
            </w:tcBorders>
          </w:tcPr>
          <w:p>
            <w:pPr>
              <w:ind w:left="120"/>
              <w:spacing w:after="0" w:line="204" w:lineRule="exact"/>
              <w:rPr>
                <w:sz w:val="20"/>
                <w:szCs w:val="20"/>
                <w:color w:val="auto"/>
              </w:rPr>
            </w:pPr>
            <w:r>
              <w:rPr>
                <w:rFonts w:ascii="Arial" w:cs="Arial" w:eastAsia="Arial" w:hAnsi="Arial"/>
                <w:sz w:val="18"/>
                <w:szCs w:val="18"/>
                <w:color w:val="202020"/>
              </w:rPr>
              <w:t>• Fund the continued development of</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00" w:type="dxa"/>
            <w:vAlign w:val="bottom"/>
          </w:tcPr>
          <w:p>
            <w:pPr>
              <w:spacing w:after="0"/>
              <w:rPr>
                <w:sz w:val="19"/>
                <w:szCs w:val="19"/>
                <w:color w:val="auto"/>
              </w:rPr>
            </w:pPr>
          </w:p>
        </w:tc>
        <w:tc>
          <w:tcPr>
            <w:tcW w:w="444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including continued execution of ongoing</w:t>
            </w:r>
          </w:p>
        </w:tc>
        <w:tc>
          <w:tcPr>
            <w:tcW w:w="346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our clinical and preclinical programs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Pr>
          <w:p>
            <w:pPr>
              <w:spacing w:after="0"/>
              <w:rPr>
                <w:sz w:val="19"/>
                <w:szCs w:val="19"/>
                <w:color w:val="auto"/>
              </w:rPr>
            </w:pPr>
          </w:p>
        </w:tc>
        <w:tc>
          <w:tcPr>
            <w:tcW w:w="444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studies, reporting data at key medical meetings</w:t>
            </w:r>
          </w:p>
        </w:tc>
        <w:tc>
          <w:tcPr>
            <w:tcW w:w="346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and the overall operation of our</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400" w:type="dxa"/>
            <w:vAlign w:val="bottom"/>
          </w:tcPr>
          <w:p>
            <w:pPr>
              <w:spacing w:after="0"/>
              <w:rPr>
                <w:sz w:val="19"/>
                <w:szCs w:val="19"/>
                <w:color w:val="auto"/>
              </w:rPr>
            </w:pPr>
          </w:p>
        </w:tc>
        <w:tc>
          <w:tcPr>
            <w:tcW w:w="444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and advancing activities to prepare for potential</w:t>
            </w:r>
          </w:p>
        </w:tc>
        <w:tc>
          <w:tcPr>
            <w:tcW w:w="346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business.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00" w:type="dxa"/>
            <w:vAlign w:val="bottom"/>
            <w:vMerge w:val="restart"/>
          </w:tcPr>
          <w:p>
            <w:pPr>
              <w:ind w:left="120"/>
              <w:spacing w:after="0"/>
              <w:rPr>
                <w:sz w:val="20"/>
                <w:szCs w:val="20"/>
                <w:color w:val="auto"/>
              </w:rPr>
            </w:pPr>
            <w:r>
              <w:rPr>
                <w:rFonts w:ascii="Arial" w:cs="Arial" w:eastAsia="Arial" w:hAnsi="Arial"/>
                <w:sz w:val="18"/>
                <w:szCs w:val="18"/>
                <w:b w:val="1"/>
                <w:bCs w:val="1"/>
                <w:color w:val="202020"/>
              </w:rPr>
              <w:t>Goals</w:t>
            </w:r>
          </w:p>
        </w:tc>
        <w:tc>
          <w:tcPr>
            <w:tcW w:w="444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commercialization.</w:t>
            </w:r>
          </w:p>
        </w:tc>
        <w:tc>
          <w:tcPr>
            <w:tcW w:w="346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8"/>
                <w:szCs w:val="18"/>
                <w:color w:val="202020"/>
              </w:rPr>
              <w:t>• Progress activities that support</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1400" w:type="dxa"/>
            <w:vAlign w:val="bottom"/>
            <w:vMerge w:val="continue"/>
          </w:tcPr>
          <w:p>
            <w:pPr>
              <w:spacing w:after="0"/>
              <w:rPr>
                <w:sz w:val="8"/>
                <w:szCs w:val="8"/>
                <w:color w:val="auto"/>
              </w:rPr>
            </w:pPr>
          </w:p>
        </w:tc>
        <w:tc>
          <w:tcPr>
            <w:tcW w:w="4440" w:type="dxa"/>
            <w:vAlign w:val="bottom"/>
            <w:tcBorders>
              <w:right w:val="single" w:sz="8" w:color="202020"/>
            </w:tcBorders>
          </w:tcPr>
          <w:p>
            <w:pPr>
              <w:spacing w:after="0"/>
              <w:rPr>
                <w:sz w:val="8"/>
                <w:szCs w:val="8"/>
                <w:color w:val="auto"/>
              </w:rPr>
            </w:pPr>
          </w:p>
        </w:tc>
        <w:tc>
          <w:tcPr>
            <w:tcW w:w="3460" w:type="dxa"/>
            <w:vAlign w:val="bottom"/>
            <w:tcBorders>
              <w:right w:val="single" w:sz="8" w:color="202020"/>
            </w:tcBorders>
            <w:vMerge w:val="continue"/>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tcPr>
          <w:p>
            <w:pPr>
              <w:spacing w:after="0"/>
              <w:rPr>
                <w:sz w:val="11"/>
                <w:szCs w:val="11"/>
                <w:color w:val="auto"/>
              </w:rPr>
            </w:pPr>
          </w:p>
        </w:tc>
        <w:tc>
          <w:tcPr>
            <w:tcW w:w="444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8"/>
                <w:szCs w:val="18"/>
                <w:color w:val="202020"/>
              </w:rPr>
              <w:t>• Progress our bispecific clinical and preclinical</w:t>
            </w:r>
          </w:p>
        </w:tc>
        <w:tc>
          <w:tcPr>
            <w:tcW w:w="3460" w:type="dxa"/>
            <w:vAlign w:val="bottom"/>
            <w:tcBorders>
              <w:right w:val="single" w:sz="8" w:color="202020"/>
            </w:tcBorders>
            <w:vMerge w:val="restart"/>
          </w:tcPr>
          <w:p>
            <w:pPr>
              <w:ind w:left="300"/>
              <w:spacing w:after="0"/>
              <w:rPr>
                <w:sz w:val="20"/>
                <w:szCs w:val="20"/>
                <w:color w:val="auto"/>
              </w:rPr>
            </w:pPr>
            <w:r>
              <w:rPr>
                <w:rFonts w:ascii="Arial" w:cs="Arial" w:eastAsia="Arial" w:hAnsi="Arial"/>
                <w:sz w:val="18"/>
                <w:szCs w:val="18"/>
                <w:color w:val="202020"/>
              </w:rPr>
              <w:t>operational readiness and the</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400" w:type="dxa"/>
            <w:vAlign w:val="bottom"/>
          </w:tcPr>
          <w:p>
            <w:pPr>
              <w:spacing w:after="0"/>
              <w:rPr>
                <w:sz w:val="7"/>
                <w:szCs w:val="7"/>
                <w:color w:val="auto"/>
              </w:rPr>
            </w:pPr>
          </w:p>
        </w:tc>
        <w:tc>
          <w:tcPr>
            <w:tcW w:w="4440" w:type="dxa"/>
            <w:vAlign w:val="bottom"/>
            <w:tcBorders>
              <w:right w:val="single" w:sz="8" w:color="202020"/>
            </w:tcBorders>
            <w:vMerge w:val="continue"/>
          </w:tcPr>
          <w:p>
            <w:pPr>
              <w:spacing w:after="0"/>
              <w:rPr>
                <w:sz w:val="7"/>
                <w:szCs w:val="7"/>
                <w:color w:val="auto"/>
              </w:rPr>
            </w:pPr>
          </w:p>
        </w:tc>
        <w:tc>
          <w:tcPr>
            <w:tcW w:w="3460" w:type="dxa"/>
            <w:vAlign w:val="bottom"/>
            <w:tcBorders>
              <w:right w:val="single" w:sz="8" w:color="202020"/>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1400" w:type="dxa"/>
            <w:vAlign w:val="bottom"/>
          </w:tcPr>
          <w:p>
            <w:pPr>
              <w:spacing w:after="0"/>
              <w:rPr>
                <w:sz w:val="19"/>
                <w:szCs w:val="19"/>
                <w:color w:val="auto"/>
              </w:rPr>
            </w:pPr>
          </w:p>
        </w:tc>
        <w:tc>
          <w:tcPr>
            <w:tcW w:w="444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programs.</w:t>
            </w:r>
          </w:p>
        </w:tc>
        <w:tc>
          <w:tcPr>
            <w:tcW w:w="346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potential commercialization of</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00" w:type="dxa"/>
            <w:vAlign w:val="bottom"/>
          </w:tcPr>
          <w:p>
            <w:pPr>
              <w:spacing w:after="0"/>
              <w:rPr>
                <w:sz w:val="21"/>
                <w:szCs w:val="21"/>
                <w:color w:val="auto"/>
              </w:rPr>
            </w:pPr>
          </w:p>
        </w:tc>
        <w:tc>
          <w:tcPr>
            <w:tcW w:w="4440" w:type="dxa"/>
            <w:vAlign w:val="bottom"/>
            <w:tcBorders>
              <w:right w:val="single" w:sz="8" w:color="202020"/>
            </w:tcBorders>
          </w:tcPr>
          <w:p>
            <w:pPr>
              <w:spacing w:after="0"/>
              <w:rPr>
                <w:sz w:val="21"/>
                <w:szCs w:val="21"/>
                <w:color w:val="auto"/>
              </w:rPr>
            </w:pPr>
          </w:p>
        </w:tc>
        <w:tc>
          <w:tcPr>
            <w:tcW w:w="3460" w:type="dxa"/>
            <w:vAlign w:val="bottom"/>
            <w:tcBorders>
              <w:right w:val="single" w:sz="8" w:color="202020"/>
            </w:tcBorders>
          </w:tcPr>
          <w:p>
            <w:pPr>
              <w:ind w:left="300"/>
              <w:spacing w:after="0"/>
              <w:rPr>
                <w:sz w:val="20"/>
                <w:szCs w:val="20"/>
                <w:color w:val="auto"/>
              </w:rPr>
            </w:pPr>
            <w:r>
              <w:rPr>
                <w:rFonts w:ascii="Arial" w:cs="Arial" w:eastAsia="Arial" w:hAnsi="Arial"/>
                <w:sz w:val="18"/>
                <w:szCs w:val="18"/>
                <w:color w:val="202020"/>
              </w:rPr>
              <w:t>barzolvolimab</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400" w:type="dxa"/>
            <w:vAlign w:val="bottom"/>
          </w:tcPr>
          <w:p>
            <w:pPr>
              <w:spacing w:after="0"/>
              <w:rPr>
                <w:sz w:val="24"/>
                <w:szCs w:val="24"/>
                <w:color w:val="auto"/>
              </w:rPr>
            </w:pPr>
          </w:p>
        </w:tc>
        <w:tc>
          <w:tcPr>
            <w:tcW w:w="4440" w:type="dxa"/>
            <w:vAlign w:val="bottom"/>
            <w:tcBorders>
              <w:right w:val="single" w:sz="8" w:color="202020"/>
            </w:tcBorders>
          </w:tcPr>
          <w:p>
            <w:pPr>
              <w:spacing w:after="0"/>
              <w:rPr>
                <w:sz w:val="24"/>
                <w:szCs w:val="24"/>
                <w:color w:val="auto"/>
              </w:rPr>
            </w:pPr>
          </w:p>
        </w:tc>
        <w:tc>
          <w:tcPr>
            <w:tcW w:w="3460" w:type="dxa"/>
            <w:vAlign w:val="bottom"/>
            <w:tcBorders>
              <w:right w:val="single" w:sz="8" w:color="202020"/>
            </w:tcBorders>
          </w:tcPr>
          <w:p>
            <w:pPr>
              <w:ind w:left="120"/>
              <w:spacing w:after="0"/>
              <w:rPr>
                <w:sz w:val="20"/>
                <w:szCs w:val="20"/>
                <w:color w:val="auto"/>
              </w:rPr>
            </w:pPr>
            <w:r>
              <w:rPr>
                <w:rFonts w:ascii="Arial" w:cs="Arial" w:eastAsia="Arial" w:hAnsi="Arial"/>
                <w:sz w:val="18"/>
                <w:szCs w:val="18"/>
                <w:color w:val="202020"/>
              </w:rPr>
              <w:t>• Execute across Diversity and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0" w:type="dxa"/>
            <w:vAlign w:val="bottom"/>
            <w:tcBorders>
              <w:bottom w:val="single" w:sz="8" w:color="202020"/>
            </w:tcBorders>
          </w:tcPr>
          <w:p>
            <w:pPr>
              <w:spacing w:after="0"/>
              <w:rPr>
                <w:sz w:val="21"/>
                <w:szCs w:val="21"/>
                <w:color w:val="auto"/>
              </w:rPr>
            </w:pPr>
          </w:p>
        </w:tc>
        <w:tc>
          <w:tcPr>
            <w:tcW w:w="4440" w:type="dxa"/>
            <w:vAlign w:val="bottom"/>
            <w:tcBorders>
              <w:bottom w:val="single" w:sz="8" w:color="202020"/>
              <w:right w:val="single" w:sz="8" w:color="202020"/>
            </w:tcBorders>
          </w:tcPr>
          <w:p>
            <w:pPr>
              <w:spacing w:after="0"/>
              <w:rPr>
                <w:sz w:val="21"/>
                <w:szCs w:val="21"/>
                <w:color w:val="auto"/>
              </w:rPr>
            </w:pPr>
          </w:p>
        </w:tc>
        <w:tc>
          <w:tcPr>
            <w:tcW w:w="3460" w:type="dxa"/>
            <w:vAlign w:val="bottom"/>
            <w:tcBorders>
              <w:bottom w:val="single" w:sz="8" w:color="202020"/>
              <w:right w:val="single" w:sz="8" w:color="202020"/>
            </w:tcBorders>
          </w:tcPr>
          <w:p>
            <w:pPr>
              <w:ind w:left="300"/>
              <w:spacing w:after="0"/>
              <w:rPr>
                <w:sz w:val="20"/>
                <w:szCs w:val="20"/>
                <w:color w:val="auto"/>
              </w:rPr>
            </w:pPr>
            <w:r>
              <w:rPr>
                <w:rFonts w:ascii="Arial" w:cs="Arial" w:eastAsia="Arial" w:hAnsi="Arial"/>
                <w:sz w:val="18"/>
                <w:szCs w:val="18"/>
                <w:color w:val="202020"/>
              </w:rPr>
              <w:t>Inclusion initiatives.</w:t>
            </w:r>
          </w:p>
        </w:tc>
        <w:tc>
          <w:tcPr>
            <w:tcW w:w="820" w:type="dxa"/>
            <w:vAlign w:val="bottom"/>
            <w:tcBorders>
              <w:bottom w:val="single" w:sz="8" w:color="202020"/>
            </w:tcBorders>
          </w:tcPr>
          <w:p>
            <w:pPr>
              <w:spacing w:after="0"/>
              <w:rPr>
                <w:sz w:val="21"/>
                <w:szCs w:val="21"/>
                <w:color w:val="auto"/>
              </w:rPr>
            </w:pPr>
          </w:p>
        </w:tc>
        <w:tc>
          <w:tcPr>
            <w:tcW w:w="0" w:type="dxa"/>
            <w:vAlign w:val="bottom"/>
          </w:tcPr>
          <w:p>
            <w:pPr>
              <w:spacing w:after="0"/>
              <w:rPr>
                <w:sz w:val="1"/>
                <w:szCs w:val="1"/>
                <w:color w:val="auto"/>
              </w:rPr>
            </w:pPr>
          </w:p>
        </w:tc>
      </w:tr>
      <w:tr>
        <w:trPr>
          <w:trHeight w:val="429"/>
        </w:trPr>
        <w:tc>
          <w:tcPr>
            <w:tcW w:w="1400" w:type="dxa"/>
            <w:vAlign w:val="bottom"/>
            <w:shd w:val="clear" w:color="auto" w:fill="E9E9E9"/>
          </w:tcPr>
          <w:p>
            <w:pPr>
              <w:ind w:left="120"/>
              <w:spacing w:after="0"/>
              <w:rPr>
                <w:sz w:val="20"/>
                <w:szCs w:val="20"/>
                <w:color w:val="auto"/>
              </w:rPr>
            </w:pPr>
            <w:r>
              <w:rPr>
                <w:rFonts w:ascii="Arial" w:cs="Arial" w:eastAsia="Arial" w:hAnsi="Arial"/>
                <w:sz w:val="18"/>
                <w:szCs w:val="18"/>
                <w:b w:val="1"/>
                <w:bCs w:val="1"/>
                <w:color w:val="202020"/>
              </w:rPr>
              <w:t>2025</w:t>
            </w:r>
          </w:p>
        </w:tc>
        <w:tc>
          <w:tcPr>
            <w:tcW w:w="444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8"/>
                <w:szCs w:val="18"/>
                <w:color w:val="202020"/>
              </w:rPr>
              <w:t>65%</w:t>
            </w:r>
          </w:p>
        </w:tc>
        <w:tc>
          <w:tcPr>
            <w:tcW w:w="3460" w:type="dxa"/>
            <w:vAlign w:val="bottom"/>
            <w:tcBorders>
              <w:right w:val="single" w:sz="8" w:color="202020"/>
            </w:tcBorders>
            <w:vMerge w:val="restart"/>
          </w:tcPr>
          <w:p>
            <w:pPr>
              <w:ind w:left="120"/>
              <w:spacing w:after="0"/>
              <w:rPr>
                <w:sz w:val="20"/>
                <w:szCs w:val="20"/>
                <w:color w:val="auto"/>
              </w:rPr>
            </w:pPr>
            <w:r>
              <w:rPr>
                <w:rFonts w:ascii="Arial" w:cs="Arial" w:eastAsia="Arial" w:hAnsi="Arial"/>
                <w:sz w:val="18"/>
                <w:szCs w:val="18"/>
                <w:color w:val="202020"/>
              </w:rPr>
              <w:t>35%</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202020"/>
                <w:w w:val="99"/>
              </w:rPr>
              <w:t>100%</w:t>
            </w:r>
          </w:p>
        </w:tc>
        <w:tc>
          <w:tcPr>
            <w:tcW w:w="0" w:type="dxa"/>
            <w:vAlign w:val="bottom"/>
          </w:tcPr>
          <w:p>
            <w:pPr>
              <w:spacing w:after="0"/>
              <w:rPr>
                <w:sz w:val="1"/>
                <w:szCs w:val="1"/>
                <w:color w:val="auto"/>
              </w:rPr>
            </w:pPr>
          </w:p>
        </w:tc>
      </w:tr>
      <w:tr>
        <w:trPr>
          <w:trHeight w:val="134"/>
        </w:trPr>
        <w:tc>
          <w:tcPr>
            <w:tcW w:w="1400" w:type="dxa"/>
            <w:vAlign w:val="bottom"/>
            <w:vMerge w:val="restart"/>
            <w:shd w:val="clear" w:color="auto" w:fill="E9E9E9"/>
          </w:tcPr>
          <w:p>
            <w:pPr>
              <w:ind w:left="120"/>
              <w:spacing w:after="0"/>
              <w:rPr>
                <w:sz w:val="20"/>
                <w:szCs w:val="20"/>
                <w:color w:val="auto"/>
              </w:rPr>
            </w:pPr>
            <w:r>
              <w:rPr>
                <w:rFonts w:ascii="Arial" w:cs="Arial" w:eastAsia="Arial" w:hAnsi="Arial"/>
                <w:sz w:val="18"/>
                <w:szCs w:val="18"/>
                <w:b w:val="1"/>
                <w:bCs w:val="1"/>
                <w:color w:val="202020"/>
              </w:rPr>
              <w:t>Achievement</w:t>
            </w:r>
          </w:p>
        </w:tc>
        <w:tc>
          <w:tcPr>
            <w:tcW w:w="4440" w:type="dxa"/>
            <w:vAlign w:val="bottom"/>
            <w:tcBorders>
              <w:right w:val="single" w:sz="8" w:color="202020"/>
            </w:tcBorders>
            <w:vMerge w:val="continue"/>
          </w:tcPr>
          <w:p>
            <w:pPr>
              <w:spacing w:after="0"/>
              <w:rPr>
                <w:sz w:val="11"/>
                <w:szCs w:val="11"/>
                <w:color w:val="auto"/>
              </w:rPr>
            </w:pPr>
          </w:p>
        </w:tc>
        <w:tc>
          <w:tcPr>
            <w:tcW w:w="3460" w:type="dxa"/>
            <w:vAlign w:val="bottom"/>
            <w:tcBorders>
              <w:right w:val="single" w:sz="8" w:color="202020"/>
            </w:tcBorders>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400" w:type="dxa"/>
            <w:vAlign w:val="bottom"/>
            <w:vMerge w:val="continue"/>
            <w:shd w:val="clear" w:color="auto" w:fill="E9E9E9"/>
          </w:tcPr>
          <w:p>
            <w:pPr>
              <w:spacing w:after="0"/>
              <w:rPr>
                <w:sz w:val="9"/>
                <w:szCs w:val="9"/>
                <w:color w:val="auto"/>
              </w:rPr>
            </w:pPr>
          </w:p>
        </w:tc>
        <w:tc>
          <w:tcPr>
            <w:tcW w:w="4440" w:type="dxa"/>
            <w:vAlign w:val="bottom"/>
            <w:tcBorders>
              <w:right w:val="single" w:sz="8" w:color="202020"/>
            </w:tcBorders>
          </w:tcPr>
          <w:p>
            <w:pPr>
              <w:spacing w:after="0"/>
              <w:rPr>
                <w:sz w:val="9"/>
                <w:szCs w:val="9"/>
                <w:color w:val="auto"/>
              </w:rPr>
            </w:pPr>
          </w:p>
        </w:tc>
        <w:tc>
          <w:tcPr>
            <w:tcW w:w="3460" w:type="dxa"/>
            <w:vAlign w:val="bottom"/>
            <w:tcBorders>
              <w:right w:val="single" w:sz="8" w:color="20202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400" w:type="dxa"/>
            <w:vAlign w:val="bottom"/>
            <w:tcBorders>
              <w:bottom w:val="single" w:sz="8" w:color="202020"/>
            </w:tcBorders>
            <w:shd w:val="clear" w:color="auto" w:fill="E9E9E9"/>
          </w:tcPr>
          <w:p>
            <w:pPr>
              <w:spacing w:after="0"/>
              <w:rPr>
                <w:sz w:val="14"/>
                <w:szCs w:val="14"/>
                <w:color w:val="auto"/>
              </w:rPr>
            </w:pPr>
          </w:p>
        </w:tc>
        <w:tc>
          <w:tcPr>
            <w:tcW w:w="4440" w:type="dxa"/>
            <w:vAlign w:val="bottom"/>
            <w:tcBorders>
              <w:bottom w:val="single" w:sz="8" w:color="202020"/>
              <w:right w:val="single" w:sz="8" w:color="202020"/>
            </w:tcBorders>
          </w:tcPr>
          <w:p>
            <w:pPr>
              <w:spacing w:after="0"/>
              <w:rPr>
                <w:sz w:val="14"/>
                <w:szCs w:val="14"/>
                <w:color w:val="auto"/>
              </w:rPr>
            </w:pPr>
          </w:p>
        </w:tc>
        <w:tc>
          <w:tcPr>
            <w:tcW w:w="3460" w:type="dxa"/>
            <w:vAlign w:val="bottom"/>
            <w:tcBorders>
              <w:bottom w:val="single" w:sz="8" w:color="202020"/>
              <w:right w:val="single" w:sz="8" w:color="202020"/>
            </w:tcBorders>
          </w:tcPr>
          <w:p>
            <w:pPr>
              <w:spacing w:after="0"/>
              <w:rPr>
                <w:sz w:val="14"/>
                <w:szCs w:val="14"/>
                <w:color w:val="auto"/>
              </w:rPr>
            </w:pPr>
          </w:p>
        </w:tc>
        <w:tc>
          <w:tcPr>
            <w:tcW w:w="820" w:type="dxa"/>
            <w:vAlign w:val="bottom"/>
            <w:tcBorders>
              <w:bottom w:val="single" w:sz="8" w:color="20202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-2131695</wp:posOffset>
            </wp:positionV>
            <wp:extent cx="916940" cy="15970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50">
                      <a:extLst>
                        <a:ext uri="{28A0092B-C50C-407E-A947-70E740481C1C}"/>
                      </a:extLst>
                    </a:blip>
                    <a:srcRect/>
                    <a:stretch>
                      <a:fillRect/>
                    </a:stretch>
                  </pic:blipFill>
                  <pic:spPr bwMode="auto">
                    <a:xfrm>
                      <a:off x="0" y="0"/>
                      <a:ext cx="916940" cy="1597025"/>
                    </a:xfrm>
                    <a:prstGeom prst="rect">
                      <a:avLst/>
                    </a:prstGeom>
                    <a:noFill/>
                  </pic:spPr>
                </pic:pic>
              </a:graphicData>
            </a:graphic>
          </wp:anchor>
        </w:drawing>
      </w:r>
    </w:p>
    <w:p>
      <w:pPr>
        <w:spacing w:after="0" w:line="63"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202020"/>
        </w:rPr>
        <w:t>At the Compensation and Organization Development Committee’s January 2026 meeting, Mr. Marucci reviewed in detail the performance of each Executive Officer, excluding himself, and considered such individual’s contributions to our success</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32 |</w:t>
        <w:tab/>
        <w:t>Celldex Therapeutics</w:t>
      </w:r>
    </w:p>
    <w:p>
      <w:pPr>
        <w:sectPr>
          <w:pgSz w:w="11880" w:h="15480" w:orient="portrait"/>
          <w:cols w:equalWidth="0" w:num="1">
            <w:col w:w="10140"/>
          </w:cols>
          <w:pgMar w:left="880" w:top="544" w:right="860" w:bottom="96" w:gutter="0" w:footer="0" w:header="0"/>
        </w:sectPr>
      </w:pPr>
    </w:p>
    <w:bookmarkStart w:id="36" w:name="page37"/>
    <w:bookmarkEnd w:id="36"/>
    <w:p>
      <w:pPr>
        <w:ind w:left="8300"/>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202020"/>
        </w:rPr>
        <w:t>in 2025. Mr. Marucci’s bonus recommendations were based on such individual performance assessments and the fact that the Company achieved 100% of its predetermined corporate goals in 2025 and each employee, including the Executive Officers, contributed to our success in achieving the 2025 corporate goals.</w:t>
      </w:r>
    </w:p>
    <w:p>
      <w:pPr>
        <w:spacing w:after="0" w:line="10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202020"/>
        </w:rPr>
        <w:t>The Compensation and Organization Development Committee discussed Mr. Marucci’s recommendations for the Named Executive Officers and reviewed Mr. Marucci’s performance for fiscal 2025. Based on Mr. Marucci’s recommendations for each of the Named Executive Officers, the Compensation and Organization Development Committee’s review of Mr. Marucci’s performance and the Compensation and Organization Development Committee’s determination that the Company achieved 100% of the corporate goals for 2025, the Compensation and Organization Development Committee approved the following annual bonus payments for our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1246505</wp:posOffset>
                </wp:positionV>
                <wp:extent cx="642429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98.15pt" to="505.9pt,98.15pt" o:allowincell="f" strokecolor="#202020" strokeweight="0.74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1892935</wp:posOffset>
                </wp:positionV>
                <wp:extent cx="642429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49.05pt" to="505.9pt,149.05pt" o:allowincell="f" strokecolor="#202020" strokeweight="0.74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2540000</wp:posOffset>
                </wp:positionV>
                <wp:extent cx="642429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00pt" to="505.9pt,200pt" o:allowincell="f" strokecolor="#202020" strokeweight="0.74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3187065</wp:posOffset>
                </wp:positionV>
                <wp:extent cx="642429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50.95pt" to="505.9pt,250.95pt" o:allowincell="f" strokecolor="#202020" strokeweight="0.748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3834130</wp:posOffset>
                </wp:positionV>
                <wp:extent cx="642429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301.9pt" to="505.9pt,301.9pt" o:allowincell="f" strokecolor="#202020" strokeweight="0.748pt"/>
            </w:pict>
          </mc:Fallback>
        </mc:AlternateContent>
        <mc:AlternateContent>
          <mc:Choice Requires="wps">
            <w:drawing>
              <wp:anchor simplePos="0" relativeHeight="251657728" behindDoc="1" locked="0" layoutInCell="0" allowOverlap="1">
                <wp:simplePos x="0" y="0"/>
                <wp:positionH relativeFrom="column">
                  <wp:posOffset>2281555</wp:posOffset>
                </wp:positionH>
                <wp:positionV relativeFrom="paragraph">
                  <wp:posOffset>122555</wp:posOffset>
                </wp:positionV>
                <wp:extent cx="0" cy="371602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16020"/>
                        </a:xfrm>
                        <a:prstGeom prst="line">
                          <a:avLst/>
                        </a:prstGeom>
                        <a:solidFill>
                          <a:srgbClr val="FFFFFF"/>
                        </a:solidFill>
                        <a:ln w="50685">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65pt,9.65pt" to="179.65pt,302.25pt" o:allowincell="f" strokecolor="#FFFFFF" strokeweight="3.9909pt"/>
            </w:pict>
          </mc:Fallback>
        </mc:AlternateContent>
        <mc:AlternateContent>
          <mc:Choice Requires="wps">
            <w:drawing>
              <wp:anchor simplePos="0" relativeHeight="251657728" behindDoc="1" locked="0" layoutInCell="0" allowOverlap="1">
                <wp:simplePos x="0" y="0"/>
                <wp:positionH relativeFrom="column">
                  <wp:posOffset>3662680</wp:posOffset>
                </wp:positionH>
                <wp:positionV relativeFrom="paragraph">
                  <wp:posOffset>122555</wp:posOffset>
                </wp:positionV>
                <wp:extent cx="0" cy="371602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16020"/>
                        </a:xfrm>
                        <a:prstGeom prst="line">
                          <a:avLst/>
                        </a:prstGeom>
                        <a:solidFill>
                          <a:srgbClr val="FFFFFF"/>
                        </a:solidFill>
                        <a:ln w="50685">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pt,9.65pt" to="288.4pt,302.25pt" o:allowincell="f" strokecolor="#FFFFFF" strokeweight="3.9909pt"/>
            </w:pict>
          </mc:Fallback>
        </mc:AlternateContent>
        <mc:AlternateContent>
          <mc:Choice Requires="wps">
            <w:drawing>
              <wp:anchor simplePos="0" relativeHeight="251657728" behindDoc="1" locked="0" layoutInCell="0" allowOverlap="1">
                <wp:simplePos x="0" y="0"/>
                <wp:positionH relativeFrom="column">
                  <wp:posOffset>5043805</wp:posOffset>
                </wp:positionH>
                <wp:positionV relativeFrom="paragraph">
                  <wp:posOffset>122555</wp:posOffset>
                </wp:positionV>
                <wp:extent cx="0" cy="371602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16020"/>
                        </a:xfrm>
                        <a:prstGeom prst="line">
                          <a:avLst/>
                        </a:prstGeom>
                        <a:solidFill>
                          <a:srgbClr val="FFFFFF"/>
                        </a:solidFill>
                        <a:ln w="50685">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15pt,9.65pt" to="397.15pt,302.25pt" o:allowincell="f" strokecolor="#FFFFFF" strokeweight="3.9909pt"/>
            </w:pict>
          </mc:Fallback>
        </mc:AlternateConten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600" w:type="dxa"/>
            <w:vAlign w:val="bottom"/>
            <w:shd w:val="clear" w:color="auto" w:fill="8F8F8F"/>
          </w:tcPr>
          <w:p>
            <w:pPr>
              <w:spacing w:after="0"/>
              <w:rPr>
                <w:sz w:val="23"/>
                <w:szCs w:val="23"/>
                <w:color w:val="auto"/>
              </w:rPr>
            </w:pPr>
          </w:p>
        </w:tc>
        <w:tc>
          <w:tcPr>
            <w:tcW w:w="21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Target</w:t>
            </w:r>
          </w:p>
        </w:tc>
        <w:tc>
          <w:tcPr>
            <w:tcW w:w="23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Final Payout</w:t>
            </w:r>
          </w:p>
        </w:tc>
        <w:tc>
          <w:tcPr>
            <w:tcW w:w="21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9"/>
              </w:rPr>
              <w:t>Final</w:t>
            </w:r>
          </w:p>
        </w:tc>
      </w:tr>
      <w:tr>
        <w:trPr>
          <w:trHeight w:val="219"/>
        </w:trPr>
        <w:tc>
          <w:tcPr>
            <w:tcW w:w="3600" w:type="dxa"/>
            <w:vAlign w:val="bottom"/>
            <w:shd w:val="clear" w:color="auto" w:fill="8F8F8F"/>
          </w:tcPr>
          <w:p>
            <w:pPr>
              <w:spacing w:after="0"/>
              <w:rPr>
                <w:sz w:val="19"/>
                <w:szCs w:val="19"/>
                <w:color w:val="auto"/>
              </w:rPr>
            </w:pPr>
          </w:p>
        </w:tc>
        <w:tc>
          <w:tcPr>
            <w:tcW w:w="21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9"/>
              </w:rPr>
              <w:t>% of Base</w:t>
            </w:r>
          </w:p>
        </w:tc>
        <w:tc>
          <w:tcPr>
            <w:tcW w:w="23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w w:val="99"/>
              </w:rPr>
              <w:t>% of Base</w:t>
            </w:r>
          </w:p>
        </w:tc>
        <w:tc>
          <w:tcPr>
            <w:tcW w:w="210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202020"/>
              </w:rPr>
              <w:t>Payout</w:t>
            </w:r>
          </w:p>
        </w:tc>
      </w:tr>
      <w:tr>
        <w:trPr>
          <w:trHeight w:val="252"/>
        </w:trPr>
        <w:tc>
          <w:tcPr>
            <w:tcW w:w="3600" w:type="dxa"/>
            <w:vAlign w:val="bottom"/>
            <w:tcBorders>
              <w:bottom w:val="single" w:sz="8" w:color="8F8F8F"/>
            </w:tcBorders>
            <w:shd w:val="clear" w:color="auto" w:fill="8F8F8F"/>
          </w:tcPr>
          <w:p>
            <w:pPr>
              <w:ind w:left="120"/>
              <w:spacing w:after="0"/>
              <w:rPr>
                <w:sz w:val="20"/>
                <w:szCs w:val="20"/>
                <w:color w:val="auto"/>
              </w:rPr>
            </w:pPr>
            <w:r>
              <w:rPr>
                <w:rFonts w:ascii="Arial" w:cs="Arial" w:eastAsia="Arial" w:hAnsi="Arial"/>
                <w:sz w:val="18"/>
                <w:szCs w:val="18"/>
                <w:b w:val="1"/>
                <w:bCs w:val="1"/>
                <w:color w:val="FFFFFF"/>
              </w:rPr>
              <w:t>Name</w:t>
            </w:r>
          </w:p>
        </w:tc>
        <w:tc>
          <w:tcPr>
            <w:tcW w:w="210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b w:val="1"/>
                <w:bCs w:val="1"/>
                <w:color w:val="202020"/>
              </w:rPr>
              <w:t>Salary</w:t>
            </w:r>
          </w:p>
        </w:tc>
        <w:tc>
          <w:tcPr>
            <w:tcW w:w="23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b w:val="1"/>
                <w:bCs w:val="1"/>
                <w:color w:val="202020"/>
                <w:w w:val="99"/>
              </w:rPr>
              <w:t>Salary</w:t>
            </w:r>
          </w:p>
        </w:tc>
        <w:tc>
          <w:tcPr>
            <w:tcW w:w="2100" w:type="dxa"/>
            <w:vAlign w:val="bottom"/>
            <w:tcBorders>
              <w:bottom w:val="single" w:sz="8" w:color="CCCCCC"/>
            </w:tcBorders>
            <w:shd w:val="clear" w:color="auto" w:fill="CCCCCC"/>
          </w:tcPr>
          <w:p>
            <w:pPr>
              <w:jc w:val="right"/>
              <w:ind w:right="950"/>
              <w:spacing w:after="0"/>
              <w:rPr>
                <w:sz w:val="20"/>
                <w:szCs w:val="20"/>
                <w:color w:val="auto"/>
              </w:rPr>
            </w:pPr>
            <w:r>
              <w:rPr>
                <w:rFonts w:ascii="Arial" w:cs="Arial" w:eastAsia="Arial" w:hAnsi="Arial"/>
                <w:sz w:val="18"/>
                <w:szCs w:val="18"/>
                <w:b w:val="1"/>
                <w:bCs w:val="1"/>
                <w:color w:val="202020"/>
              </w:rPr>
              <w:t>$</w:t>
            </w:r>
          </w:p>
        </w:tc>
      </w:tr>
      <w:tr>
        <w:trPr>
          <w:trHeight w:val="641"/>
        </w:trPr>
        <w:tc>
          <w:tcPr>
            <w:tcW w:w="3600" w:type="dxa"/>
            <w:vAlign w:val="bottom"/>
          </w:tcPr>
          <w:p>
            <w:pPr>
              <w:ind w:left="120"/>
              <w:spacing w:after="0"/>
              <w:rPr>
                <w:sz w:val="20"/>
                <w:szCs w:val="20"/>
                <w:color w:val="auto"/>
              </w:rPr>
            </w:pPr>
            <w:r>
              <w:rPr>
                <w:rFonts w:ascii="Arial" w:cs="Arial" w:eastAsia="Arial" w:hAnsi="Arial"/>
                <w:sz w:val="18"/>
                <w:szCs w:val="18"/>
                <w:b w:val="1"/>
                <w:bCs w:val="1"/>
                <w:color w:val="202020"/>
              </w:rPr>
              <w:t>Anthony S. Marucci</w:t>
            </w:r>
          </w:p>
        </w:tc>
        <w:tc>
          <w:tcPr>
            <w:tcW w:w="2100" w:type="dxa"/>
            <w:vAlign w:val="bottom"/>
          </w:tcPr>
          <w:p>
            <w:pPr>
              <w:jc w:val="center"/>
              <w:spacing w:after="0"/>
              <w:rPr>
                <w:sz w:val="20"/>
                <w:szCs w:val="20"/>
                <w:color w:val="auto"/>
              </w:rPr>
            </w:pPr>
            <w:r>
              <w:rPr>
                <w:rFonts w:ascii="Arial" w:cs="Arial" w:eastAsia="Arial" w:hAnsi="Arial"/>
                <w:sz w:val="20"/>
                <w:szCs w:val="20"/>
                <w:b w:val="1"/>
                <w:bCs w:val="1"/>
                <w:color w:val="8F8F8F"/>
                <w:w w:val="94"/>
              </w:rPr>
              <w:t>65%</w:t>
            </w:r>
          </w:p>
        </w:tc>
        <w:tc>
          <w:tcPr>
            <w:tcW w:w="2320" w:type="dxa"/>
            <w:vAlign w:val="bottom"/>
          </w:tcPr>
          <w:p>
            <w:pPr>
              <w:jc w:val="center"/>
              <w:spacing w:after="0"/>
              <w:rPr>
                <w:sz w:val="20"/>
                <w:szCs w:val="20"/>
                <w:color w:val="auto"/>
              </w:rPr>
            </w:pPr>
            <w:r>
              <w:rPr>
                <w:rFonts w:ascii="Arial" w:cs="Arial" w:eastAsia="Arial" w:hAnsi="Arial"/>
                <w:sz w:val="20"/>
                <w:szCs w:val="20"/>
                <w:b w:val="1"/>
                <w:bCs w:val="1"/>
                <w:color w:val="8F8F8F"/>
                <w:w w:val="99"/>
              </w:rPr>
              <w:t>65%</w:t>
            </w:r>
          </w:p>
        </w:tc>
        <w:tc>
          <w:tcPr>
            <w:tcW w:w="2100" w:type="dxa"/>
            <w:vAlign w:val="bottom"/>
          </w:tcPr>
          <w:p>
            <w:pPr>
              <w:jc w:val="right"/>
              <w:ind w:right="610"/>
              <w:spacing w:after="0"/>
              <w:rPr>
                <w:sz w:val="20"/>
                <w:szCs w:val="20"/>
                <w:color w:val="auto"/>
              </w:rPr>
            </w:pPr>
            <w:r>
              <w:rPr>
                <w:rFonts w:ascii="Arial" w:cs="Arial" w:eastAsia="Arial" w:hAnsi="Arial"/>
                <w:sz w:val="18"/>
                <w:szCs w:val="18"/>
                <w:b w:val="1"/>
                <w:bCs w:val="1"/>
                <w:color w:val="202020"/>
              </w:rPr>
              <w:t>$534,300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-366395</wp:posOffset>
            </wp:positionV>
            <wp:extent cx="1927860" cy="1205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1">
                      <a:extLst>
                        <a:ext uri="{28A0092B-C50C-407E-A947-70E740481C1C}"/>
                      </a:extLst>
                    </a:blip>
                    <a:srcRect/>
                    <a:stretch>
                      <a:fillRect/>
                    </a:stretch>
                  </pic:blipFill>
                  <pic:spPr bwMode="auto">
                    <a:xfrm>
                      <a:off x="0" y="0"/>
                      <a:ext cx="1927860" cy="120586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-366395</wp:posOffset>
            </wp:positionV>
            <wp:extent cx="1927860" cy="1205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2">
                      <a:extLst>
                        <a:ext uri="{28A0092B-C50C-407E-A947-70E740481C1C}"/>
                      </a:extLst>
                    </a:blip>
                    <a:srcRect/>
                    <a:stretch>
                      <a:fillRect/>
                    </a:stretch>
                  </pic:blipFill>
                  <pic:spPr bwMode="auto">
                    <a:xfrm>
                      <a:off x="0" y="0"/>
                      <a:ext cx="1927860" cy="120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960" w:type="dxa"/>
            <w:vAlign w:val="bottom"/>
          </w:tcPr>
          <w:p>
            <w:pPr>
              <w:spacing w:after="0"/>
              <w:rPr>
                <w:sz w:val="20"/>
                <w:szCs w:val="20"/>
                <w:color w:val="auto"/>
              </w:rPr>
            </w:pPr>
            <w:r>
              <w:rPr>
                <w:rFonts w:ascii="Arial" w:cs="Arial" w:eastAsia="Arial" w:hAnsi="Arial"/>
                <w:sz w:val="18"/>
                <w:szCs w:val="18"/>
                <w:b w:val="1"/>
                <w:bCs w:val="1"/>
                <w:color w:val="202020"/>
              </w:rPr>
              <w:t>Tibor Keler, Ph.D.</w:t>
            </w:r>
          </w:p>
        </w:tc>
        <w:tc>
          <w:tcPr>
            <w:tcW w:w="2680" w:type="dxa"/>
            <w:vAlign w:val="bottom"/>
          </w:tcPr>
          <w:p>
            <w:pPr>
              <w:jc w:val="right"/>
              <w:ind w:right="810"/>
              <w:spacing w:after="0"/>
              <w:rPr>
                <w:sz w:val="20"/>
                <w:szCs w:val="20"/>
                <w:color w:val="auto"/>
              </w:rPr>
            </w:pPr>
            <w:r>
              <w:rPr>
                <w:rFonts w:ascii="Arial" w:cs="Arial" w:eastAsia="Arial" w:hAnsi="Arial"/>
                <w:sz w:val="18"/>
                <w:szCs w:val="18"/>
                <w:b w:val="1"/>
                <w:bCs w:val="1"/>
                <w:color w:val="8F8F8F"/>
              </w:rPr>
              <w:t>53%</w:t>
            </w:r>
          </w:p>
        </w:tc>
        <w:tc>
          <w:tcPr>
            <w:tcW w:w="2080" w:type="dxa"/>
            <w:vAlign w:val="bottom"/>
          </w:tcPr>
          <w:p>
            <w:pPr>
              <w:jc w:val="right"/>
              <w:ind w:right="710"/>
              <w:spacing w:after="0"/>
              <w:rPr>
                <w:sz w:val="20"/>
                <w:szCs w:val="20"/>
                <w:color w:val="auto"/>
              </w:rPr>
            </w:pPr>
            <w:r>
              <w:rPr>
                <w:rFonts w:ascii="Arial" w:cs="Arial" w:eastAsia="Arial" w:hAnsi="Arial"/>
                <w:sz w:val="18"/>
                <w:szCs w:val="18"/>
                <w:b w:val="1"/>
                <w:bCs w:val="1"/>
                <w:color w:val="8F8F8F"/>
              </w:rPr>
              <w:t>53%</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202020"/>
              </w:rPr>
              <w:t>$304,366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285115</wp:posOffset>
            </wp:positionV>
            <wp:extent cx="546735" cy="546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3">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285115</wp:posOffset>
            </wp:positionV>
            <wp:extent cx="546735" cy="546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4">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285115</wp:posOffset>
            </wp:positionV>
            <wp:extent cx="546735" cy="559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5">
                      <a:extLst>
                        <a:ext uri="{28A0092B-C50C-407E-A947-70E740481C1C}"/>
                      </a:extLst>
                    </a:blip>
                    <a:srcRect/>
                    <a:stretch>
                      <a:fillRect/>
                    </a:stretch>
                  </pic:blipFill>
                  <pic:spPr bwMode="auto">
                    <a:xfrm>
                      <a:off x="0" y="0"/>
                      <a:ext cx="546735" cy="55943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285115</wp:posOffset>
            </wp:positionV>
            <wp:extent cx="546735" cy="559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56">
                      <a:extLst>
                        <a:ext uri="{28A0092B-C50C-407E-A947-70E740481C1C}"/>
                      </a:extLst>
                    </a:blip>
                    <a:srcRect/>
                    <a:stretch>
                      <a:fillRect/>
                    </a:stretch>
                  </pic:blipFill>
                  <pic:spPr bwMode="auto">
                    <a:xfrm>
                      <a:off x="0" y="0"/>
                      <a:ext cx="546735" cy="55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980" w:type="dxa"/>
            <w:vAlign w:val="bottom"/>
          </w:tcPr>
          <w:p>
            <w:pPr>
              <w:spacing w:after="0"/>
              <w:rPr>
                <w:sz w:val="20"/>
                <w:szCs w:val="20"/>
                <w:color w:val="auto"/>
              </w:rPr>
            </w:pPr>
            <w:r>
              <w:rPr>
                <w:rFonts w:ascii="Arial" w:cs="Arial" w:eastAsia="Arial" w:hAnsi="Arial"/>
                <w:sz w:val="18"/>
                <w:szCs w:val="18"/>
                <w:b w:val="1"/>
                <w:bCs w:val="1"/>
                <w:color w:val="202020"/>
              </w:rPr>
              <w:t>Elizabeth Crowley</w:t>
            </w:r>
          </w:p>
        </w:tc>
        <w:tc>
          <w:tcPr>
            <w:tcW w:w="2680" w:type="dxa"/>
            <w:vAlign w:val="bottom"/>
          </w:tcPr>
          <w:p>
            <w:pPr>
              <w:jc w:val="right"/>
              <w:ind w:right="810"/>
              <w:spacing w:after="0"/>
              <w:rPr>
                <w:sz w:val="20"/>
                <w:szCs w:val="20"/>
                <w:color w:val="auto"/>
              </w:rPr>
            </w:pPr>
            <w:r>
              <w:rPr>
                <w:rFonts w:ascii="Arial" w:cs="Arial" w:eastAsia="Arial" w:hAnsi="Arial"/>
                <w:sz w:val="18"/>
                <w:szCs w:val="18"/>
                <w:b w:val="1"/>
                <w:bCs w:val="1"/>
                <w:color w:val="8F8F8F"/>
              </w:rPr>
              <w:t>45%</w:t>
            </w:r>
          </w:p>
        </w:tc>
        <w:tc>
          <w:tcPr>
            <w:tcW w:w="2060" w:type="dxa"/>
            <w:vAlign w:val="bottom"/>
          </w:tcPr>
          <w:p>
            <w:pPr>
              <w:jc w:val="right"/>
              <w:ind w:right="710"/>
              <w:spacing w:after="0"/>
              <w:rPr>
                <w:sz w:val="20"/>
                <w:szCs w:val="20"/>
                <w:color w:val="auto"/>
              </w:rPr>
            </w:pPr>
            <w:r>
              <w:rPr>
                <w:rFonts w:ascii="Arial" w:cs="Arial" w:eastAsia="Arial" w:hAnsi="Arial"/>
                <w:sz w:val="18"/>
                <w:szCs w:val="18"/>
                <w:b w:val="1"/>
                <w:bCs w:val="1"/>
                <w:color w:val="8F8F8F"/>
              </w:rPr>
              <w:t>52%</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202020"/>
              </w:rPr>
              <w:t>$260,000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285115</wp:posOffset>
            </wp:positionV>
            <wp:extent cx="546735" cy="546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7">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285115</wp:posOffset>
            </wp:positionV>
            <wp:extent cx="546735" cy="546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8">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285115</wp:posOffset>
            </wp:positionV>
            <wp:extent cx="546735" cy="546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9">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285115</wp:posOffset>
            </wp:positionV>
            <wp:extent cx="546735" cy="546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0">
                      <a:extLst>
                        <a:ext uri="{28A0092B-C50C-407E-A947-70E740481C1C}"/>
                      </a:extLst>
                    </a:blip>
                    <a:srcRect/>
                    <a:stretch>
                      <a:fillRect/>
                    </a:stretch>
                  </pic:blipFill>
                  <pic:spPr bwMode="auto">
                    <a:xfrm>
                      <a:off x="0" y="0"/>
                      <a:ext cx="546735" cy="54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3360" w:type="dxa"/>
            <w:vAlign w:val="bottom"/>
          </w:tcPr>
          <w:p>
            <w:pPr>
              <w:spacing w:after="0"/>
              <w:rPr>
                <w:sz w:val="20"/>
                <w:szCs w:val="20"/>
                <w:color w:val="auto"/>
              </w:rPr>
            </w:pPr>
            <w:r>
              <w:rPr>
                <w:rFonts w:ascii="Arial" w:cs="Arial" w:eastAsia="Arial" w:hAnsi="Arial"/>
                <w:sz w:val="18"/>
                <w:szCs w:val="18"/>
                <w:b w:val="1"/>
                <w:bCs w:val="1"/>
                <w:color w:val="202020"/>
              </w:rPr>
              <w:t>Margo Heath-Chiozzi, M.D.</w:t>
            </w:r>
          </w:p>
        </w:tc>
        <w:tc>
          <w:tcPr>
            <w:tcW w:w="2300" w:type="dxa"/>
            <w:vAlign w:val="bottom"/>
          </w:tcPr>
          <w:p>
            <w:pPr>
              <w:jc w:val="right"/>
              <w:ind w:right="810"/>
              <w:spacing w:after="0"/>
              <w:rPr>
                <w:sz w:val="20"/>
                <w:szCs w:val="20"/>
                <w:color w:val="auto"/>
              </w:rPr>
            </w:pPr>
            <w:r>
              <w:rPr>
                <w:rFonts w:ascii="Arial" w:cs="Arial" w:eastAsia="Arial" w:hAnsi="Arial"/>
                <w:sz w:val="18"/>
                <w:szCs w:val="18"/>
                <w:b w:val="1"/>
                <w:bCs w:val="1"/>
                <w:color w:val="8F8F8F"/>
              </w:rPr>
              <w:t>45%</w:t>
            </w:r>
          </w:p>
        </w:tc>
        <w:tc>
          <w:tcPr>
            <w:tcW w:w="2060" w:type="dxa"/>
            <w:vAlign w:val="bottom"/>
          </w:tcPr>
          <w:p>
            <w:pPr>
              <w:jc w:val="right"/>
              <w:ind w:right="690"/>
              <w:spacing w:after="0"/>
              <w:rPr>
                <w:sz w:val="20"/>
                <w:szCs w:val="20"/>
                <w:color w:val="auto"/>
              </w:rPr>
            </w:pPr>
            <w:r>
              <w:rPr>
                <w:rFonts w:ascii="Arial" w:cs="Arial" w:eastAsia="Arial" w:hAnsi="Arial"/>
                <w:sz w:val="18"/>
                <w:szCs w:val="18"/>
                <w:b w:val="1"/>
                <w:bCs w:val="1"/>
                <w:color w:val="8F8F8F"/>
              </w:rPr>
              <w:t>45%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202020"/>
              </w:rPr>
              <w:t>$225,450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285115</wp:posOffset>
            </wp:positionV>
            <wp:extent cx="546735" cy="546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1">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285115</wp:posOffset>
            </wp:positionV>
            <wp:extent cx="546735" cy="546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2">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285115</wp:posOffset>
            </wp:positionV>
            <wp:extent cx="546735" cy="546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3">
                      <a:extLst>
                        <a:ext uri="{28A0092B-C50C-407E-A947-70E740481C1C}"/>
                      </a:extLst>
                    </a:blip>
                    <a:srcRect/>
                    <a:stretch>
                      <a:fillRect/>
                    </a:stretch>
                  </pic:blipFill>
                  <pic:spPr bwMode="auto">
                    <a:xfrm>
                      <a:off x="0" y="0"/>
                      <a:ext cx="546735" cy="54673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285115</wp:posOffset>
            </wp:positionV>
            <wp:extent cx="546735" cy="546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4">
                      <a:extLst>
                        <a:ext uri="{28A0092B-C50C-407E-A947-70E740481C1C}"/>
                      </a:extLst>
                    </a:blip>
                    <a:srcRect/>
                    <a:stretch>
                      <a:fillRect/>
                    </a:stretch>
                  </pic:blipFill>
                  <pic:spPr bwMode="auto">
                    <a:xfrm>
                      <a:off x="0" y="0"/>
                      <a:ext cx="546735" cy="54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720" w:type="dxa"/>
            <w:vAlign w:val="bottom"/>
          </w:tcPr>
          <w:p>
            <w:pPr>
              <w:spacing w:after="0"/>
              <w:rPr>
                <w:sz w:val="20"/>
                <w:szCs w:val="20"/>
                <w:color w:val="auto"/>
              </w:rPr>
            </w:pPr>
            <w:r>
              <w:rPr>
                <w:rFonts w:ascii="Arial" w:cs="Arial" w:eastAsia="Arial" w:hAnsi="Arial"/>
                <w:sz w:val="18"/>
                <w:szCs w:val="18"/>
                <w:b w:val="1"/>
                <w:bCs w:val="1"/>
                <w:color w:val="202020"/>
              </w:rPr>
              <w:t>Sam Martin</w:t>
            </w:r>
          </w:p>
        </w:tc>
        <w:tc>
          <w:tcPr>
            <w:tcW w:w="2940" w:type="dxa"/>
            <w:vAlign w:val="bottom"/>
          </w:tcPr>
          <w:p>
            <w:pPr>
              <w:jc w:val="right"/>
              <w:ind w:right="810"/>
              <w:spacing w:after="0"/>
              <w:rPr>
                <w:sz w:val="20"/>
                <w:szCs w:val="20"/>
                <w:color w:val="auto"/>
              </w:rPr>
            </w:pPr>
            <w:r>
              <w:rPr>
                <w:rFonts w:ascii="Arial" w:cs="Arial" w:eastAsia="Arial" w:hAnsi="Arial"/>
                <w:sz w:val="18"/>
                <w:szCs w:val="18"/>
                <w:b w:val="1"/>
                <w:bCs w:val="1"/>
                <w:color w:val="8F8F8F"/>
              </w:rPr>
              <w:t>45%</w:t>
            </w:r>
          </w:p>
        </w:tc>
        <w:tc>
          <w:tcPr>
            <w:tcW w:w="2060" w:type="dxa"/>
            <w:vAlign w:val="bottom"/>
          </w:tcPr>
          <w:p>
            <w:pPr>
              <w:jc w:val="right"/>
              <w:ind w:right="690"/>
              <w:spacing w:after="0"/>
              <w:rPr>
                <w:sz w:val="20"/>
                <w:szCs w:val="20"/>
                <w:color w:val="auto"/>
              </w:rPr>
            </w:pPr>
            <w:r>
              <w:rPr>
                <w:rFonts w:ascii="Arial" w:cs="Arial" w:eastAsia="Arial" w:hAnsi="Arial"/>
                <w:sz w:val="18"/>
                <w:szCs w:val="18"/>
                <w:b w:val="1"/>
                <w:bCs w:val="1"/>
                <w:color w:val="8F8F8F"/>
              </w:rPr>
              <w:t>45%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202020"/>
              </w:rPr>
              <w:t>$238,050</w:t>
            </w:r>
          </w:p>
        </w:tc>
      </w:tr>
    </w:tbl>
    <w:p>
      <w:pPr>
        <w:spacing w:after="0" w:line="200" w:lineRule="exact"/>
        <w:rPr>
          <w:sz w:val="20"/>
          <w:szCs w:val="20"/>
          <w:color w:val="auto"/>
        </w:rPr>
      </w:pPr>
    </w:p>
    <w:p>
      <w:pPr>
        <w:spacing w:after="0" w:line="311" w:lineRule="exact"/>
        <w:rPr>
          <w:sz w:val="20"/>
          <w:szCs w:val="20"/>
          <w:color w:val="auto"/>
        </w:rPr>
      </w:pPr>
    </w:p>
    <w:p>
      <w:pPr>
        <w:spacing w:after="0" w:line="263" w:lineRule="auto"/>
        <w:rPr>
          <w:sz w:val="20"/>
          <w:szCs w:val="20"/>
          <w:color w:val="auto"/>
        </w:rPr>
      </w:pPr>
      <w:r>
        <w:rPr>
          <w:rFonts w:ascii="Arial" w:cs="Arial" w:eastAsia="Arial" w:hAnsi="Arial"/>
          <w:sz w:val="18"/>
          <w:szCs w:val="18"/>
          <w:color w:val="202020"/>
        </w:rPr>
        <w:t>The Compensation and Organization Development Committee approved annual bonus payments of 100%, 100%, 116%, 100% and 100% of the 2025 bonus target for Mr. Marucci, Dr. Keler, Ms. Crowley, Dr. Heath-Chiozzi and Mr. Martin, respectively, depending on each individual’s performance and their respective position. The Compensation and Organization Development Committee determined that annual incentive bonuses paid to the Named Executive Officers for 2025, were fair, reasonable and appropriate based on the factors described above.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202020"/>
        </w:rPr>
        <w:t>Equity Compensation</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02020"/>
        </w:rPr>
        <w:t>We also use stock options and equity-based incentive programs to attract, retain, motivate and reward our Executive Officers. Through our equity-based grants, we seek to align the interests of our Executive Officers with our stockholders, reward and motivate both near-term and long-term executive performance and provide an incentive for retention. Our decisions regarding the amount and type of equity incentive compensation and relative weighting of these awards among total executive compensation have been based on our understanding of market practices of similarly situated companies and our negotiations with our executives in connection with their initial employment or promotion.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02020"/>
        </w:rPr>
        <w:t>We have adopted an equity grant policy that formalizes how we grant equity awards by setting a regular schedule for granting equity awards in connection with the hiring or promotion of any of our employees, granting annual equity awards and granting equity awards to non-employee directors. Such policy also outlines grant approval requirements and specifies the vesting schedule and exercise prices for stock option awards. We believe that this policy will mitigate the risk that issues or concerns would be raised in the future regarding the timing of grants of equity awards to our officers, directors and employees.</w:t>
      </w:r>
    </w:p>
    <w:p>
      <w:pPr>
        <w:spacing w:after="0" w:line="342" w:lineRule="exact"/>
        <w:rPr>
          <w:sz w:val="20"/>
          <w:szCs w:val="20"/>
          <w:color w:val="auto"/>
        </w:rPr>
      </w:pPr>
    </w:p>
    <w:p>
      <w:pPr>
        <w:ind w:right="60"/>
        <w:spacing w:after="0" w:line="297" w:lineRule="auto"/>
        <w:rPr>
          <w:sz w:val="20"/>
          <w:szCs w:val="20"/>
          <w:color w:val="auto"/>
        </w:rPr>
      </w:pPr>
      <w:r>
        <w:rPr>
          <w:rFonts w:ascii="Arial" w:cs="Arial" w:eastAsia="Arial" w:hAnsi="Arial"/>
          <w:sz w:val="18"/>
          <w:szCs w:val="18"/>
          <w:color w:val="202020"/>
        </w:rPr>
        <w:t>All such grants to our Named Executive Officers are subject to prior approval by the Compensation and Organization Development Committee at a regularly scheduled meeting during the year. The date of grant and the fair market value of</w:t>
      </w:r>
    </w:p>
    <w:p>
      <w:pPr>
        <w:spacing w:after="0" w:line="146"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33</w:t>
      </w:r>
    </w:p>
    <w:p>
      <w:pPr>
        <w:sectPr>
          <w:pgSz w:w="11880" w:h="15480" w:orient="portrait"/>
          <w:cols w:equalWidth="0" w:num="1">
            <w:col w:w="10140"/>
          </w:cols>
          <w:pgMar w:left="880" w:top="544" w:right="860" w:bottom="96" w:gutter="0" w:footer="0" w:header="0"/>
        </w:sectPr>
      </w:pPr>
    </w:p>
    <w:bookmarkStart w:id="37" w:name="page38"/>
    <w:bookmarkEnd w:id="37"/>
    <w:p>
      <w:pPr>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202020"/>
        </w:rPr>
        <w:t>the award are based upon the date of the Compensation and Organization Development Committee meeting approving such grant. When granting equity-based awards, the Compensation and Organization Development Committee considers a number of factors in determining the amount of equity incentive awards, if any, to grant to our executives, including:</w:t>
      </w:r>
    </w:p>
    <w:p>
      <w:pPr>
        <w:spacing w:after="0" w:line="65" w:lineRule="exact"/>
        <w:rPr>
          <w:sz w:val="20"/>
          <w:szCs w:val="20"/>
          <w:color w:val="auto"/>
        </w:rPr>
      </w:pPr>
    </w:p>
    <w:p>
      <w:pPr>
        <w:ind w:left="160" w:right="320" w:hanging="159"/>
        <w:spacing w:after="0" w:line="292" w:lineRule="auto"/>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the existing levels of stock ownership among the Executive Officers relative to each other and to our employees as a whole;</w:t>
      </w:r>
    </w:p>
    <w:p>
      <w:pPr>
        <w:spacing w:after="0" w:line="29"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previous grants of stock options to such Executive Officers;</w:t>
      </w:r>
    </w:p>
    <w:p>
      <w:pPr>
        <w:spacing w:after="0" w:line="110"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vesting schedules of previously granted options;</w:t>
      </w:r>
    </w:p>
    <w:p>
      <w:pPr>
        <w:spacing w:after="0" w:line="110"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the performance of the executives and their contributions to our overall performance;</w:t>
      </w:r>
    </w:p>
    <w:p>
      <w:pPr>
        <w:spacing w:after="0" w:line="110"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an outside survey of stock option grants and restricted common stock awards in the biotechnology industry;</w:t>
      </w:r>
    </w:p>
    <w:p>
      <w:pPr>
        <w:spacing w:after="0" w:line="110"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an outside survey of similarly situated biotechnology companies’ proxy statements;</w:t>
      </w:r>
    </w:p>
    <w:p>
      <w:pPr>
        <w:spacing w:after="0" w:line="110" w:lineRule="exact"/>
        <w:rPr>
          <w:rFonts w:ascii="Arial" w:cs="Arial" w:eastAsia="Arial" w:hAnsi="Arial"/>
          <w:sz w:val="18"/>
          <w:szCs w:val="18"/>
          <w:color w:val="202020"/>
        </w:rPr>
      </w:pPr>
    </w:p>
    <w:p>
      <w:pPr>
        <w:ind w:left="160" w:right="340" w:hanging="159"/>
        <w:spacing w:after="0" w:line="292" w:lineRule="auto"/>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personal knowledge of the Compensation and Organization Development Committee members regarding executive stock options and restricted common stock awards at comparable companies;</w:t>
      </w:r>
    </w:p>
    <w:p>
      <w:pPr>
        <w:spacing w:after="0" w:line="29"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the financial statement impact of stock option awards on our results of operations; and</w:t>
      </w:r>
    </w:p>
    <w:p>
      <w:pPr>
        <w:spacing w:after="0" w:line="110" w:lineRule="exact"/>
        <w:rPr>
          <w:rFonts w:ascii="Arial" w:cs="Arial" w:eastAsia="Arial" w:hAnsi="Arial"/>
          <w:sz w:val="18"/>
          <w:szCs w:val="18"/>
          <w:color w:val="202020"/>
        </w:rPr>
      </w:pPr>
    </w:p>
    <w:p>
      <w:pPr>
        <w:ind w:left="160" w:hanging="159"/>
        <w:spacing w:after="0"/>
        <w:tabs>
          <w:tab w:leader="none" w:pos="160" w:val="left"/>
        </w:tabs>
        <w:numPr>
          <w:ilvl w:val="0"/>
          <w:numId w:val="19"/>
        </w:numPr>
        <w:rPr>
          <w:rFonts w:ascii="Arial" w:cs="Arial" w:eastAsia="Arial" w:hAnsi="Arial"/>
          <w:sz w:val="18"/>
          <w:szCs w:val="18"/>
          <w:color w:val="202020"/>
        </w:rPr>
      </w:pPr>
      <w:r>
        <w:rPr>
          <w:rFonts w:ascii="Arial" w:cs="Arial" w:eastAsia="Arial" w:hAnsi="Arial"/>
          <w:sz w:val="18"/>
          <w:szCs w:val="18"/>
          <w:color w:val="202020"/>
        </w:rPr>
        <w:t>the amount and percentage of our total equity on a diluted basis held by our executives.</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02020"/>
        </w:rPr>
        <w:t>Equity compensation awards to our Named Executive Officers consist of stock option awards. Stock option awards provide our Executive Officers with the right to purchase shares of our common stock at a fixed exercise price typically for a period of up to ten years, subject to continued employment with us. Stock options are earned on the basis of continued service to us and generally vest over four years, beginning with 25% vesting one year after the date of grant, then pro-rata vesting quarterly thereafter. All historical option grants were made at what our Compensation and Organization Development Committee and Board of Directors determined to be the fair market value of our shares of our common stock on the respective grant dates.</w:t>
      </w:r>
    </w:p>
    <w:p>
      <w:pPr>
        <w:spacing w:after="0" w:line="338"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202020"/>
        </w:rPr>
        <w:t>On June 5, 2025, the Compensation and Organization Development Committee awarded stock options to all qualified employees, including the following stock options to our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202020"/>
              </w:rPr>
              <w:t>Grant Date</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32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202020"/>
              </w:rPr>
              <w:t>Number of</w:t>
            </w:r>
          </w:p>
        </w:tc>
        <w:tc>
          <w:tcPr>
            <w:tcW w:w="13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202020"/>
              </w:rPr>
              <w:t>Exercise Price</w:t>
            </w:r>
          </w:p>
        </w:tc>
        <w:tc>
          <w:tcPr>
            <w:tcW w:w="136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Fair Value of</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32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60" w:type="dxa"/>
            <w:vAlign w:val="bottom"/>
          </w:tcPr>
          <w:p>
            <w:pPr>
              <w:jc w:val="right"/>
              <w:spacing w:after="0" w:line="179" w:lineRule="exact"/>
              <w:rPr>
                <w:sz w:val="20"/>
                <w:szCs w:val="20"/>
                <w:color w:val="auto"/>
              </w:rPr>
            </w:pPr>
            <w:r>
              <w:rPr>
                <w:rFonts w:ascii="Arial" w:cs="Arial" w:eastAsia="Arial" w:hAnsi="Arial"/>
                <w:sz w:val="16"/>
                <w:szCs w:val="16"/>
                <w:b w:val="1"/>
                <w:bCs w:val="1"/>
                <w:color w:val="202020"/>
              </w:rPr>
              <w:t>Option Awards</w:t>
            </w:r>
          </w:p>
        </w:tc>
        <w:tc>
          <w:tcPr>
            <w:tcW w:w="0" w:type="dxa"/>
            <w:vAlign w:val="bottom"/>
          </w:tcPr>
          <w:p>
            <w:pPr>
              <w:spacing w:after="0"/>
              <w:rPr>
                <w:sz w:val="1"/>
                <w:szCs w:val="1"/>
                <w:color w:val="auto"/>
              </w:rPr>
            </w:pPr>
          </w:p>
        </w:tc>
      </w:tr>
      <w:tr>
        <w:trPr>
          <w:trHeight w:val="261"/>
        </w:trPr>
        <w:tc>
          <w:tcPr>
            <w:tcW w:w="424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Name</w:t>
            </w:r>
          </w:p>
        </w:tc>
        <w:tc>
          <w:tcPr>
            <w:tcW w:w="3200" w:type="dxa"/>
            <w:vAlign w:val="bottom"/>
            <w:tcBorders>
              <w:bottom w:val="single" w:sz="8" w:color="202020"/>
            </w:tcBorders>
          </w:tcPr>
          <w:p>
            <w:pPr>
              <w:jc w:val="right"/>
              <w:ind w:right="160"/>
              <w:spacing w:after="0"/>
              <w:rPr>
                <w:sz w:val="20"/>
                <w:szCs w:val="20"/>
                <w:color w:val="auto"/>
              </w:rPr>
            </w:pPr>
            <w:r>
              <w:rPr>
                <w:rFonts w:ascii="Arial" w:cs="Arial" w:eastAsia="Arial" w:hAnsi="Arial"/>
                <w:sz w:val="16"/>
                <w:szCs w:val="16"/>
                <w:b w:val="1"/>
                <w:bCs w:val="1"/>
                <w:color w:val="202020"/>
              </w:rPr>
              <w:t>Options</w:t>
            </w:r>
          </w:p>
        </w:tc>
        <w:tc>
          <w:tcPr>
            <w:tcW w:w="1320" w:type="dxa"/>
            <w:vAlign w:val="bottom"/>
            <w:tcBorders>
              <w:bottom w:val="single" w:sz="8" w:color="202020"/>
            </w:tcBorders>
          </w:tcPr>
          <w:p>
            <w:pPr>
              <w:jc w:val="right"/>
              <w:ind w:right="280"/>
              <w:spacing w:after="0"/>
              <w:rPr>
                <w:sz w:val="20"/>
                <w:szCs w:val="20"/>
                <w:color w:val="auto"/>
              </w:rPr>
            </w:pPr>
            <w:r>
              <w:rPr>
                <w:rFonts w:ascii="Arial" w:cs="Arial" w:eastAsia="Arial" w:hAnsi="Arial"/>
                <w:sz w:val="16"/>
                <w:szCs w:val="16"/>
                <w:b w:val="1"/>
                <w:bCs w:val="1"/>
                <w:color w:val="202020"/>
              </w:rPr>
              <w:t>($/Sh)</w:t>
            </w:r>
            <w:r>
              <w:rPr>
                <w:rFonts w:ascii="Arial" w:cs="Arial" w:eastAsia="Arial" w:hAnsi="Arial"/>
                <w:sz w:val="19"/>
                <w:szCs w:val="19"/>
                <w:b w:val="1"/>
                <w:bCs w:val="1"/>
                <w:color w:val="202020"/>
                <w:vertAlign w:val="superscript"/>
              </w:rPr>
              <w:t>(1)</w:t>
            </w:r>
          </w:p>
        </w:tc>
        <w:tc>
          <w:tcPr>
            <w:tcW w:w="1360" w:type="dxa"/>
            <w:vAlign w:val="bottom"/>
            <w:tcBorders>
              <w:bottom w:val="single" w:sz="8" w:color="202020"/>
            </w:tcBorders>
          </w:tcPr>
          <w:p>
            <w:pPr>
              <w:jc w:val="center"/>
              <w:spacing w:after="0" w:line="251" w:lineRule="exact"/>
              <w:rPr>
                <w:sz w:val="20"/>
                <w:szCs w:val="20"/>
                <w:color w:val="auto"/>
              </w:rPr>
            </w:pPr>
            <w:r>
              <w:rPr>
                <w:rFonts w:ascii="Arial" w:cs="Arial" w:eastAsia="Arial" w:hAnsi="Arial"/>
                <w:sz w:val="29"/>
                <w:szCs w:val="29"/>
                <w:b w:val="1"/>
                <w:bCs w:val="1"/>
                <w:color w:val="202020"/>
                <w:w w:val="94"/>
                <w:vertAlign w:val="subscript"/>
              </w:rPr>
              <w:t>($)</w:t>
            </w:r>
            <w:r>
              <w:rPr>
                <w:rFonts w:ascii="Arial" w:cs="Arial" w:eastAsia="Arial" w:hAnsi="Arial"/>
                <w:sz w:val="10"/>
                <w:szCs w:val="10"/>
                <w:b w:val="1"/>
                <w:bCs w:val="1"/>
                <w:color w:val="202020"/>
                <w:w w:val="94"/>
              </w:rPr>
              <w:t>(2)</w:t>
            </w:r>
          </w:p>
        </w:tc>
        <w:tc>
          <w:tcPr>
            <w:tcW w:w="0" w:type="dxa"/>
            <w:vAlign w:val="bottom"/>
          </w:tcPr>
          <w:p>
            <w:pPr>
              <w:spacing w:after="0"/>
              <w:rPr>
                <w:sz w:val="1"/>
                <w:szCs w:val="1"/>
                <w:color w:val="auto"/>
              </w:rPr>
            </w:pPr>
          </w:p>
        </w:tc>
      </w:tr>
      <w:tr>
        <w:trPr>
          <w:trHeight w:val="239"/>
        </w:trPr>
        <w:tc>
          <w:tcPr>
            <w:tcW w:w="424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Anthony S. Marucci</w:t>
            </w:r>
          </w:p>
        </w:tc>
        <w:tc>
          <w:tcPr>
            <w:tcW w:w="320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300,000</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19.53</w:t>
            </w:r>
          </w:p>
        </w:tc>
        <w:tc>
          <w:tcPr>
            <w:tcW w:w="13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4,027,590</w:t>
            </w:r>
          </w:p>
        </w:tc>
        <w:tc>
          <w:tcPr>
            <w:tcW w:w="0" w:type="dxa"/>
            <w:vAlign w:val="bottom"/>
          </w:tcPr>
          <w:p>
            <w:pPr>
              <w:spacing w:after="0"/>
              <w:rPr>
                <w:sz w:val="1"/>
                <w:szCs w:val="1"/>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3200" w:type="dxa"/>
            <w:vAlign w:val="bottom"/>
          </w:tcPr>
          <w:p>
            <w:pPr>
              <w:jc w:val="right"/>
              <w:ind w:right="40"/>
              <w:spacing w:after="0"/>
              <w:rPr>
                <w:sz w:val="20"/>
                <w:szCs w:val="20"/>
                <w:color w:val="auto"/>
              </w:rPr>
            </w:pPr>
            <w:r>
              <w:rPr>
                <w:rFonts w:ascii="Arial" w:cs="Arial" w:eastAsia="Arial" w:hAnsi="Arial"/>
                <w:sz w:val="16"/>
                <w:szCs w:val="16"/>
                <w:color w:val="202020"/>
              </w:rPr>
              <w:t>93,000</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19.53</w:t>
            </w:r>
          </w:p>
        </w:tc>
        <w:tc>
          <w:tcPr>
            <w:tcW w:w="1360" w:type="dxa"/>
            <w:vAlign w:val="bottom"/>
          </w:tcPr>
          <w:p>
            <w:pPr>
              <w:jc w:val="right"/>
              <w:spacing w:after="0"/>
              <w:rPr>
                <w:sz w:val="20"/>
                <w:szCs w:val="20"/>
                <w:color w:val="auto"/>
              </w:rPr>
            </w:pPr>
            <w:r>
              <w:rPr>
                <w:rFonts w:ascii="Arial" w:cs="Arial" w:eastAsia="Arial" w:hAnsi="Arial"/>
                <w:sz w:val="16"/>
                <w:szCs w:val="16"/>
                <w:color w:val="202020"/>
              </w:rPr>
              <w:t>1,248,553</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24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Elizabeth Crowley</w:t>
            </w:r>
          </w:p>
        </w:tc>
        <w:tc>
          <w:tcPr>
            <w:tcW w:w="320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85,000</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19.53</w:t>
            </w:r>
          </w:p>
        </w:tc>
        <w:tc>
          <w:tcPr>
            <w:tcW w:w="13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1,141,151</w:t>
            </w:r>
          </w:p>
        </w:tc>
        <w:tc>
          <w:tcPr>
            <w:tcW w:w="0" w:type="dxa"/>
            <w:vAlign w:val="bottom"/>
          </w:tcPr>
          <w:p>
            <w:pPr>
              <w:spacing w:after="0"/>
              <w:rPr>
                <w:sz w:val="1"/>
                <w:szCs w:val="1"/>
                <w:color w:val="auto"/>
              </w:rPr>
            </w:pPr>
          </w:p>
        </w:tc>
      </w:tr>
      <w:tr>
        <w:trPr>
          <w:trHeight w:val="226"/>
        </w:trPr>
        <w:tc>
          <w:tcPr>
            <w:tcW w:w="424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3200" w:type="dxa"/>
            <w:vAlign w:val="bottom"/>
          </w:tcPr>
          <w:p>
            <w:pPr>
              <w:jc w:val="right"/>
              <w:ind w:right="40"/>
              <w:spacing w:after="0"/>
              <w:rPr>
                <w:sz w:val="20"/>
                <w:szCs w:val="20"/>
                <w:color w:val="auto"/>
              </w:rPr>
            </w:pPr>
            <w:r>
              <w:rPr>
                <w:rFonts w:ascii="Arial" w:cs="Arial" w:eastAsia="Arial" w:hAnsi="Arial"/>
                <w:sz w:val="16"/>
                <w:szCs w:val="16"/>
                <w:color w:val="202020"/>
              </w:rPr>
              <w:t>82,000</w:t>
            </w:r>
          </w:p>
        </w:tc>
        <w:tc>
          <w:tcPr>
            <w:tcW w:w="1320" w:type="dxa"/>
            <w:vAlign w:val="bottom"/>
          </w:tcPr>
          <w:p>
            <w:pPr>
              <w:jc w:val="right"/>
              <w:ind w:right="40"/>
              <w:spacing w:after="0"/>
              <w:rPr>
                <w:sz w:val="20"/>
                <w:szCs w:val="20"/>
                <w:color w:val="auto"/>
              </w:rPr>
            </w:pPr>
            <w:r>
              <w:rPr>
                <w:rFonts w:ascii="Arial" w:cs="Arial" w:eastAsia="Arial" w:hAnsi="Arial"/>
                <w:sz w:val="16"/>
                <w:szCs w:val="16"/>
                <w:color w:val="202020"/>
              </w:rPr>
              <w:t>19.53</w:t>
            </w:r>
          </w:p>
        </w:tc>
        <w:tc>
          <w:tcPr>
            <w:tcW w:w="1360" w:type="dxa"/>
            <w:vAlign w:val="bottom"/>
          </w:tcPr>
          <w:p>
            <w:pPr>
              <w:jc w:val="right"/>
              <w:spacing w:after="0"/>
              <w:rPr>
                <w:sz w:val="20"/>
                <w:szCs w:val="20"/>
                <w:color w:val="auto"/>
              </w:rPr>
            </w:pPr>
            <w:r>
              <w:rPr>
                <w:rFonts w:ascii="Arial" w:cs="Arial" w:eastAsia="Arial" w:hAnsi="Arial"/>
                <w:sz w:val="16"/>
                <w:szCs w:val="16"/>
                <w:color w:val="202020"/>
              </w:rPr>
              <w:t>1,100,875</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24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320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81,000</w:t>
            </w:r>
          </w:p>
        </w:tc>
        <w:tc>
          <w:tcPr>
            <w:tcW w:w="132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19.53</w:t>
            </w:r>
          </w:p>
        </w:tc>
        <w:tc>
          <w:tcPr>
            <w:tcW w:w="13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1,087,449</w:t>
            </w:r>
          </w:p>
        </w:tc>
        <w:tc>
          <w:tcPr>
            <w:tcW w:w="0" w:type="dxa"/>
            <w:vAlign w:val="bottom"/>
          </w:tcPr>
          <w:p>
            <w:pPr>
              <w:spacing w:after="0"/>
              <w:rPr>
                <w:sz w:val="1"/>
                <w:szCs w:val="1"/>
                <w:color w:val="auto"/>
              </w:rPr>
            </w:pPr>
          </w:p>
        </w:tc>
      </w:tr>
      <w:tr>
        <w:trPr>
          <w:trHeight w:val="30"/>
        </w:trPr>
        <w:tc>
          <w:tcPr>
            <w:tcW w:w="4240" w:type="dxa"/>
            <w:vAlign w:val="bottom"/>
            <w:shd w:val="clear" w:color="auto" w:fill="202020"/>
          </w:tcPr>
          <w:p>
            <w:pPr>
              <w:spacing w:after="0"/>
              <w:rPr>
                <w:sz w:val="2"/>
                <w:szCs w:val="2"/>
                <w:color w:val="auto"/>
              </w:rPr>
            </w:pPr>
          </w:p>
        </w:tc>
        <w:tc>
          <w:tcPr>
            <w:tcW w:w="3200" w:type="dxa"/>
            <w:vAlign w:val="bottom"/>
            <w:shd w:val="clear" w:color="auto" w:fill="202020"/>
          </w:tcPr>
          <w:p>
            <w:pPr>
              <w:spacing w:after="0"/>
              <w:rPr>
                <w:sz w:val="2"/>
                <w:szCs w:val="2"/>
                <w:color w:val="auto"/>
              </w:rPr>
            </w:pPr>
          </w:p>
        </w:tc>
        <w:tc>
          <w:tcPr>
            <w:tcW w:w="1320" w:type="dxa"/>
            <w:vAlign w:val="bottom"/>
            <w:shd w:val="clear" w:color="auto" w:fill="202020"/>
          </w:tcPr>
          <w:p>
            <w:pPr>
              <w:spacing w:after="0"/>
              <w:rPr>
                <w:sz w:val="2"/>
                <w:szCs w:val="2"/>
                <w:color w:val="auto"/>
              </w:rPr>
            </w:pPr>
          </w:p>
        </w:tc>
        <w:tc>
          <w:tcPr>
            <w:tcW w:w="1360" w:type="dxa"/>
            <w:vAlign w:val="bottom"/>
            <w:shd w:val="clear" w:color="auto" w:fill="20202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00" w:hanging="398"/>
        <w:spacing w:after="0"/>
        <w:tabs>
          <w:tab w:leader="none" w:pos="400" w:val="left"/>
        </w:tabs>
        <w:numPr>
          <w:ilvl w:val="0"/>
          <w:numId w:val="20"/>
        </w:numPr>
        <w:rPr>
          <w:rFonts w:ascii="Arial" w:cs="Arial" w:eastAsia="Arial" w:hAnsi="Arial"/>
          <w:sz w:val="16"/>
          <w:szCs w:val="16"/>
          <w:color w:val="202020"/>
        </w:rPr>
      </w:pPr>
      <w:r>
        <w:rPr>
          <w:rFonts w:ascii="Arial" w:cs="Arial" w:eastAsia="Arial" w:hAnsi="Arial"/>
          <w:sz w:val="16"/>
          <w:szCs w:val="16"/>
          <w:color w:val="202020"/>
        </w:rPr>
        <w:t>The exercise prices reflect the closing price of our common stock on the grant date.</w:t>
      </w:r>
    </w:p>
    <w:p>
      <w:pPr>
        <w:spacing w:after="0" w:line="79" w:lineRule="exact"/>
        <w:rPr>
          <w:rFonts w:ascii="Arial" w:cs="Arial" w:eastAsia="Arial" w:hAnsi="Arial"/>
          <w:sz w:val="16"/>
          <w:szCs w:val="16"/>
          <w:color w:val="202020"/>
        </w:rPr>
      </w:pPr>
    </w:p>
    <w:p>
      <w:pPr>
        <w:ind w:left="400" w:right="120" w:hanging="398"/>
        <w:spacing w:after="0" w:line="297" w:lineRule="auto"/>
        <w:tabs>
          <w:tab w:leader="none" w:pos="400" w:val="left"/>
        </w:tabs>
        <w:numPr>
          <w:ilvl w:val="0"/>
          <w:numId w:val="20"/>
        </w:numPr>
        <w:rPr>
          <w:rFonts w:ascii="Arial" w:cs="Arial" w:eastAsia="Arial" w:hAnsi="Arial"/>
          <w:sz w:val="16"/>
          <w:szCs w:val="16"/>
          <w:color w:val="202020"/>
        </w:rPr>
      </w:pPr>
      <w:r>
        <w:rPr>
          <w:rFonts w:ascii="Arial" w:cs="Arial" w:eastAsia="Arial" w:hAnsi="Arial"/>
          <w:sz w:val="16"/>
          <w:szCs w:val="16"/>
          <w:color w:val="202020"/>
        </w:rPr>
        <w:t>The grant date fair values are generally the amount we would expense in our financial statements over the award’s service period, but does not include a reduction for estimated forfeitures.</w:t>
      </w:r>
    </w:p>
    <w:p>
      <w:pPr>
        <w:spacing w:after="0" w:line="6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02020"/>
        </w:rPr>
        <w:t>The stock options granted to our Executive Officers in 2025 have exercise prices equal to 100% of the fair value on the date of grant and vest over four years, beginning with 25% vesting one year after the date of grant, then pro-rata vesting quarterly thereafter based on continued service. We believe that stock options structured in this manner encourage our Executive Officers to focus on increasing stockholder value and stock price appreciation over the long term and limit unnecessary risk taking behavior, while promoting retention.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202020"/>
        </w:rPr>
        <w:t>Other Benefits</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202020"/>
        </w:rPr>
        <w:t>We believe that establishing competitive benefit packages for our employees is an important factor in attracting and retaining highly qualified personnel. Executive Officers are eligible to participate in all of our employee benefit plans, such as medical, dental, group life and accidental death and dismemberment insurance, short and long-term disability coverage and our 401(k) plan, in each case on the same basis as other employees. We provide a matching contribution under our 401(k) plan. In addition, Mr. Marucci’s compensation includes the annual premium for a $1,000,000 term life insurance policy and the personal use of a Company car.</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202020"/>
        </w:rPr>
        <w:t>Employment Agreements and Post-Termination Compensation and Benefits</w:t>
      </w:r>
    </w:p>
    <w:p>
      <w:pPr>
        <w:spacing w:after="0" w:line="170"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202020"/>
        </w:rPr>
        <w:t>We depend greatly on the intellectual capabilities and experience of our key executives. Our success is dependent on our ability to attract and retain highly skilled executives with significant experience in the biotechnology industry, particularly</w:t>
      </w:r>
    </w:p>
    <w:p>
      <w:pPr>
        <w:spacing w:after="0" w:line="15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34 |</w:t>
        <w:tab/>
        <w:t>Celldex Therapeutics</w:t>
      </w:r>
    </w:p>
    <w:p>
      <w:pPr>
        <w:sectPr>
          <w:pgSz w:w="11880" w:h="15480" w:orient="portrait"/>
          <w:cols w:equalWidth="0" w:num="1">
            <w:col w:w="10140"/>
          </w:cols>
          <w:pgMar w:left="880" w:top="544" w:right="860" w:bottom="96" w:gutter="0" w:footer="0" w:header="0"/>
        </w:sectPr>
      </w:pPr>
    </w:p>
    <w:bookmarkStart w:id="38" w:name="page39"/>
    <w:bookmarkEnd w:id="38"/>
    <w:p>
      <w:pPr>
        <w:ind w:left="8300"/>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color w:val="202020"/>
        </w:rPr>
        <w:t>as we expand our activities in clinical trials, the regulatory approval process and sales and manufacturing. Therefore we enter into employment agreements with each of our Named Executive Officers.</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8"/>
          <w:szCs w:val="18"/>
          <w:color w:val="202020"/>
        </w:rPr>
        <w:t>In general, each employment arrangement provides for cash severance, 100% acceleration of any unvested options, and/or other equity awards and continuation of certain employee benefits in the event that an executive’s employment is terminated within a one year period immediately following a change of control either without cause or by the executive for good reason. The cash severance consists of a single lump sum payment equal to (i) twenty-four (24) times the executive’s highest monthly base compensation paid hereunder during the preceding twenty-four month period, plus (ii) 150% (200%, in the case of Mr. Marucci) of the highest one-year annual bonus actually received by the executive during the preceding two full fiscal years prior to the date of termination. We use a “double trigger” with respect to benefits that are to be provided in connection with a change of control. A change of control does not itself trigger benefits; rather, benefits are paid only if the employment of the executive is terminated by us other than for cause, death or disability or by the executive for good reason during the one year period immediately following the change of control. We believe a “double trigger” benefit maximizes shareholder value because it prevents a windfall to executives in the event of a change of control in which the executive retains significant responsibility as defined in his or her individual agreement, while still providing our executives appropriate incentives to cooperate in negotiating any change of control that may put their jobs at risk.</w:t>
      </w:r>
    </w:p>
    <w:p>
      <w:pPr>
        <w:spacing w:after="0" w:line="12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202020"/>
        </w:rPr>
        <w:t>In addition to the benefits that only accrue in connection with a change of control, our agreements with the Named Executive Officers provide for cash severance, 25% acceleration of unvested options (in the case of Mr. Marucci, Dr. Keler and Ms. Crowley) and/or other equity awards and continuation of certain employee benefits if we terminate their employment with us without cause or they terminate their employment with us for good reason, as such terms are defined in the applicable agreement with the Executive Officer. The cash severance consists of a lump sum cash payment equal to 100% (200% in the case of Mr. Marucci) of the executive’s then existing base salary. A further discussion of the terms and projected payments under each of these agreements is set forth below under the heading “</w:t>
      </w:r>
      <w:r>
        <w:rPr>
          <w:rFonts w:ascii="Arial" w:cs="Arial" w:eastAsia="Arial" w:hAnsi="Arial"/>
          <w:sz w:val="18"/>
          <w:szCs w:val="18"/>
          <w:i w:val="1"/>
          <w:iCs w:val="1"/>
          <w:color w:val="202020"/>
        </w:rPr>
        <w:t>Potential Payments</w:t>
      </w:r>
      <w:r>
        <w:rPr>
          <w:rFonts w:ascii="Arial" w:cs="Arial" w:eastAsia="Arial" w:hAnsi="Arial"/>
          <w:sz w:val="18"/>
          <w:szCs w:val="18"/>
          <w:color w:val="202020"/>
        </w:rPr>
        <w:t xml:space="preserve"> </w:t>
      </w:r>
      <w:r>
        <w:rPr>
          <w:rFonts w:ascii="Arial" w:cs="Arial" w:eastAsia="Arial" w:hAnsi="Arial"/>
          <w:sz w:val="18"/>
          <w:szCs w:val="18"/>
          <w:i w:val="1"/>
          <w:iCs w:val="1"/>
          <w:color w:val="202020"/>
        </w:rPr>
        <w:t>upon Termination of Employment or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Stock Ownership Policy — Employees</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color w:val="202020"/>
        </w:rPr>
        <w:t>In March 2021, our Board adopted a stock ownership policy which requires our Chief Executive Officer and our other Executive Officers (the “Covered Persons”) to own shares of our common stock to further align their interests with those of our stockholders. The guidelines require that Covered Persons achieve the following level of stock ownership as a multiple of annual salary when the policy was adopted: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2260" w:type="dxa"/>
            <w:vAlign w:val="bottom"/>
            <w:gridSpan w:val="6"/>
          </w:tcPr>
          <w:p>
            <w:pPr>
              <w:spacing w:after="0"/>
              <w:rPr>
                <w:sz w:val="20"/>
                <w:szCs w:val="20"/>
                <w:color w:val="auto"/>
              </w:rPr>
            </w:pPr>
            <w:r>
              <w:rPr>
                <w:rFonts w:ascii="Arial" w:cs="Arial" w:eastAsia="Arial" w:hAnsi="Arial"/>
                <w:sz w:val="18"/>
                <w:szCs w:val="18"/>
                <w:b w:val="1"/>
                <w:bCs w:val="1"/>
                <w:color w:val="202020"/>
              </w:rPr>
              <w:t>Minimum Required</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202020"/>
            </w:tcBorders>
          </w:tcPr>
          <w:p>
            <w:pPr>
              <w:spacing w:after="0"/>
              <w:rPr>
                <w:sz w:val="20"/>
                <w:szCs w:val="20"/>
                <w:color w:val="auto"/>
              </w:rPr>
            </w:pPr>
            <w:r>
              <w:rPr>
                <w:rFonts w:ascii="Arial" w:cs="Arial" w:eastAsia="Arial" w:hAnsi="Arial"/>
                <w:sz w:val="18"/>
                <w:szCs w:val="18"/>
                <w:b w:val="1"/>
                <w:bCs w:val="1"/>
                <w:color w:val="202020"/>
              </w:rPr>
              <w:t>Level</w:t>
            </w:r>
          </w:p>
        </w:tc>
        <w:tc>
          <w:tcPr>
            <w:tcW w:w="2260" w:type="dxa"/>
            <w:vAlign w:val="bottom"/>
            <w:tcBorders>
              <w:bottom w:val="single" w:sz="8" w:color="202020"/>
            </w:tcBorders>
            <w:gridSpan w:val="6"/>
          </w:tcPr>
          <w:p>
            <w:pPr>
              <w:spacing w:after="0"/>
              <w:rPr>
                <w:sz w:val="20"/>
                <w:szCs w:val="20"/>
                <w:color w:val="auto"/>
              </w:rPr>
            </w:pPr>
            <w:r>
              <w:rPr>
                <w:rFonts w:ascii="Arial" w:cs="Arial" w:eastAsia="Arial" w:hAnsi="Arial"/>
                <w:sz w:val="18"/>
                <w:szCs w:val="18"/>
                <w:b w:val="1"/>
                <w:bCs w:val="1"/>
                <w:color w:val="202020"/>
              </w:rPr>
              <w:t>Level of Stock Ownership</w:t>
            </w:r>
          </w:p>
        </w:tc>
        <w:tc>
          <w:tcPr>
            <w:tcW w:w="0" w:type="dxa"/>
            <w:vAlign w:val="bottom"/>
          </w:tcPr>
          <w:p>
            <w:pPr>
              <w:spacing w:after="0"/>
              <w:rPr>
                <w:sz w:val="1"/>
                <w:szCs w:val="1"/>
                <w:color w:val="auto"/>
              </w:rPr>
            </w:pPr>
          </w:p>
        </w:tc>
      </w:tr>
      <w:tr>
        <w:trPr>
          <w:trHeight w:val="68"/>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202020"/>
              </w:rPr>
              <w:t>CEO</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2480" w:type="dxa"/>
            <w:vAlign w:val="bottom"/>
            <w:vMerge w:val="continue"/>
          </w:tcPr>
          <w:p>
            <w:pPr>
              <w:spacing w:after="0"/>
              <w:rPr>
                <w:sz w:val="24"/>
                <w:szCs w:val="24"/>
                <w:color w:val="auto"/>
              </w:rPr>
            </w:pPr>
          </w:p>
        </w:tc>
        <w:tc>
          <w:tcPr>
            <w:tcW w:w="440" w:type="dxa"/>
            <w:vAlign w:val="bottom"/>
            <w:tcBorders>
              <w:bottom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8F8F8F"/>
            </w:tcBorders>
            <w:shd w:val="clear" w:color="auto" w:fill="8F8F8F"/>
          </w:tcPr>
          <w:p>
            <w:pPr>
              <w:ind w:left="120"/>
              <w:spacing w:after="0"/>
              <w:rPr>
                <w:sz w:val="20"/>
                <w:szCs w:val="20"/>
                <w:color w:val="auto"/>
              </w:rPr>
            </w:pPr>
            <w:r>
              <w:rPr>
                <w:rFonts w:ascii="Arial" w:cs="Arial" w:eastAsia="Arial" w:hAnsi="Arial"/>
                <w:sz w:val="18"/>
                <w:szCs w:val="18"/>
                <w:b w:val="1"/>
                <w:bCs w:val="1"/>
                <w:color w:val="FFFFFF"/>
              </w:rPr>
              <w:t>X3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202020"/>
              </w:rPr>
              <w:t>Other Executive Officers</w:t>
            </w:r>
          </w:p>
        </w:tc>
        <w:tc>
          <w:tcPr>
            <w:tcW w:w="226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480" w:type="dxa"/>
            <w:vAlign w:val="bottom"/>
            <w:vMerge w:val="continue"/>
          </w:tcPr>
          <w:p>
            <w:pPr>
              <w:spacing w:after="0"/>
              <w:rPr>
                <w:sz w:val="24"/>
                <w:szCs w:val="24"/>
                <w:color w:val="auto"/>
              </w:rPr>
            </w:pPr>
          </w:p>
        </w:tc>
        <w:tc>
          <w:tcPr>
            <w:tcW w:w="440" w:type="dxa"/>
            <w:vAlign w:val="bottom"/>
            <w:tcBorders>
              <w:bottom w:val="single" w:sz="8" w:color="8F8F8F"/>
            </w:tcBorders>
            <w:shd w:val="clear" w:color="auto" w:fill="8F8F8F"/>
          </w:tcPr>
          <w:p>
            <w:pPr>
              <w:ind w:left="120"/>
              <w:spacing w:after="0"/>
              <w:rPr>
                <w:sz w:val="20"/>
                <w:szCs w:val="20"/>
                <w:color w:val="auto"/>
              </w:rPr>
            </w:pPr>
            <w:r>
              <w:rPr>
                <w:rFonts w:ascii="Arial" w:cs="Arial" w:eastAsia="Arial" w:hAnsi="Arial"/>
                <w:sz w:val="18"/>
                <w:szCs w:val="18"/>
                <w:b w:val="1"/>
                <w:bCs w:val="1"/>
                <w:color w:val="FFFFFF"/>
              </w:rPr>
              <w:t>X1</w:t>
            </w:r>
          </w:p>
        </w:tc>
        <w:tc>
          <w:tcPr>
            <w:tcW w:w="1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480" w:type="dxa"/>
            <w:vAlign w:val="bottom"/>
            <w:tcBorders>
              <w:bottom w:val="single" w:sz="8" w:color="202020"/>
            </w:tcBorders>
          </w:tcPr>
          <w:p>
            <w:pPr>
              <w:spacing w:after="0"/>
              <w:rPr>
                <w:sz w:val="5"/>
                <w:szCs w:val="5"/>
                <w:color w:val="auto"/>
              </w:rPr>
            </w:pPr>
          </w:p>
        </w:tc>
        <w:tc>
          <w:tcPr>
            <w:tcW w:w="440" w:type="dxa"/>
            <w:vAlign w:val="bottom"/>
            <w:tcBorders>
              <w:bottom w:val="single" w:sz="8" w:color="202020"/>
            </w:tcBorders>
          </w:tcPr>
          <w:p>
            <w:pPr>
              <w:spacing w:after="0"/>
              <w:rPr>
                <w:sz w:val="5"/>
                <w:szCs w:val="5"/>
                <w:color w:val="auto"/>
              </w:rPr>
            </w:pPr>
          </w:p>
        </w:tc>
        <w:tc>
          <w:tcPr>
            <w:tcW w:w="340" w:type="dxa"/>
            <w:vAlign w:val="bottom"/>
            <w:tcBorders>
              <w:bottom w:val="single" w:sz="8" w:color="202020"/>
            </w:tcBorders>
          </w:tcPr>
          <w:p>
            <w:pPr>
              <w:spacing w:after="0"/>
              <w:rPr>
                <w:sz w:val="5"/>
                <w:szCs w:val="5"/>
                <w:color w:val="auto"/>
              </w:rPr>
            </w:pPr>
          </w:p>
        </w:tc>
        <w:tc>
          <w:tcPr>
            <w:tcW w:w="440" w:type="dxa"/>
            <w:vAlign w:val="bottom"/>
            <w:tcBorders>
              <w:bottom w:val="single" w:sz="8" w:color="202020"/>
            </w:tcBorders>
          </w:tcPr>
          <w:p>
            <w:pPr>
              <w:spacing w:after="0"/>
              <w:rPr>
                <w:sz w:val="5"/>
                <w:szCs w:val="5"/>
                <w:color w:val="auto"/>
              </w:rPr>
            </w:pPr>
          </w:p>
        </w:tc>
        <w:tc>
          <w:tcPr>
            <w:tcW w:w="340" w:type="dxa"/>
            <w:vAlign w:val="bottom"/>
            <w:tcBorders>
              <w:bottom w:val="single" w:sz="8" w:color="202020"/>
            </w:tcBorders>
          </w:tcPr>
          <w:p>
            <w:pPr>
              <w:spacing w:after="0"/>
              <w:rPr>
                <w:sz w:val="5"/>
                <w:szCs w:val="5"/>
                <w:color w:val="auto"/>
              </w:rPr>
            </w:pPr>
          </w:p>
        </w:tc>
        <w:tc>
          <w:tcPr>
            <w:tcW w:w="440" w:type="dxa"/>
            <w:vAlign w:val="bottom"/>
            <w:tcBorders>
              <w:bottom w:val="single" w:sz="8" w:color="202020"/>
            </w:tcBorders>
          </w:tcPr>
          <w:p>
            <w:pPr>
              <w:spacing w:after="0"/>
              <w:rPr>
                <w:sz w:val="5"/>
                <w:szCs w:val="5"/>
                <w:color w:val="auto"/>
              </w:rPr>
            </w:pPr>
          </w:p>
        </w:tc>
        <w:tc>
          <w:tcPr>
            <w:tcW w:w="260" w:type="dxa"/>
            <w:vAlign w:val="bottom"/>
            <w:tcBorders>
              <w:bottom w:val="single" w:sz="8" w:color="2020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202020"/>
        </w:rPr>
        <w:t>For purposes of these calculations, the following shares of our common stock count toward satisfaction of the guidelines:</w:t>
      </w:r>
    </w:p>
    <w:p>
      <w:pPr>
        <w:spacing w:after="0" w:line="11" w:lineRule="exact"/>
        <w:rPr>
          <w:sz w:val="20"/>
          <w:szCs w:val="20"/>
          <w:color w:val="auto"/>
        </w:rPr>
      </w:pPr>
    </w:p>
    <w:p>
      <w:pPr>
        <w:ind w:right="20" w:firstLine="1"/>
        <w:spacing w:after="0" w:line="259" w:lineRule="auto"/>
        <w:tabs>
          <w:tab w:leader="none" w:pos="198" w:val="left"/>
        </w:tabs>
        <w:numPr>
          <w:ilvl w:val="0"/>
          <w:numId w:val="21"/>
        </w:numPr>
        <w:rPr>
          <w:rFonts w:ascii="Arial" w:cs="Arial" w:eastAsia="Arial" w:hAnsi="Arial"/>
          <w:sz w:val="18"/>
          <w:szCs w:val="18"/>
          <w:color w:val="202020"/>
        </w:rPr>
      </w:pPr>
      <w:r>
        <w:rPr>
          <w:rFonts w:ascii="Arial" w:cs="Arial" w:eastAsia="Arial" w:hAnsi="Arial"/>
          <w:sz w:val="18"/>
          <w:szCs w:val="18"/>
          <w:color w:val="202020"/>
        </w:rPr>
        <w:t>shares held outright by the Covered Person or his or her immediate family members, (ii) shares held indirectly by trusts, family partnerships and other types of entities formed for the benefit of the Covered Person or his or her immediate family members, (iii) the value of vested stock options (valued at 70% of their net value) and restricted stock units and performance stock units, if any (valued at 70% of their fair market value) and (iv) shares held by investment funds, trusts, retirement funds, partnerships, corporations and other types of entities over which the Covered Person has the ability to influence or direct investment decisions. For purposes of these calculations, the base salary amounts are based on the base salaries in effect as of March 2021 or date of hire for new hires.</w:t>
      </w:r>
    </w:p>
    <w:p>
      <w:pPr>
        <w:spacing w:after="0" w:line="11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202020"/>
        </w:rPr>
        <w:t>Covered Persons are required to achieve the relevant ownership threshold on or before January 1, 2026 (the fifth measurement date following the adoption of the plan) or, if a Covered Person is appointed or promoted after March 2021, five measurement dates from his or her respective date of appointment or promotion, and are based on the base salary in effect at the time of such appointment or promotion.</w:t>
      </w:r>
    </w:p>
    <w:p>
      <w:pPr>
        <w:spacing w:after="0" w:line="112"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color w:val="202020"/>
        </w:rPr>
        <w:t>We assess compliance with these stock ownership guidelines on an annual basis. At January 1, 2026, all officers had achieved their required stock ownership except for Ms. Lawver who has until January 2030.</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Clawback Policy</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202020"/>
        </w:rPr>
        <w:t>We have adopted a clawback policy that requires the recovery of certain erroneously paid incentive compensation received by our Section 16 officers on or after October 2, 2023, as required by SEC rules and Nasdaq Listing Standards implemented pursuant to the Dodd-Frank Act. Under our clawback policy, in the event that we are required to prepare an accounting restatement, we will attempt to recover from our current or former executive officers the pre-tax amount of</w:t>
      </w:r>
    </w:p>
    <w:p>
      <w:pPr>
        <w:spacing w:after="0" w:line="173"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35</w:t>
      </w:r>
    </w:p>
    <w:p>
      <w:pPr>
        <w:sectPr>
          <w:pgSz w:w="11880" w:h="15480" w:orient="portrait"/>
          <w:cols w:equalWidth="0" w:num="1">
            <w:col w:w="10140"/>
          </w:cols>
          <w:pgMar w:left="880" w:top="544" w:right="860" w:bottom="96" w:gutter="0" w:footer="0" w:header="0"/>
        </w:sectPr>
      </w:pPr>
    </w:p>
    <w:bookmarkStart w:id="39" w:name="page40"/>
    <w:bookmarkEnd w:id="39"/>
    <w:p>
      <w:pPr>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8"/>
          <w:szCs w:val="18"/>
          <w:color w:val="202020"/>
        </w:rPr>
        <w:t>any erroneously awarded incentive compensation as required by such rules and listing standards. For purposes of the clawback policy, incentive compensation means any compensation that is granted, earned or vested based wholly or in part upon the attainment of any measures determined and presented in accordance with the accounting principles used in preparing our financial statements, and any measures that are derived wholly or in part from such measures, as well as stock or share price and total shareholder return. There were no events during fiscal year 2025 that triggered a right to a clawback or recoupment from any of our executive officers pursuant to our clawback policy. You can review our clawback policy by referring to Exhibit 97 to our Annual Report on Form 10-K for the fiscal year ended December 31, 2025 filed with the SEC on February 25, 2026.</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36 |</w:t>
        <w:tab/>
        <w:t>Celldex Therapeutics</w:t>
      </w:r>
    </w:p>
    <w:p>
      <w:pPr>
        <w:sectPr>
          <w:pgSz w:w="11880" w:h="15480" w:orient="portrait"/>
          <w:cols w:equalWidth="0" w:num="1">
            <w:col w:w="10120"/>
          </w:cols>
          <w:pgMar w:left="880" w:top="544" w:right="880" w:bottom="96" w:gutter="0" w:footer="0" w:header="0"/>
          <w:type w:val="continuous"/>
        </w:sectPr>
      </w:pPr>
    </w:p>
    <w:bookmarkStart w:id="40" w:name="page41"/>
    <w:bookmarkEnd w:id="40"/>
    <w:p>
      <w:pPr>
        <w:ind w:left="8300"/>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Compensation and Organization Development Committee Report*</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202020"/>
        </w:rPr>
        <w:t>Our Compensation and Organization Development Committee has reviewed and discussed the Compensation Discussion and Analysis with management and based on such review and discussion of the Compensation Discussion and Analysis, the Compensation and Organization Development Committee recommended to the Board that the Compensation Discussion and Analysis be included in this proxy statement.</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202020"/>
        </w:rPr>
        <w:t>This Compensation and Organization Development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113"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Compensation and Organization Development Committee:</w:t>
      </w:r>
    </w:p>
    <w:p>
      <w:pPr>
        <w:spacing w:after="0" w:line="252"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James J. Marino, J.D., Chair</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Cheryl L. Cohen</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Denice Torres, J.D.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5689600</wp:posOffset>
                </wp:positionV>
                <wp:extent cx="136842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20202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448pt" to="107.8pt,448pt" o:allowincell="f" strokecolor="#202020" strokeweight="0.4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hanging="399"/>
        <w:spacing w:after="0" w:line="274" w:lineRule="auto"/>
        <w:tabs>
          <w:tab w:leader="none" w:pos="400" w:val="left"/>
        </w:tabs>
        <w:numPr>
          <w:ilvl w:val="0"/>
          <w:numId w:val="22"/>
        </w:numPr>
        <w:rPr>
          <w:rFonts w:ascii="Arial" w:cs="Arial" w:eastAsia="Arial" w:hAnsi="Arial"/>
          <w:sz w:val="16"/>
          <w:szCs w:val="16"/>
          <w:color w:val="202020"/>
        </w:rPr>
      </w:pPr>
      <w:r>
        <w:rPr>
          <w:rFonts w:ascii="Arial" w:cs="Arial" w:eastAsia="Arial" w:hAnsi="Arial"/>
          <w:sz w:val="16"/>
          <w:szCs w:val="16"/>
          <w:color w:val="202020"/>
        </w:rPr>
        <w:t>The foregoing report of the Compensation and Organization Development Committee is not to be deemed “filed” with the SEC (irrespective of any general incorporation language in any document filed with the SEC) or subject to Regulation 14A of the Securities Exchange Act of 1934, as amended, or to the liabilities of Section 18 of the Securities Exchange Act of 1934, except to the extent we specifically incorporate it by reference into a document filed with the SEC.</w:t>
      </w:r>
    </w:p>
    <w:p>
      <w:pPr>
        <w:sectPr>
          <w:pgSz w:w="11880" w:h="15480" w:orient="portrait"/>
          <w:cols w:equalWidth="0" w:num="1">
            <w:col w:w="10140"/>
          </w:cols>
          <w:pgMar w:left="880" w:top="544" w:right="860" w:bottom="96" w:gutter="0" w:footer="0" w:header="0"/>
        </w:sectPr>
      </w:pPr>
    </w:p>
    <w:p>
      <w:pPr>
        <w:spacing w:after="0" w:line="176"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37</w:t>
      </w:r>
    </w:p>
    <w:p>
      <w:pPr>
        <w:sectPr>
          <w:pgSz w:w="11880" w:h="15480" w:orient="portrait"/>
          <w:cols w:equalWidth="0" w:num="1">
            <w:col w:w="10140"/>
          </w:cols>
          <w:pgMar w:left="880" w:top="544" w:right="860" w:bottom="96"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Summary Compensation Table</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8"/>
          <w:szCs w:val="18"/>
          <w:color w:val="202020"/>
        </w:rPr>
        <w:t>The following summary compensation table reflects certain information concerning compensation for services in all capacities awarded to, earned by or paid during the years ended December 31, 2025, 2024 and 2023 to (i) our Chief Executive Officer, (ii) our Chief Financial Officer, and (iii) our three most highly compensated Executive Officers, other than the Chief Executive Officer and Chief Financial Officer, who were serving as Executive Officers as of December 31, 2025 (collectively, the “Named Executive Officers”).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202020"/>
              </w:rPr>
              <w:t>Change in</w:t>
            </w: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w w:val="99"/>
              </w:rPr>
              <w:t>Pension</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Non-Equity</w:t>
            </w:r>
          </w:p>
        </w:tc>
        <w:tc>
          <w:tcPr>
            <w:tcW w:w="12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Value and</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Nonqualified</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Stock</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Option</w:t>
            </w:r>
          </w:p>
        </w:tc>
        <w:tc>
          <w:tcPr>
            <w:tcW w:w="12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Incentive</w:t>
            </w:r>
          </w:p>
        </w:tc>
        <w:tc>
          <w:tcPr>
            <w:tcW w:w="12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Deferred</w:t>
            </w: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202020"/>
              </w:rPr>
              <w:t>Name and Principal</w:t>
            </w:r>
          </w:p>
        </w:tc>
        <w:tc>
          <w:tcPr>
            <w:tcW w:w="5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Arial" w:cs="Arial" w:eastAsia="Arial" w:hAnsi="Arial"/>
                <w:sz w:val="16"/>
                <w:szCs w:val="16"/>
                <w:b w:val="1"/>
                <w:bCs w:val="1"/>
                <w:color w:val="202020"/>
              </w:rPr>
              <w:t>Salary</w:t>
            </w:r>
          </w:p>
        </w:tc>
        <w:tc>
          <w:tcPr>
            <w:tcW w:w="680" w:type="dxa"/>
            <w:vAlign w:val="bottom"/>
            <w:vMerge w:val="restart"/>
          </w:tcPr>
          <w:p>
            <w:pPr>
              <w:ind w:left="80"/>
              <w:spacing w:after="0"/>
              <w:rPr>
                <w:sz w:val="20"/>
                <w:szCs w:val="20"/>
                <w:color w:val="auto"/>
              </w:rPr>
            </w:pPr>
            <w:r>
              <w:rPr>
                <w:rFonts w:ascii="Arial" w:cs="Arial" w:eastAsia="Arial" w:hAnsi="Arial"/>
                <w:sz w:val="16"/>
                <w:szCs w:val="16"/>
                <w:b w:val="1"/>
                <w:bCs w:val="1"/>
                <w:color w:val="202020"/>
              </w:rPr>
              <w:t>Bonus</w:t>
            </w:r>
          </w:p>
        </w:tc>
        <w:tc>
          <w:tcPr>
            <w:tcW w:w="7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Plan</w:t>
            </w:r>
          </w:p>
        </w:tc>
        <w:tc>
          <w:tcPr>
            <w:tcW w:w="1220" w:type="dxa"/>
            <w:vAlign w:val="bottom"/>
          </w:tcPr>
          <w:p>
            <w:pPr>
              <w:jc w:val="right"/>
              <w:spacing w:after="0" w:line="179" w:lineRule="exact"/>
              <w:rPr>
                <w:sz w:val="20"/>
                <w:szCs w:val="20"/>
                <w:color w:val="auto"/>
              </w:rPr>
            </w:pPr>
            <w:r>
              <w:rPr>
                <w:rFonts w:ascii="Arial" w:cs="Arial" w:eastAsia="Arial" w:hAnsi="Arial"/>
                <w:sz w:val="16"/>
                <w:szCs w:val="16"/>
                <w:b w:val="1"/>
                <w:bCs w:val="1"/>
                <w:color w:val="202020"/>
              </w:rPr>
              <w:t>Compensation</w:t>
            </w:r>
          </w:p>
        </w:tc>
        <w:tc>
          <w:tcPr>
            <w:tcW w:w="12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All Other</w:t>
            </w:r>
          </w:p>
        </w:tc>
        <w:tc>
          <w:tcPr>
            <w:tcW w:w="820" w:type="dxa"/>
            <w:vAlign w:val="bottom"/>
            <w:vMerge w:val="restart"/>
          </w:tcPr>
          <w:p>
            <w:pPr>
              <w:ind w:left="200"/>
              <w:spacing w:after="0"/>
              <w:rPr>
                <w:sz w:val="20"/>
                <w:szCs w:val="20"/>
                <w:color w:val="auto"/>
              </w:rPr>
            </w:pPr>
            <w:r>
              <w:rPr>
                <w:rFonts w:ascii="Arial" w:cs="Arial" w:eastAsia="Arial" w:hAnsi="Arial"/>
                <w:sz w:val="16"/>
                <w:szCs w:val="16"/>
                <w:b w:val="1"/>
                <w:bCs w:val="1"/>
                <w:color w:val="202020"/>
              </w:rPr>
              <w:t>Total</w:t>
            </w:r>
          </w:p>
        </w:tc>
        <w:tc>
          <w:tcPr>
            <w:tcW w:w="0" w:type="dxa"/>
            <w:vAlign w:val="bottom"/>
          </w:tcPr>
          <w:p>
            <w:pPr>
              <w:spacing w:after="0"/>
              <w:rPr>
                <w:sz w:val="1"/>
                <w:szCs w:val="1"/>
                <w:color w:val="auto"/>
              </w:rPr>
            </w:pPr>
          </w:p>
        </w:tc>
      </w:tr>
      <w:tr>
        <w:trPr>
          <w:trHeight w:val="178"/>
        </w:trPr>
        <w:tc>
          <w:tcPr>
            <w:tcW w:w="22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jc w:val="center"/>
              <w:spacing w:after="0" w:line="178" w:lineRule="exact"/>
              <w:rPr>
                <w:sz w:val="20"/>
                <w:szCs w:val="20"/>
                <w:color w:val="auto"/>
              </w:rPr>
            </w:pPr>
            <w:r>
              <w:rPr>
                <w:rFonts w:ascii="Arial" w:cs="Arial" w:eastAsia="Arial" w:hAnsi="Arial"/>
                <w:sz w:val="16"/>
                <w:szCs w:val="16"/>
                <w:b w:val="1"/>
                <w:bCs w:val="1"/>
                <w:color w:val="202020"/>
              </w:rPr>
              <w:t>Awards</w:t>
            </w:r>
          </w:p>
        </w:tc>
        <w:tc>
          <w:tcPr>
            <w:tcW w:w="780" w:type="dxa"/>
            <w:vAlign w:val="bottom"/>
          </w:tcPr>
          <w:p>
            <w:pPr>
              <w:jc w:val="center"/>
              <w:spacing w:after="0" w:line="178" w:lineRule="exact"/>
              <w:rPr>
                <w:sz w:val="20"/>
                <w:szCs w:val="20"/>
                <w:color w:val="auto"/>
              </w:rPr>
            </w:pPr>
            <w:r>
              <w:rPr>
                <w:rFonts w:ascii="Arial" w:cs="Arial" w:eastAsia="Arial" w:hAnsi="Arial"/>
                <w:sz w:val="16"/>
                <w:szCs w:val="16"/>
                <w:b w:val="1"/>
                <w:bCs w:val="1"/>
                <w:color w:val="202020"/>
              </w:rPr>
              <w:t>Awards</w:t>
            </w:r>
          </w:p>
        </w:tc>
        <w:tc>
          <w:tcPr>
            <w:tcW w:w="1240" w:type="dxa"/>
            <w:vAlign w:val="bottom"/>
          </w:tcPr>
          <w:p>
            <w:pPr>
              <w:jc w:val="right"/>
              <w:spacing w:after="0" w:line="178" w:lineRule="exact"/>
              <w:rPr>
                <w:sz w:val="20"/>
                <w:szCs w:val="20"/>
                <w:color w:val="auto"/>
              </w:rPr>
            </w:pPr>
            <w:r>
              <w:rPr>
                <w:rFonts w:ascii="Arial" w:cs="Arial" w:eastAsia="Arial" w:hAnsi="Arial"/>
                <w:sz w:val="16"/>
                <w:szCs w:val="16"/>
                <w:b w:val="1"/>
                <w:bCs w:val="1"/>
                <w:color w:val="202020"/>
              </w:rPr>
              <w:t>Compensation</w:t>
            </w:r>
          </w:p>
        </w:tc>
        <w:tc>
          <w:tcPr>
            <w:tcW w:w="1220" w:type="dxa"/>
            <w:vAlign w:val="bottom"/>
          </w:tcPr>
          <w:p>
            <w:pPr>
              <w:jc w:val="center"/>
              <w:spacing w:after="0" w:line="178" w:lineRule="exact"/>
              <w:rPr>
                <w:sz w:val="20"/>
                <w:szCs w:val="20"/>
                <w:color w:val="auto"/>
              </w:rPr>
            </w:pPr>
            <w:r>
              <w:rPr>
                <w:rFonts w:ascii="Arial" w:cs="Arial" w:eastAsia="Arial" w:hAnsi="Arial"/>
                <w:sz w:val="16"/>
                <w:szCs w:val="16"/>
                <w:b w:val="1"/>
                <w:bCs w:val="1"/>
                <w:color w:val="202020"/>
              </w:rPr>
              <w:t>Earnings</w:t>
            </w:r>
          </w:p>
        </w:tc>
        <w:tc>
          <w:tcPr>
            <w:tcW w:w="1240" w:type="dxa"/>
            <w:vAlign w:val="bottom"/>
          </w:tcPr>
          <w:p>
            <w:pPr>
              <w:jc w:val="center"/>
              <w:spacing w:after="0" w:line="178" w:lineRule="exact"/>
              <w:rPr>
                <w:sz w:val="20"/>
                <w:szCs w:val="20"/>
                <w:color w:val="auto"/>
              </w:rPr>
            </w:pPr>
            <w:r>
              <w:rPr>
                <w:rFonts w:ascii="Arial" w:cs="Arial" w:eastAsia="Arial" w:hAnsi="Arial"/>
                <w:sz w:val="16"/>
                <w:szCs w:val="16"/>
                <w:b w:val="1"/>
                <w:bCs w:val="1"/>
                <w:color w:val="202020"/>
              </w:rPr>
              <w:t>Compensation</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24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Position</w:t>
            </w:r>
          </w:p>
        </w:tc>
        <w:tc>
          <w:tcPr>
            <w:tcW w:w="520" w:type="dxa"/>
            <w:vAlign w:val="bottom"/>
            <w:tcBorders>
              <w:bottom w:val="single" w:sz="8" w:color="202020"/>
            </w:tcBorders>
          </w:tcPr>
          <w:p>
            <w:pPr>
              <w:jc w:val="right"/>
              <w:spacing w:after="0"/>
              <w:rPr>
                <w:sz w:val="20"/>
                <w:szCs w:val="20"/>
                <w:color w:val="auto"/>
              </w:rPr>
            </w:pPr>
            <w:r>
              <w:rPr>
                <w:rFonts w:ascii="Arial" w:cs="Arial" w:eastAsia="Arial" w:hAnsi="Arial"/>
                <w:sz w:val="16"/>
                <w:szCs w:val="16"/>
                <w:b w:val="1"/>
                <w:bCs w:val="1"/>
                <w:color w:val="202020"/>
              </w:rPr>
              <w:t>Years</w:t>
            </w:r>
          </w:p>
        </w:tc>
        <w:tc>
          <w:tcPr>
            <w:tcW w:w="6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p>
        </w:tc>
        <w:tc>
          <w:tcPr>
            <w:tcW w:w="6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r>
              <w:rPr>
                <w:rFonts w:ascii="Arial" w:cs="Arial" w:eastAsia="Arial" w:hAnsi="Arial"/>
                <w:sz w:val="19"/>
                <w:szCs w:val="19"/>
                <w:b w:val="1"/>
                <w:bCs w:val="1"/>
                <w:color w:val="202020"/>
                <w:vertAlign w:val="superscript"/>
              </w:rPr>
              <w:t>(1)</w:t>
            </w:r>
          </w:p>
        </w:tc>
        <w:tc>
          <w:tcPr>
            <w:tcW w:w="70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p>
        </w:tc>
        <w:tc>
          <w:tcPr>
            <w:tcW w:w="7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r>
              <w:rPr>
                <w:rFonts w:ascii="Arial" w:cs="Arial" w:eastAsia="Arial" w:hAnsi="Arial"/>
                <w:sz w:val="19"/>
                <w:szCs w:val="19"/>
                <w:b w:val="1"/>
                <w:bCs w:val="1"/>
                <w:color w:val="202020"/>
                <w:vertAlign w:val="superscript"/>
              </w:rPr>
              <w:t>(2)</w:t>
            </w:r>
          </w:p>
        </w:tc>
        <w:tc>
          <w:tcPr>
            <w:tcW w:w="124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p>
        </w:tc>
        <w:tc>
          <w:tcPr>
            <w:tcW w:w="122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p>
        </w:tc>
        <w:tc>
          <w:tcPr>
            <w:tcW w:w="124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r>
              <w:rPr>
                <w:rFonts w:ascii="Arial" w:cs="Arial" w:eastAsia="Arial" w:hAnsi="Arial"/>
                <w:sz w:val="19"/>
                <w:szCs w:val="19"/>
                <w:b w:val="1"/>
                <w:bCs w:val="1"/>
                <w:color w:val="202020"/>
                <w:vertAlign w:val="superscript"/>
              </w:rPr>
              <w:t>(3)</w:t>
            </w:r>
          </w:p>
        </w:tc>
        <w:tc>
          <w:tcPr>
            <w:tcW w:w="82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p>
        </w:tc>
        <w:tc>
          <w:tcPr>
            <w:tcW w:w="0" w:type="dxa"/>
            <w:vAlign w:val="bottom"/>
          </w:tcPr>
          <w:p>
            <w:pPr>
              <w:spacing w:after="0"/>
              <w:rPr>
                <w:sz w:val="1"/>
                <w:szCs w:val="1"/>
                <w:color w:val="auto"/>
              </w:rPr>
            </w:pPr>
          </w:p>
        </w:tc>
      </w:tr>
      <w:tr>
        <w:trPr>
          <w:trHeight w:val="276"/>
        </w:trPr>
        <w:tc>
          <w:tcPr>
            <w:tcW w:w="224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b w:val="1"/>
                <w:bCs w:val="1"/>
                <w:color w:val="202020"/>
              </w:rPr>
              <w:t>Anthony S. Marucci</w:t>
            </w:r>
          </w:p>
        </w:tc>
        <w:tc>
          <w:tcPr>
            <w:tcW w:w="5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2025</w:t>
            </w:r>
          </w:p>
        </w:tc>
        <w:tc>
          <w:tcPr>
            <w:tcW w:w="6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785,804</w:t>
            </w:r>
          </w:p>
        </w:tc>
        <w:tc>
          <w:tcPr>
            <w:tcW w:w="6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534,300</w:t>
            </w:r>
          </w:p>
        </w:tc>
        <w:tc>
          <w:tcPr>
            <w:tcW w:w="1480" w:type="dxa"/>
            <w:vAlign w:val="bottom"/>
            <w:tcBorders>
              <w:bottom w:val="single" w:sz="8" w:color="E9E9E9"/>
            </w:tcBorders>
            <w:gridSpan w:val="2"/>
            <w:shd w:val="clear" w:color="auto" w:fill="E9E9E9"/>
          </w:tcPr>
          <w:p>
            <w:pPr>
              <w:ind w:left="460"/>
              <w:spacing w:after="0"/>
              <w:rPr>
                <w:sz w:val="20"/>
                <w:szCs w:val="20"/>
                <w:color w:val="auto"/>
              </w:rPr>
            </w:pPr>
            <w:r>
              <w:rPr>
                <w:rFonts w:ascii="Arial" w:cs="Arial" w:eastAsia="Arial" w:hAnsi="Arial"/>
                <w:sz w:val="16"/>
                <w:szCs w:val="16"/>
                <w:color w:val="202020"/>
              </w:rPr>
              <w:t>— 4,027,590</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19,015</w:t>
            </w:r>
          </w:p>
        </w:tc>
        <w:tc>
          <w:tcPr>
            <w:tcW w:w="82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5,366,709</w:t>
            </w:r>
          </w:p>
        </w:tc>
        <w:tc>
          <w:tcPr>
            <w:tcW w:w="0" w:type="dxa"/>
            <w:vAlign w:val="bottom"/>
          </w:tcPr>
          <w:p>
            <w:pPr>
              <w:spacing w:after="0"/>
              <w:rPr>
                <w:sz w:val="1"/>
                <w:szCs w:val="1"/>
                <w:color w:val="auto"/>
              </w:rPr>
            </w:pPr>
          </w:p>
        </w:tc>
      </w:tr>
      <w:tr>
        <w:trPr>
          <w:trHeight w:val="119"/>
        </w:trPr>
        <w:tc>
          <w:tcPr>
            <w:tcW w:w="2240" w:type="dxa"/>
            <w:vAlign w:val="bottom"/>
            <w:tcBorders>
              <w:top w:val="single" w:sz="8" w:color="E9E9E9"/>
            </w:tcBorders>
            <w:shd w:val="clear" w:color="auto" w:fill="E9E9E9"/>
          </w:tcPr>
          <w:p>
            <w:pPr>
              <w:ind w:left="60"/>
              <w:spacing w:after="0" w:line="119" w:lineRule="exact"/>
              <w:rPr>
                <w:sz w:val="20"/>
                <w:szCs w:val="20"/>
                <w:color w:val="auto"/>
              </w:rPr>
            </w:pPr>
            <w:r>
              <w:rPr>
                <w:rFonts w:ascii="Arial" w:cs="Arial" w:eastAsia="Arial" w:hAnsi="Arial"/>
                <w:sz w:val="13"/>
                <w:szCs w:val="13"/>
                <w:color w:val="202020"/>
              </w:rPr>
              <w:t>President and Chief</w:t>
            </w:r>
          </w:p>
        </w:tc>
        <w:tc>
          <w:tcPr>
            <w:tcW w:w="5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2024</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751,766</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554,000</w:t>
            </w:r>
          </w:p>
        </w:tc>
        <w:tc>
          <w:tcPr>
            <w:tcW w:w="1480" w:type="dxa"/>
            <w:vAlign w:val="bottom"/>
            <w:tcBorders>
              <w:top w:val="single" w:sz="8" w:color="D2D2D2"/>
            </w:tcBorders>
            <w:gridSpan w:val="2"/>
            <w:vMerge w:val="restart"/>
            <w:shd w:val="clear" w:color="auto" w:fill="E9E9E9"/>
          </w:tcPr>
          <w:p>
            <w:pPr>
              <w:ind w:left="460"/>
              <w:spacing w:after="0"/>
              <w:rPr>
                <w:sz w:val="20"/>
                <w:szCs w:val="20"/>
                <w:color w:val="auto"/>
              </w:rPr>
            </w:pPr>
            <w:r>
              <w:rPr>
                <w:rFonts w:ascii="Arial" w:cs="Arial" w:eastAsia="Arial" w:hAnsi="Arial"/>
                <w:sz w:val="16"/>
                <w:szCs w:val="16"/>
                <w:color w:val="202020"/>
              </w:rPr>
              <w:t>— 7,903,800</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19,599</w:t>
            </w:r>
          </w:p>
        </w:tc>
        <w:tc>
          <w:tcPr>
            <w:tcW w:w="82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9,229,165</w:t>
            </w:r>
          </w:p>
        </w:tc>
        <w:tc>
          <w:tcPr>
            <w:tcW w:w="0" w:type="dxa"/>
            <w:vAlign w:val="bottom"/>
          </w:tcPr>
          <w:p>
            <w:pPr>
              <w:spacing w:after="0"/>
              <w:rPr>
                <w:sz w:val="1"/>
                <w:szCs w:val="1"/>
                <w:color w:val="auto"/>
              </w:rPr>
            </w:pPr>
          </w:p>
        </w:tc>
      </w:tr>
      <w:tr>
        <w:trPr>
          <w:trHeight w:val="147"/>
        </w:trPr>
        <w:tc>
          <w:tcPr>
            <w:tcW w:w="2240" w:type="dxa"/>
            <w:vAlign w:val="bottom"/>
            <w:tcBorders>
              <w:bottom w:val="single" w:sz="8" w:color="E9E9E9"/>
            </w:tcBorders>
            <w:vMerge w:val="restart"/>
            <w:shd w:val="clear" w:color="auto" w:fill="E9E9E9"/>
          </w:tcPr>
          <w:p>
            <w:pPr>
              <w:ind w:left="60"/>
              <w:spacing w:after="0"/>
              <w:rPr>
                <w:sz w:val="20"/>
                <w:szCs w:val="20"/>
                <w:color w:val="auto"/>
              </w:rPr>
            </w:pPr>
            <w:r>
              <w:rPr>
                <w:rFonts w:ascii="Arial" w:cs="Arial" w:eastAsia="Arial" w:hAnsi="Arial"/>
                <w:sz w:val="16"/>
                <w:szCs w:val="16"/>
                <w:color w:val="202020"/>
              </w:rPr>
              <w:t>Executive Officer</w:t>
            </w:r>
          </w:p>
        </w:tc>
        <w:tc>
          <w:tcPr>
            <w:tcW w:w="520" w:type="dxa"/>
            <w:vAlign w:val="bottom"/>
            <w:tcBorders>
              <w:bottom w:val="single" w:sz="8" w:color="E9E9E9"/>
            </w:tcBorders>
            <w:vMerge w:val="continue"/>
            <w:shd w:val="clear" w:color="auto" w:fill="E9E9E9"/>
          </w:tcPr>
          <w:p>
            <w:pPr>
              <w:spacing w:after="0"/>
              <w:rPr>
                <w:sz w:val="12"/>
                <w:szCs w:val="12"/>
                <w:color w:val="auto"/>
              </w:rPr>
            </w:pPr>
          </w:p>
        </w:tc>
        <w:tc>
          <w:tcPr>
            <w:tcW w:w="680" w:type="dxa"/>
            <w:vAlign w:val="bottom"/>
            <w:tcBorders>
              <w:bottom w:val="single" w:sz="8" w:color="E9E9E9"/>
            </w:tcBorders>
            <w:vMerge w:val="continue"/>
            <w:shd w:val="clear" w:color="auto" w:fill="E9E9E9"/>
          </w:tcPr>
          <w:p>
            <w:pPr>
              <w:spacing w:after="0"/>
              <w:rPr>
                <w:sz w:val="12"/>
                <w:szCs w:val="12"/>
                <w:color w:val="auto"/>
              </w:rPr>
            </w:pPr>
          </w:p>
        </w:tc>
        <w:tc>
          <w:tcPr>
            <w:tcW w:w="680" w:type="dxa"/>
            <w:vAlign w:val="bottom"/>
            <w:tcBorders>
              <w:bottom w:val="single" w:sz="8" w:color="E9E9E9"/>
            </w:tcBorders>
            <w:vMerge w:val="continue"/>
            <w:shd w:val="clear" w:color="auto" w:fill="E9E9E9"/>
          </w:tcPr>
          <w:p>
            <w:pPr>
              <w:spacing w:after="0"/>
              <w:rPr>
                <w:sz w:val="12"/>
                <w:szCs w:val="12"/>
                <w:color w:val="auto"/>
              </w:rPr>
            </w:pPr>
          </w:p>
        </w:tc>
        <w:tc>
          <w:tcPr>
            <w:tcW w:w="1480" w:type="dxa"/>
            <w:vAlign w:val="bottom"/>
            <w:tcBorders>
              <w:bottom w:val="single" w:sz="8" w:color="E9E9E9"/>
            </w:tcBorders>
            <w:gridSpan w:val="2"/>
            <w:vMerge w:val="continue"/>
            <w:shd w:val="clear" w:color="auto" w:fill="E9E9E9"/>
          </w:tcPr>
          <w:p>
            <w:pPr>
              <w:spacing w:after="0"/>
              <w:rPr>
                <w:sz w:val="12"/>
                <w:szCs w:val="12"/>
                <w:color w:val="auto"/>
              </w:rPr>
            </w:pPr>
          </w:p>
        </w:tc>
        <w:tc>
          <w:tcPr>
            <w:tcW w:w="1240" w:type="dxa"/>
            <w:vAlign w:val="bottom"/>
            <w:tcBorders>
              <w:bottom w:val="single" w:sz="8" w:color="E9E9E9"/>
            </w:tcBorders>
            <w:vMerge w:val="continue"/>
            <w:shd w:val="clear" w:color="auto" w:fill="E9E9E9"/>
          </w:tcPr>
          <w:p>
            <w:pPr>
              <w:spacing w:after="0"/>
              <w:rPr>
                <w:sz w:val="12"/>
                <w:szCs w:val="12"/>
                <w:color w:val="auto"/>
              </w:rPr>
            </w:pPr>
          </w:p>
        </w:tc>
        <w:tc>
          <w:tcPr>
            <w:tcW w:w="1220" w:type="dxa"/>
            <w:vAlign w:val="bottom"/>
            <w:tcBorders>
              <w:bottom w:val="single" w:sz="8" w:color="E9E9E9"/>
            </w:tcBorders>
            <w:vMerge w:val="continue"/>
            <w:shd w:val="clear" w:color="auto" w:fill="E9E9E9"/>
          </w:tcPr>
          <w:p>
            <w:pPr>
              <w:spacing w:after="0"/>
              <w:rPr>
                <w:sz w:val="12"/>
                <w:szCs w:val="12"/>
                <w:color w:val="auto"/>
              </w:rPr>
            </w:pPr>
          </w:p>
        </w:tc>
        <w:tc>
          <w:tcPr>
            <w:tcW w:w="1240" w:type="dxa"/>
            <w:vAlign w:val="bottom"/>
            <w:tcBorders>
              <w:bottom w:val="single" w:sz="8" w:color="E9E9E9"/>
            </w:tcBorders>
            <w:vMerge w:val="continue"/>
            <w:shd w:val="clear" w:color="auto" w:fill="E9E9E9"/>
          </w:tcPr>
          <w:p>
            <w:pPr>
              <w:spacing w:after="0"/>
              <w:rPr>
                <w:sz w:val="12"/>
                <w:szCs w:val="12"/>
                <w:color w:val="auto"/>
              </w:rPr>
            </w:pPr>
          </w:p>
        </w:tc>
        <w:tc>
          <w:tcPr>
            <w:tcW w:w="820" w:type="dxa"/>
            <w:vAlign w:val="bottom"/>
            <w:tcBorders>
              <w:bottom w:val="single" w:sz="8" w:color="E9E9E9"/>
            </w:tcBorders>
            <w:vMerge w:val="continue"/>
            <w:shd w:val="clear" w:color="auto" w:fill="E9E9E9"/>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240" w:type="dxa"/>
            <w:vAlign w:val="bottom"/>
            <w:tcBorders>
              <w:top w:val="single" w:sz="8" w:color="E9E9E9"/>
            </w:tcBorders>
            <w:vMerge w:val="continue"/>
            <w:shd w:val="clear" w:color="auto" w:fill="E9E9E9"/>
          </w:tcPr>
          <w:p>
            <w:pPr>
              <w:spacing w:after="0"/>
              <w:rPr>
                <w:sz w:val="4"/>
                <w:szCs w:val="4"/>
                <w:color w:val="auto"/>
              </w:rPr>
            </w:pPr>
          </w:p>
        </w:tc>
        <w:tc>
          <w:tcPr>
            <w:tcW w:w="5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2023</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721,218</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530,000</w:t>
            </w:r>
          </w:p>
        </w:tc>
        <w:tc>
          <w:tcPr>
            <w:tcW w:w="1480" w:type="dxa"/>
            <w:vAlign w:val="bottom"/>
            <w:tcBorders>
              <w:top w:val="single" w:sz="8" w:color="D2D2D2"/>
            </w:tcBorders>
            <w:gridSpan w:val="2"/>
            <w:vMerge w:val="restart"/>
            <w:shd w:val="clear" w:color="auto" w:fill="E9E9E9"/>
          </w:tcPr>
          <w:p>
            <w:pPr>
              <w:ind w:left="460"/>
              <w:spacing w:after="0"/>
              <w:rPr>
                <w:sz w:val="20"/>
                <w:szCs w:val="20"/>
                <w:color w:val="auto"/>
              </w:rPr>
            </w:pPr>
            <w:r>
              <w:rPr>
                <w:rFonts w:ascii="Arial" w:cs="Arial" w:eastAsia="Arial" w:hAnsi="Arial"/>
                <w:sz w:val="16"/>
                <w:szCs w:val="16"/>
                <w:color w:val="202020"/>
              </w:rPr>
              <w:t>— 7,092,975</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17,651</w:t>
            </w:r>
          </w:p>
        </w:tc>
        <w:tc>
          <w:tcPr>
            <w:tcW w:w="82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8,361,844</w:t>
            </w:r>
          </w:p>
        </w:tc>
        <w:tc>
          <w:tcPr>
            <w:tcW w:w="0" w:type="dxa"/>
            <w:vAlign w:val="bottom"/>
          </w:tcPr>
          <w:p>
            <w:pPr>
              <w:spacing w:after="0"/>
              <w:rPr>
                <w:sz w:val="1"/>
                <w:szCs w:val="1"/>
                <w:color w:val="auto"/>
              </w:rPr>
            </w:pPr>
          </w:p>
        </w:tc>
      </w:tr>
      <w:tr>
        <w:trPr>
          <w:trHeight w:val="211"/>
        </w:trPr>
        <w:tc>
          <w:tcPr>
            <w:tcW w:w="2240" w:type="dxa"/>
            <w:vAlign w:val="bottom"/>
            <w:tcBorders>
              <w:bottom w:val="single" w:sz="8" w:color="202020"/>
            </w:tcBorders>
            <w:shd w:val="clear" w:color="auto" w:fill="E9E9E9"/>
          </w:tcPr>
          <w:p>
            <w:pPr>
              <w:spacing w:after="0"/>
              <w:rPr>
                <w:sz w:val="18"/>
                <w:szCs w:val="18"/>
                <w:color w:val="auto"/>
              </w:rPr>
            </w:pPr>
          </w:p>
        </w:tc>
        <w:tc>
          <w:tcPr>
            <w:tcW w:w="520" w:type="dxa"/>
            <w:vAlign w:val="bottom"/>
            <w:tcBorders>
              <w:bottom w:val="single" w:sz="8" w:color="202020"/>
            </w:tcBorders>
            <w:vMerge w:val="continue"/>
            <w:shd w:val="clear" w:color="auto" w:fill="E9E9E9"/>
          </w:tcPr>
          <w:p>
            <w:pPr>
              <w:spacing w:after="0"/>
              <w:rPr>
                <w:sz w:val="18"/>
                <w:szCs w:val="18"/>
                <w:color w:val="auto"/>
              </w:rPr>
            </w:pPr>
          </w:p>
        </w:tc>
        <w:tc>
          <w:tcPr>
            <w:tcW w:w="680" w:type="dxa"/>
            <w:vAlign w:val="bottom"/>
            <w:tcBorders>
              <w:bottom w:val="single" w:sz="8" w:color="202020"/>
            </w:tcBorders>
            <w:vMerge w:val="continue"/>
            <w:shd w:val="clear" w:color="auto" w:fill="E9E9E9"/>
          </w:tcPr>
          <w:p>
            <w:pPr>
              <w:spacing w:after="0"/>
              <w:rPr>
                <w:sz w:val="18"/>
                <w:szCs w:val="18"/>
                <w:color w:val="auto"/>
              </w:rPr>
            </w:pPr>
          </w:p>
        </w:tc>
        <w:tc>
          <w:tcPr>
            <w:tcW w:w="680" w:type="dxa"/>
            <w:vAlign w:val="bottom"/>
            <w:tcBorders>
              <w:bottom w:val="single" w:sz="8" w:color="202020"/>
            </w:tcBorders>
            <w:vMerge w:val="continue"/>
            <w:shd w:val="clear" w:color="auto" w:fill="E9E9E9"/>
          </w:tcPr>
          <w:p>
            <w:pPr>
              <w:spacing w:after="0"/>
              <w:rPr>
                <w:sz w:val="18"/>
                <w:szCs w:val="18"/>
                <w:color w:val="auto"/>
              </w:rPr>
            </w:pPr>
          </w:p>
        </w:tc>
        <w:tc>
          <w:tcPr>
            <w:tcW w:w="1480" w:type="dxa"/>
            <w:vAlign w:val="bottom"/>
            <w:tcBorders>
              <w:bottom w:val="single" w:sz="8" w:color="202020"/>
            </w:tcBorders>
            <w:gridSpan w:val="2"/>
            <w:vMerge w:val="continue"/>
            <w:shd w:val="clear" w:color="auto" w:fill="E9E9E9"/>
          </w:tcPr>
          <w:p>
            <w:pPr>
              <w:spacing w:after="0"/>
              <w:rPr>
                <w:sz w:val="18"/>
                <w:szCs w:val="18"/>
                <w:color w:val="auto"/>
              </w:rPr>
            </w:pPr>
          </w:p>
        </w:tc>
        <w:tc>
          <w:tcPr>
            <w:tcW w:w="1240" w:type="dxa"/>
            <w:vAlign w:val="bottom"/>
            <w:tcBorders>
              <w:bottom w:val="single" w:sz="8" w:color="202020"/>
            </w:tcBorders>
            <w:vMerge w:val="continue"/>
            <w:shd w:val="clear" w:color="auto" w:fill="E9E9E9"/>
          </w:tcPr>
          <w:p>
            <w:pPr>
              <w:spacing w:after="0"/>
              <w:rPr>
                <w:sz w:val="18"/>
                <w:szCs w:val="18"/>
                <w:color w:val="auto"/>
              </w:rPr>
            </w:pPr>
          </w:p>
        </w:tc>
        <w:tc>
          <w:tcPr>
            <w:tcW w:w="1220" w:type="dxa"/>
            <w:vAlign w:val="bottom"/>
            <w:tcBorders>
              <w:bottom w:val="single" w:sz="8" w:color="202020"/>
            </w:tcBorders>
            <w:vMerge w:val="continue"/>
            <w:shd w:val="clear" w:color="auto" w:fill="E9E9E9"/>
          </w:tcPr>
          <w:p>
            <w:pPr>
              <w:spacing w:after="0"/>
              <w:rPr>
                <w:sz w:val="18"/>
                <w:szCs w:val="18"/>
                <w:color w:val="auto"/>
              </w:rPr>
            </w:pPr>
          </w:p>
        </w:tc>
        <w:tc>
          <w:tcPr>
            <w:tcW w:w="1240" w:type="dxa"/>
            <w:vAlign w:val="bottom"/>
            <w:tcBorders>
              <w:bottom w:val="single" w:sz="8" w:color="202020"/>
            </w:tcBorders>
            <w:vMerge w:val="continue"/>
            <w:shd w:val="clear" w:color="auto" w:fill="E9E9E9"/>
          </w:tcPr>
          <w:p>
            <w:pPr>
              <w:spacing w:after="0"/>
              <w:rPr>
                <w:sz w:val="18"/>
                <w:szCs w:val="18"/>
                <w:color w:val="auto"/>
              </w:rPr>
            </w:pPr>
          </w:p>
        </w:tc>
        <w:tc>
          <w:tcPr>
            <w:tcW w:w="820" w:type="dxa"/>
            <w:vAlign w:val="bottom"/>
            <w:tcBorders>
              <w:bottom w:val="single" w:sz="8" w:color="202020"/>
            </w:tcBorders>
            <w:vMerge w:val="continue"/>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60"/>
              <w:spacing w:after="0"/>
              <w:rPr>
                <w:sz w:val="20"/>
                <w:szCs w:val="20"/>
                <w:color w:val="auto"/>
              </w:rPr>
            </w:pPr>
            <w:r>
              <w:rPr>
                <w:rFonts w:ascii="Arial" w:cs="Arial" w:eastAsia="Arial" w:hAnsi="Arial"/>
                <w:sz w:val="16"/>
                <w:szCs w:val="16"/>
                <w:b w:val="1"/>
                <w:bCs w:val="1"/>
                <w:color w:val="202020"/>
              </w:rPr>
              <w:t>Tibor Keler., Ph.D.</w:t>
            </w:r>
          </w:p>
        </w:tc>
        <w:tc>
          <w:tcPr>
            <w:tcW w:w="520" w:type="dxa"/>
            <w:vAlign w:val="bottom"/>
          </w:tcPr>
          <w:p>
            <w:pPr>
              <w:jc w:val="right"/>
              <w:spacing w:after="0"/>
              <w:rPr>
                <w:sz w:val="20"/>
                <w:szCs w:val="20"/>
                <w:color w:val="auto"/>
              </w:rPr>
            </w:pPr>
            <w:r>
              <w:rPr>
                <w:rFonts w:ascii="Arial" w:cs="Arial" w:eastAsia="Arial" w:hAnsi="Arial"/>
                <w:sz w:val="16"/>
                <w:szCs w:val="16"/>
                <w:color w:val="202020"/>
              </w:rPr>
              <w:t>2025</w:t>
            </w:r>
          </w:p>
        </w:tc>
        <w:tc>
          <w:tcPr>
            <w:tcW w:w="680" w:type="dxa"/>
            <w:vAlign w:val="bottom"/>
          </w:tcPr>
          <w:p>
            <w:pPr>
              <w:jc w:val="center"/>
              <w:spacing w:after="0"/>
              <w:rPr>
                <w:sz w:val="20"/>
                <w:szCs w:val="20"/>
                <w:color w:val="auto"/>
              </w:rPr>
            </w:pPr>
            <w:r>
              <w:rPr>
                <w:rFonts w:ascii="Arial" w:cs="Arial" w:eastAsia="Arial" w:hAnsi="Arial"/>
                <w:sz w:val="16"/>
                <w:szCs w:val="16"/>
                <w:color w:val="202020"/>
              </w:rPr>
              <w:t>552,699</w:t>
            </w:r>
          </w:p>
        </w:tc>
        <w:tc>
          <w:tcPr>
            <w:tcW w:w="680" w:type="dxa"/>
            <w:vAlign w:val="bottom"/>
          </w:tcPr>
          <w:p>
            <w:pPr>
              <w:jc w:val="center"/>
              <w:spacing w:after="0"/>
              <w:rPr>
                <w:sz w:val="20"/>
                <w:szCs w:val="20"/>
                <w:color w:val="auto"/>
              </w:rPr>
            </w:pPr>
            <w:r>
              <w:rPr>
                <w:rFonts w:ascii="Arial" w:cs="Arial" w:eastAsia="Arial" w:hAnsi="Arial"/>
                <w:sz w:val="16"/>
                <w:szCs w:val="16"/>
                <w:color w:val="202020"/>
              </w:rPr>
              <w:t>304,366</w:t>
            </w:r>
          </w:p>
        </w:tc>
        <w:tc>
          <w:tcPr>
            <w:tcW w:w="1480" w:type="dxa"/>
            <w:vAlign w:val="bottom"/>
            <w:gridSpan w:val="2"/>
          </w:tcPr>
          <w:p>
            <w:pPr>
              <w:ind w:left="460"/>
              <w:spacing w:after="0"/>
              <w:rPr>
                <w:sz w:val="20"/>
                <w:szCs w:val="20"/>
                <w:color w:val="auto"/>
              </w:rPr>
            </w:pPr>
            <w:r>
              <w:rPr>
                <w:rFonts w:ascii="Arial" w:cs="Arial" w:eastAsia="Arial" w:hAnsi="Arial"/>
                <w:sz w:val="16"/>
                <w:szCs w:val="16"/>
                <w:color w:val="202020"/>
              </w:rPr>
              <w:t>— 1,248,553</w:t>
            </w:r>
          </w:p>
        </w:tc>
        <w:tc>
          <w:tcPr>
            <w:tcW w:w="1240" w:type="dxa"/>
            <w:vAlign w:val="bottom"/>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Pr>
          <w:p>
            <w:pPr>
              <w:jc w:val="right"/>
              <w:spacing w:after="0"/>
              <w:rPr>
                <w:sz w:val="20"/>
                <w:szCs w:val="20"/>
                <w:color w:val="auto"/>
              </w:rPr>
            </w:pPr>
            <w:r>
              <w:rPr>
                <w:rFonts w:ascii="Arial" w:cs="Arial" w:eastAsia="Arial" w:hAnsi="Arial"/>
                <w:sz w:val="16"/>
                <w:szCs w:val="16"/>
                <w:color w:val="202020"/>
              </w:rPr>
              <w:t>10,099</w:t>
            </w:r>
          </w:p>
        </w:tc>
        <w:tc>
          <w:tcPr>
            <w:tcW w:w="820" w:type="dxa"/>
            <w:vAlign w:val="bottom"/>
          </w:tcPr>
          <w:p>
            <w:pPr>
              <w:jc w:val="center"/>
              <w:spacing w:after="0"/>
              <w:rPr>
                <w:sz w:val="20"/>
                <w:szCs w:val="20"/>
                <w:color w:val="auto"/>
              </w:rPr>
            </w:pPr>
            <w:r>
              <w:rPr>
                <w:rFonts w:ascii="Arial" w:cs="Arial" w:eastAsia="Arial" w:hAnsi="Arial"/>
                <w:sz w:val="16"/>
                <w:szCs w:val="16"/>
                <w:color w:val="202020"/>
              </w:rPr>
              <w:t>2,115,717</w:t>
            </w:r>
          </w:p>
        </w:tc>
        <w:tc>
          <w:tcPr>
            <w:tcW w:w="0" w:type="dxa"/>
            <w:vAlign w:val="bottom"/>
          </w:tcPr>
          <w:p>
            <w:pPr>
              <w:spacing w:after="0"/>
              <w:rPr>
                <w:sz w:val="1"/>
                <w:szCs w:val="1"/>
                <w:color w:val="auto"/>
              </w:rPr>
            </w:pPr>
          </w:p>
        </w:tc>
      </w:tr>
      <w:tr>
        <w:trPr>
          <w:trHeight w:val="56"/>
        </w:trPr>
        <w:tc>
          <w:tcPr>
            <w:tcW w:w="2240" w:type="dxa"/>
            <w:vAlign w:val="bottom"/>
            <w:vMerge w:val="restart"/>
          </w:tcPr>
          <w:p>
            <w:pPr>
              <w:ind w:left="60"/>
              <w:spacing w:after="0"/>
              <w:rPr>
                <w:sz w:val="20"/>
                <w:szCs w:val="20"/>
                <w:color w:val="auto"/>
              </w:rPr>
            </w:pPr>
            <w:r>
              <w:rPr>
                <w:rFonts w:ascii="Arial" w:cs="Arial" w:eastAsia="Arial" w:hAnsi="Arial"/>
                <w:sz w:val="16"/>
                <w:szCs w:val="16"/>
                <w:color w:val="202020"/>
              </w:rPr>
              <w:t>Executive Vice President and</w:t>
            </w:r>
          </w:p>
        </w:tc>
        <w:tc>
          <w:tcPr>
            <w:tcW w:w="520" w:type="dxa"/>
            <w:vAlign w:val="bottom"/>
            <w:tcBorders>
              <w:bottom w:val="single" w:sz="8" w:color="D2D2D2"/>
            </w:tcBorders>
          </w:tcPr>
          <w:p>
            <w:pPr>
              <w:spacing w:after="0"/>
              <w:rPr>
                <w:sz w:val="4"/>
                <w:szCs w:val="4"/>
                <w:color w:val="auto"/>
              </w:rPr>
            </w:pPr>
          </w:p>
        </w:tc>
        <w:tc>
          <w:tcPr>
            <w:tcW w:w="680" w:type="dxa"/>
            <w:vAlign w:val="bottom"/>
            <w:tcBorders>
              <w:bottom w:val="single" w:sz="8" w:color="D2D2D2"/>
            </w:tcBorders>
          </w:tcPr>
          <w:p>
            <w:pPr>
              <w:spacing w:after="0"/>
              <w:rPr>
                <w:sz w:val="4"/>
                <w:szCs w:val="4"/>
                <w:color w:val="auto"/>
              </w:rPr>
            </w:pPr>
          </w:p>
        </w:tc>
        <w:tc>
          <w:tcPr>
            <w:tcW w:w="680" w:type="dxa"/>
            <w:vAlign w:val="bottom"/>
            <w:tcBorders>
              <w:bottom w:val="single" w:sz="8" w:color="D2D2D2"/>
            </w:tcBorders>
          </w:tcPr>
          <w:p>
            <w:pPr>
              <w:spacing w:after="0"/>
              <w:rPr>
                <w:sz w:val="4"/>
                <w:szCs w:val="4"/>
                <w:color w:val="auto"/>
              </w:rPr>
            </w:pPr>
          </w:p>
        </w:tc>
        <w:tc>
          <w:tcPr>
            <w:tcW w:w="700" w:type="dxa"/>
            <w:vAlign w:val="bottom"/>
            <w:tcBorders>
              <w:bottom w:val="single" w:sz="8" w:color="D2D2D2"/>
            </w:tcBorders>
          </w:tcPr>
          <w:p>
            <w:pPr>
              <w:spacing w:after="0"/>
              <w:rPr>
                <w:sz w:val="4"/>
                <w:szCs w:val="4"/>
                <w:color w:val="auto"/>
              </w:rPr>
            </w:pPr>
          </w:p>
        </w:tc>
        <w:tc>
          <w:tcPr>
            <w:tcW w:w="780" w:type="dxa"/>
            <w:vAlign w:val="bottom"/>
            <w:tcBorders>
              <w:bottom w:val="single" w:sz="8" w:color="D2D2D2"/>
            </w:tcBorders>
          </w:tcPr>
          <w:p>
            <w:pPr>
              <w:spacing w:after="0"/>
              <w:rPr>
                <w:sz w:val="4"/>
                <w:szCs w:val="4"/>
                <w:color w:val="auto"/>
              </w:rPr>
            </w:pPr>
          </w:p>
        </w:tc>
        <w:tc>
          <w:tcPr>
            <w:tcW w:w="1240" w:type="dxa"/>
            <w:vAlign w:val="bottom"/>
            <w:tcBorders>
              <w:bottom w:val="single" w:sz="8" w:color="D2D2D2"/>
            </w:tcBorders>
          </w:tcPr>
          <w:p>
            <w:pPr>
              <w:spacing w:after="0"/>
              <w:rPr>
                <w:sz w:val="4"/>
                <w:szCs w:val="4"/>
                <w:color w:val="auto"/>
              </w:rPr>
            </w:pPr>
          </w:p>
        </w:tc>
        <w:tc>
          <w:tcPr>
            <w:tcW w:w="1220" w:type="dxa"/>
            <w:vAlign w:val="bottom"/>
            <w:tcBorders>
              <w:bottom w:val="single" w:sz="8" w:color="D2D2D2"/>
            </w:tcBorders>
          </w:tcPr>
          <w:p>
            <w:pPr>
              <w:spacing w:after="0"/>
              <w:rPr>
                <w:sz w:val="4"/>
                <w:szCs w:val="4"/>
                <w:color w:val="auto"/>
              </w:rPr>
            </w:pPr>
          </w:p>
        </w:tc>
        <w:tc>
          <w:tcPr>
            <w:tcW w:w="1240" w:type="dxa"/>
            <w:vAlign w:val="bottom"/>
            <w:tcBorders>
              <w:bottom w:val="single" w:sz="8" w:color="D2D2D2"/>
            </w:tcBorders>
          </w:tcPr>
          <w:p>
            <w:pPr>
              <w:spacing w:after="0"/>
              <w:rPr>
                <w:sz w:val="4"/>
                <w:szCs w:val="4"/>
                <w:color w:val="auto"/>
              </w:rPr>
            </w:pPr>
          </w:p>
        </w:tc>
        <w:tc>
          <w:tcPr>
            <w:tcW w:w="820" w:type="dxa"/>
            <w:vAlign w:val="bottom"/>
            <w:tcBorders>
              <w:bottom w:val="single" w:sz="8" w:color="D2D2D2"/>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240" w:type="dxa"/>
            <w:vAlign w:val="bottom"/>
            <w:vMerge w:val="continue"/>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202020"/>
              </w:rPr>
              <w:t>2024</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530,727</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295,000</w:t>
            </w:r>
          </w:p>
        </w:tc>
        <w:tc>
          <w:tcPr>
            <w:tcW w:w="1480" w:type="dxa"/>
            <w:vAlign w:val="bottom"/>
            <w:gridSpan w:val="2"/>
            <w:vMerge w:val="restart"/>
          </w:tcPr>
          <w:p>
            <w:pPr>
              <w:ind w:left="460"/>
              <w:spacing w:after="0"/>
              <w:rPr>
                <w:sz w:val="20"/>
                <w:szCs w:val="20"/>
                <w:color w:val="auto"/>
              </w:rPr>
            </w:pPr>
            <w:r>
              <w:rPr>
                <w:rFonts w:ascii="Arial" w:cs="Arial" w:eastAsia="Arial" w:hAnsi="Arial"/>
                <w:sz w:val="16"/>
                <w:szCs w:val="16"/>
                <w:color w:val="202020"/>
              </w:rPr>
              <w:t>— 2,450,178</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10,073</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202020"/>
              </w:rPr>
              <w:t>3,285,978</w:t>
            </w:r>
          </w:p>
        </w:tc>
        <w:tc>
          <w:tcPr>
            <w:tcW w:w="0" w:type="dxa"/>
            <w:vAlign w:val="bottom"/>
          </w:tcPr>
          <w:p>
            <w:pPr>
              <w:spacing w:after="0"/>
              <w:rPr>
                <w:sz w:val="1"/>
                <w:szCs w:val="1"/>
                <w:color w:val="auto"/>
              </w:rPr>
            </w:pPr>
          </w:p>
        </w:tc>
      </w:tr>
      <w:tr>
        <w:trPr>
          <w:trHeight w:val="113"/>
        </w:trPr>
        <w:tc>
          <w:tcPr>
            <w:tcW w:w="2240" w:type="dxa"/>
            <w:vAlign w:val="bottom"/>
            <w:vMerge w:val="restart"/>
          </w:tcPr>
          <w:p>
            <w:pPr>
              <w:ind w:left="60"/>
              <w:spacing w:after="0"/>
              <w:rPr>
                <w:sz w:val="20"/>
                <w:szCs w:val="20"/>
                <w:color w:val="auto"/>
              </w:rPr>
            </w:pPr>
            <w:r>
              <w:rPr>
                <w:rFonts w:ascii="Arial" w:cs="Arial" w:eastAsia="Arial" w:hAnsi="Arial"/>
                <w:sz w:val="16"/>
                <w:szCs w:val="16"/>
                <w:color w:val="202020"/>
              </w:rPr>
              <w:t>Chief Scientific Officer</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240" w:type="dxa"/>
            <w:vAlign w:val="bottom"/>
            <w:vMerge w:val="continue"/>
          </w:tcPr>
          <w:p>
            <w:pPr>
              <w:spacing w:after="0"/>
              <w:rPr>
                <w:sz w:val="2"/>
                <w:szCs w:val="2"/>
                <w:color w:val="auto"/>
              </w:rPr>
            </w:pPr>
          </w:p>
        </w:tc>
        <w:tc>
          <w:tcPr>
            <w:tcW w:w="520" w:type="dxa"/>
            <w:vAlign w:val="bottom"/>
            <w:tcBorders>
              <w:bottom w:val="single" w:sz="8" w:color="D2D2D2"/>
            </w:tcBorders>
          </w:tcPr>
          <w:p>
            <w:pPr>
              <w:spacing w:after="0"/>
              <w:rPr>
                <w:sz w:val="2"/>
                <w:szCs w:val="2"/>
                <w:color w:val="auto"/>
              </w:rPr>
            </w:pPr>
          </w:p>
        </w:tc>
        <w:tc>
          <w:tcPr>
            <w:tcW w:w="680" w:type="dxa"/>
            <w:vAlign w:val="bottom"/>
            <w:tcBorders>
              <w:bottom w:val="single" w:sz="8" w:color="D2D2D2"/>
            </w:tcBorders>
          </w:tcPr>
          <w:p>
            <w:pPr>
              <w:spacing w:after="0"/>
              <w:rPr>
                <w:sz w:val="2"/>
                <w:szCs w:val="2"/>
                <w:color w:val="auto"/>
              </w:rPr>
            </w:pPr>
          </w:p>
        </w:tc>
        <w:tc>
          <w:tcPr>
            <w:tcW w:w="680" w:type="dxa"/>
            <w:vAlign w:val="bottom"/>
            <w:tcBorders>
              <w:bottom w:val="single" w:sz="8" w:color="D2D2D2"/>
            </w:tcBorders>
          </w:tcPr>
          <w:p>
            <w:pPr>
              <w:spacing w:after="0"/>
              <w:rPr>
                <w:sz w:val="2"/>
                <w:szCs w:val="2"/>
                <w:color w:val="auto"/>
              </w:rPr>
            </w:pPr>
          </w:p>
        </w:tc>
        <w:tc>
          <w:tcPr>
            <w:tcW w:w="700" w:type="dxa"/>
            <w:vAlign w:val="bottom"/>
            <w:tcBorders>
              <w:bottom w:val="single" w:sz="8" w:color="D2D2D2"/>
            </w:tcBorders>
          </w:tcPr>
          <w:p>
            <w:pPr>
              <w:spacing w:after="0"/>
              <w:rPr>
                <w:sz w:val="2"/>
                <w:szCs w:val="2"/>
                <w:color w:val="auto"/>
              </w:rPr>
            </w:pPr>
          </w:p>
        </w:tc>
        <w:tc>
          <w:tcPr>
            <w:tcW w:w="780" w:type="dxa"/>
            <w:vAlign w:val="bottom"/>
            <w:tcBorders>
              <w:bottom w:val="single" w:sz="8" w:color="D2D2D2"/>
            </w:tcBorders>
          </w:tcPr>
          <w:p>
            <w:pPr>
              <w:spacing w:after="0"/>
              <w:rPr>
                <w:sz w:val="2"/>
                <w:szCs w:val="2"/>
                <w:color w:val="auto"/>
              </w:rPr>
            </w:pPr>
          </w:p>
        </w:tc>
        <w:tc>
          <w:tcPr>
            <w:tcW w:w="1240" w:type="dxa"/>
            <w:vAlign w:val="bottom"/>
            <w:tcBorders>
              <w:bottom w:val="single" w:sz="8" w:color="D2D2D2"/>
            </w:tcBorders>
          </w:tcPr>
          <w:p>
            <w:pPr>
              <w:spacing w:after="0"/>
              <w:rPr>
                <w:sz w:val="2"/>
                <w:szCs w:val="2"/>
                <w:color w:val="auto"/>
              </w:rPr>
            </w:pPr>
          </w:p>
        </w:tc>
        <w:tc>
          <w:tcPr>
            <w:tcW w:w="1220" w:type="dxa"/>
            <w:vAlign w:val="bottom"/>
            <w:tcBorders>
              <w:bottom w:val="single" w:sz="8" w:color="D2D2D2"/>
            </w:tcBorders>
          </w:tcPr>
          <w:p>
            <w:pPr>
              <w:spacing w:after="0"/>
              <w:rPr>
                <w:sz w:val="2"/>
                <w:szCs w:val="2"/>
                <w:color w:val="auto"/>
              </w:rPr>
            </w:pPr>
          </w:p>
        </w:tc>
        <w:tc>
          <w:tcPr>
            <w:tcW w:w="1240" w:type="dxa"/>
            <w:vAlign w:val="bottom"/>
            <w:tcBorders>
              <w:bottom w:val="single" w:sz="8" w:color="D2D2D2"/>
            </w:tcBorders>
          </w:tcPr>
          <w:p>
            <w:pPr>
              <w:spacing w:after="0"/>
              <w:rPr>
                <w:sz w:val="2"/>
                <w:szCs w:val="2"/>
                <w:color w:val="auto"/>
              </w:rPr>
            </w:pPr>
          </w:p>
        </w:tc>
        <w:tc>
          <w:tcPr>
            <w:tcW w:w="820" w:type="dxa"/>
            <w:vAlign w:val="bottom"/>
            <w:tcBorders>
              <w:bottom w:val="single" w:sz="8" w:color="D2D2D2"/>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240" w:type="dxa"/>
            <w:vAlign w:val="bottom"/>
            <w:vMerge w:val="continue"/>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202020"/>
              </w:rPr>
              <w:t>2023</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509,804</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291,000</w:t>
            </w:r>
          </w:p>
        </w:tc>
        <w:tc>
          <w:tcPr>
            <w:tcW w:w="1480" w:type="dxa"/>
            <w:vAlign w:val="bottom"/>
            <w:gridSpan w:val="2"/>
            <w:vMerge w:val="restart"/>
          </w:tcPr>
          <w:p>
            <w:pPr>
              <w:ind w:left="460"/>
              <w:spacing w:after="0"/>
              <w:rPr>
                <w:sz w:val="20"/>
                <w:szCs w:val="20"/>
                <w:color w:val="auto"/>
              </w:rPr>
            </w:pPr>
            <w:r>
              <w:rPr>
                <w:rFonts w:ascii="Arial" w:cs="Arial" w:eastAsia="Arial" w:hAnsi="Arial"/>
                <w:sz w:val="16"/>
                <w:szCs w:val="16"/>
                <w:color w:val="202020"/>
              </w:rPr>
              <w:t>— 2,610,215</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9,590</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202020"/>
              </w:rPr>
              <w:t>3,420,609</w:t>
            </w:r>
          </w:p>
        </w:tc>
        <w:tc>
          <w:tcPr>
            <w:tcW w:w="0" w:type="dxa"/>
            <w:vAlign w:val="bottom"/>
          </w:tcPr>
          <w:p>
            <w:pPr>
              <w:spacing w:after="0"/>
              <w:rPr>
                <w:sz w:val="1"/>
                <w:szCs w:val="1"/>
                <w:color w:val="auto"/>
              </w:rPr>
            </w:pPr>
          </w:p>
        </w:tc>
      </w:tr>
      <w:tr>
        <w:trPr>
          <w:trHeight w:val="212"/>
        </w:trPr>
        <w:tc>
          <w:tcPr>
            <w:tcW w:w="2240" w:type="dxa"/>
            <w:vAlign w:val="bottom"/>
            <w:tcBorders>
              <w:bottom w:val="single" w:sz="8" w:color="202020"/>
            </w:tcBorders>
          </w:tcPr>
          <w:p>
            <w:pPr>
              <w:spacing w:after="0"/>
              <w:rPr>
                <w:sz w:val="18"/>
                <w:szCs w:val="18"/>
                <w:color w:val="auto"/>
              </w:rPr>
            </w:pPr>
          </w:p>
        </w:tc>
        <w:tc>
          <w:tcPr>
            <w:tcW w:w="520" w:type="dxa"/>
            <w:vAlign w:val="bottom"/>
            <w:tcBorders>
              <w:bottom w:val="single" w:sz="8" w:color="202020"/>
            </w:tcBorders>
            <w:vMerge w:val="continue"/>
          </w:tcPr>
          <w:p>
            <w:pPr>
              <w:spacing w:after="0"/>
              <w:rPr>
                <w:sz w:val="18"/>
                <w:szCs w:val="18"/>
                <w:color w:val="auto"/>
              </w:rPr>
            </w:pPr>
          </w:p>
        </w:tc>
        <w:tc>
          <w:tcPr>
            <w:tcW w:w="680" w:type="dxa"/>
            <w:vAlign w:val="bottom"/>
            <w:tcBorders>
              <w:bottom w:val="single" w:sz="8" w:color="202020"/>
            </w:tcBorders>
            <w:vMerge w:val="continue"/>
          </w:tcPr>
          <w:p>
            <w:pPr>
              <w:spacing w:after="0"/>
              <w:rPr>
                <w:sz w:val="18"/>
                <w:szCs w:val="18"/>
                <w:color w:val="auto"/>
              </w:rPr>
            </w:pPr>
          </w:p>
        </w:tc>
        <w:tc>
          <w:tcPr>
            <w:tcW w:w="680" w:type="dxa"/>
            <w:vAlign w:val="bottom"/>
            <w:tcBorders>
              <w:bottom w:val="single" w:sz="8" w:color="202020"/>
            </w:tcBorders>
            <w:vMerge w:val="continue"/>
          </w:tcPr>
          <w:p>
            <w:pPr>
              <w:spacing w:after="0"/>
              <w:rPr>
                <w:sz w:val="18"/>
                <w:szCs w:val="18"/>
                <w:color w:val="auto"/>
              </w:rPr>
            </w:pPr>
          </w:p>
        </w:tc>
        <w:tc>
          <w:tcPr>
            <w:tcW w:w="1480" w:type="dxa"/>
            <w:vAlign w:val="bottom"/>
            <w:tcBorders>
              <w:bottom w:val="single" w:sz="8" w:color="202020"/>
            </w:tcBorders>
            <w:gridSpan w:val="2"/>
            <w:vMerge w:val="continue"/>
          </w:tcPr>
          <w:p>
            <w:pPr>
              <w:spacing w:after="0"/>
              <w:rPr>
                <w:sz w:val="18"/>
                <w:szCs w:val="18"/>
                <w:color w:val="auto"/>
              </w:rPr>
            </w:pPr>
          </w:p>
        </w:tc>
        <w:tc>
          <w:tcPr>
            <w:tcW w:w="1240" w:type="dxa"/>
            <w:vAlign w:val="bottom"/>
            <w:tcBorders>
              <w:bottom w:val="single" w:sz="8" w:color="202020"/>
            </w:tcBorders>
            <w:vMerge w:val="continue"/>
          </w:tcPr>
          <w:p>
            <w:pPr>
              <w:spacing w:after="0"/>
              <w:rPr>
                <w:sz w:val="18"/>
                <w:szCs w:val="18"/>
                <w:color w:val="auto"/>
              </w:rPr>
            </w:pPr>
          </w:p>
        </w:tc>
        <w:tc>
          <w:tcPr>
            <w:tcW w:w="1220" w:type="dxa"/>
            <w:vAlign w:val="bottom"/>
            <w:tcBorders>
              <w:bottom w:val="single" w:sz="8" w:color="202020"/>
            </w:tcBorders>
            <w:vMerge w:val="continue"/>
          </w:tcPr>
          <w:p>
            <w:pPr>
              <w:spacing w:after="0"/>
              <w:rPr>
                <w:sz w:val="18"/>
                <w:szCs w:val="18"/>
                <w:color w:val="auto"/>
              </w:rPr>
            </w:pPr>
          </w:p>
        </w:tc>
        <w:tc>
          <w:tcPr>
            <w:tcW w:w="1240" w:type="dxa"/>
            <w:vAlign w:val="bottom"/>
            <w:tcBorders>
              <w:bottom w:val="single" w:sz="8" w:color="202020"/>
            </w:tcBorders>
            <w:vMerge w:val="continue"/>
          </w:tcPr>
          <w:p>
            <w:pPr>
              <w:spacing w:after="0"/>
              <w:rPr>
                <w:sz w:val="18"/>
                <w:szCs w:val="18"/>
                <w:color w:val="auto"/>
              </w:rPr>
            </w:pPr>
          </w:p>
        </w:tc>
        <w:tc>
          <w:tcPr>
            <w:tcW w:w="820" w:type="dxa"/>
            <w:vAlign w:val="bottom"/>
            <w:tcBorders>
              <w:bottom w:val="single" w:sz="8" w:color="2020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240" w:type="dxa"/>
            <w:vAlign w:val="bottom"/>
            <w:tcBorders>
              <w:bottom w:val="single" w:sz="8" w:color="E9E9E9"/>
            </w:tcBorders>
            <w:shd w:val="clear" w:color="auto" w:fill="E9E9E9"/>
          </w:tcPr>
          <w:p>
            <w:pPr>
              <w:ind w:left="60"/>
              <w:spacing w:after="0" w:line="201" w:lineRule="exact"/>
              <w:rPr>
                <w:sz w:val="20"/>
                <w:szCs w:val="20"/>
                <w:color w:val="auto"/>
              </w:rPr>
            </w:pPr>
            <w:r>
              <w:rPr>
                <w:rFonts w:ascii="Arial" w:cs="Arial" w:eastAsia="Arial" w:hAnsi="Arial"/>
                <w:sz w:val="16"/>
                <w:szCs w:val="16"/>
                <w:b w:val="1"/>
                <w:bCs w:val="1"/>
                <w:color w:val="202020"/>
              </w:rPr>
              <w:t>Elizabeth Crowley</w:t>
            </w:r>
            <w:r>
              <w:rPr>
                <w:rFonts w:ascii="Arial" w:cs="Arial" w:eastAsia="Arial" w:hAnsi="Arial"/>
                <w:sz w:val="19"/>
                <w:szCs w:val="19"/>
                <w:b w:val="1"/>
                <w:bCs w:val="1"/>
                <w:color w:val="202020"/>
                <w:vertAlign w:val="superscript"/>
              </w:rPr>
              <w:t>(4)</w:t>
            </w:r>
          </w:p>
        </w:tc>
        <w:tc>
          <w:tcPr>
            <w:tcW w:w="5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2025</w:t>
            </w:r>
          </w:p>
        </w:tc>
        <w:tc>
          <w:tcPr>
            <w:tcW w:w="6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473,883</w:t>
            </w:r>
          </w:p>
        </w:tc>
        <w:tc>
          <w:tcPr>
            <w:tcW w:w="6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260,000</w:t>
            </w:r>
          </w:p>
        </w:tc>
        <w:tc>
          <w:tcPr>
            <w:tcW w:w="1480" w:type="dxa"/>
            <w:vAlign w:val="bottom"/>
            <w:tcBorders>
              <w:bottom w:val="single" w:sz="8" w:color="E9E9E9"/>
            </w:tcBorders>
            <w:gridSpan w:val="2"/>
            <w:shd w:val="clear" w:color="auto" w:fill="E9E9E9"/>
          </w:tcPr>
          <w:p>
            <w:pPr>
              <w:ind w:left="460"/>
              <w:spacing w:after="0"/>
              <w:rPr>
                <w:sz w:val="20"/>
                <w:szCs w:val="20"/>
                <w:color w:val="auto"/>
              </w:rPr>
            </w:pPr>
            <w:r>
              <w:rPr>
                <w:rFonts w:ascii="Arial" w:cs="Arial" w:eastAsia="Arial" w:hAnsi="Arial"/>
                <w:sz w:val="16"/>
                <w:szCs w:val="16"/>
                <w:color w:val="202020"/>
              </w:rPr>
              <w:t>— 1,141,151</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10,175</w:t>
            </w:r>
          </w:p>
        </w:tc>
        <w:tc>
          <w:tcPr>
            <w:tcW w:w="82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1,885,209</w:t>
            </w:r>
          </w:p>
        </w:tc>
        <w:tc>
          <w:tcPr>
            <w:tcW w:w="0" w:type="dxa"/>
            <w:vAlign w:val="bottom"/>
          </w:tcPr>
          <w:p>
            <w:pPr>
              <w:spacing w:after="0"/>
              <w:rPr>
                <w:sz w:val="1"/>
                <w:szCs w:val="1"/>
                <w:color w:val="auto"/>
              </w:rPr>
            </w:pPr>
          </w:p>
        </w:tc>
      </w:tr>
      <w:tr>
        <w:trPr>
          <w:trHeight w:val="119"/>
        </w:trPr>
        <w:tc>
          <w:tcPr>
            <w:tcW w:w="2240" w:type="dxa"/>
            <w:vAlign w:val="bottom"/>
            <w:tcBorders>
              <w:top w:val="single" w:sz="8" w:color="E9E9E9"/>
            </w:tcBorders>
            <w:shd w:val="clear" w:color="auto" w:fill="E9E9E9"/>
          </w:tcPr>
          <w:p>
            <w:pPr>
              <w:ind w:left="60"/>
              <w:spacing w:after="0" w:line="119" w:lineRule="exact"/>
              <w:rPr>
                <w:sz w:val="20"/>
                <w:szCs w:val="20"/>
                <w:color w:val="auto"/>
              </w:rPr>
            </w:pPr>
            <w:r>
              <w:rPr>
                <w:rFonts w:ascii="Arial" w:cs="Arial" w:eastAsia="Arial" w:hAnsi="Arial"/>
                <w:sz w:val="13"/>
                <w:szCs w:val="13"/>
                <w:color w:val="202020"/>
              </w:rPr>
              <w:t>Senior Vice President,</w:t>
            </w:r>
          </w:p>
        </w:tc>
        <w:tc>
          <w:tcPr>
            <w:tcW w:w="5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2024</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446,905</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234,000</w:t>
            </w:r>
          </w:p>
        </w:tc>
        <w:tc>
          <w:tcPr>
            <w:tcW w:w="1480" w:type="dxa"/>
            <w:vAlign w:val="bottom"/>
            <w:tcBorders>
              <w:top w:val="single" w:sz="8" w:color="D2D2D2"/>
            </w:tcBorders>
            <w:gridSpan w:val="2"/>
            <w:vMerge w:val="restart"/>
            <w:shd w:val="clear" w:color="auto" w:fill="E9E9E9"/>
          </w:tcPr>
          <w:p>
            <w:pPr>
              <w:ind w:left="460"/>
              <w:spacing w:after="0"/>
              <w:rPr>
                <w:sz w:val="20"/>
                <w:szCs w:val="20"/>
                <w:color w:val="auto"/>
              </w:rPr>
            </w:pPr>
            <w:r>
              <w:rPr>
                <w:rFonts w:ascii="Arial" w:cs="Arial" w:eastAsia="Arial" w:hAnsi="Arial"/>
                <w:sz w:val="16"/>
                <w:szCs w:val="16"/>
                <w:color w:val="202020"/>
              </w:rPr>
              <w:t>— 2,239,410</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10,033</w:t>
            </w:r>
          </w:p>
        </w:tc>
        <w:tc>
          <w:tcPr>
            <w:tcW w:w="82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2,930,348</w:t>
            </w:r>
          </w:p>
        </w:tc>
        <w:tc>
          <w:tcPr>
            <w:tcW w:w="0" w:type="dxa"/>
            <w:vAlign w:val="bottom"/>
          </w:tcPr>
          <w:p>
            <w:pPr>
              <w:spacing w:after="0"/>
              <w:rPr>
                <w:sz w:val="1"/>
                <w:szCs w:val="1"/>
                <w:color w:val="auto"/>
              </w:rPr>
            </w:pPr>
          </w:p>
        </w:tc>
      </w:tr>
      <w:tr>
        <w:trPr>
          <w:trHeight w:val="113"/>
        </w:trPr>
        <w:tc>
          <w:tcPr>
            <w:tcW w:w="2240" w:type="dxa"/>
            <w:vAlign w:val="bottom"/>
            <w:vMerge w:val="restart"/>
            <w:shd w:val="clear" w:color="auto" w:fill="E9E9E9"/>
          </w:tcPr>
          <w:p>
            <w:pPr>
              <w:ind w:left="60"/>
              <w:spacing w:after="0"/>
              <w:rPr>
                <w:sz w:val="20"/>
                <w:szCs w:val="20"/>
                <w:color w:val="auto"/>
              </w:rPr>
            </w:pPr>
            <w:r>
              <w:rPr>
                <w:rFonts w:ascii="Arial" w:cs="Arial" w:eastAsia="Arial" w:hAnsi="Arial"/>
                <w:sz w:val="16"/>
                <w:szCs w:val="16"/>
                <w:color w:val="202020"/>
              </w:rPr>
              <w:t>Chief Product Development</w:t>
            </w:r>
          </w:p>
        </w:tc>
        <w:tc>
          <w:tcPr>
            <w:tcW w:w="520" w:type="dxa"/>
            <w:vAlign w:val="bottom"/>
            <w:vMerge w:val="continue"/>
            <w:shd w:val="clear" w:color="auto" w:fill="E9E9E9"/>
          </w:tcPr>
          <w:p>
            <w:pPr>
              <w:spacing w:after="0"/>
              <w:rPr>
                <w:sz w:val="9"/>
                <w:szCs w:val="9"/>
                <w:color w:val="auto"/>
              </w:rPr>
            </w:pPr>
          </w:p>
        </w:tc>
        <w:tc>
          <w:tcPr>
            <w:tcW w:w="680" w:type="dxa"/>
            <w:vAlign w:val="bottom"/>
            <w:vMerge w:val="continue"/>
            <w:shd w:val="clear" w:color="auto" w:fill="E9E9E9"/>
          </w:tcPr>
          <w:p>
            <w:pPr>
              <w:spacing w:after="0"/>
              <w:rPr>
                <w:sz w:val="9"/>
                <w:szCs w:val="9"/>
                <w:color w:val="auto"/>
              </w:rPr>
            </w:pPr>
          </w:p>
        </w:tc>
        <w:tc>
          <w:tcPr>
            <w:tcW w:w="680" w:type="dxa"/>
            <w:vAlign w:val="bottom"/>
            <w:vMerge w:val="continue"/>
            <w:shd w:val="clear" w:color="auto" w:fill="E9E9E9"/>
          </w:tcPr>
          <w:p>
            <w:pPr>
              <w:spacing w:after="0"/>
              <w:rPr>
                <w:sz w:val="9"/>
                <w:szCs w:val="9"/>
                <w:color w:val="auto"/>
              </w:rPr>
            </w:pPr>
          </w:p>
        </w:tc>
        <w:tc>
          <w:tcPr>
            <w:tcW w:w="1480" w:type="dxa"/>
            <w:vAlign w:val="bottom"/>
            <w:gridSpan w:val="2"/>
            <w:vMerge w:val="continue"/>
            <w:shd w:val="clear" w:color="auto" w:fill="E9E9E9"/>
          </w:tcPr>
          <w:p>
            <w:pPr>
              <w:spacing w:after="0"/>
              <w:rPr>
                <w:sz w:val="9"/>
                <w:szCs w:val="9"/>
                <w:color w:val="auto"/>
              </w:rPr>
            </w:pPr>
          </w:p>
        </w:tc>
        <w:tc>
          <w:tcPr>
            <w:tcW w:w="1240" w:type="dxa"/>
            <w:vAlign w:val="bottom"/>
            <w:vMerge w:val="continue"/>
            <w:shd w:val="clear" w:color="auto" w:fill="E9E9E9"/>
          </w:tcPr>
          <w:p>
            <w:pPr>
              <w:spacing w:after="0"/>
              <w:rPr>
                <w:sz w:val="9"/>
                <w:szCs w:val="9"/>
                <w:color w:val="auto"/>
              </w:rPr>
            </w:pPr>
          </w:p>
        </w:tc>
        <w:tc>
          <w:tcPr>
            <w:tcW w:w="1220" w:type="dxa"/>
            <w:vAlign w:val="bottom"/>
            <w:vMerge w:val="continue"/>
            <w:shd w:val="clear" w:color="auto" w:fill="E9E9E9"/>
          </w:tcPr>
          <w:p>
            <w:pPr>
              <w:spacing w:after="0"/>
              <w:rPr>
                <w:sz w:val="9"/>
                <w:szCs w:val="9"/>
                <w:color w:val="auto"/>
              </w:rPr>
            </w:pPr>
          </w:p>
        </w:tc>
        <w:tc>
          <w:tcPr>
            <w:tcW w:w="1240" w:type="dxa"/>
            <w:vAlign w:val="bottom"/>
            <w:vMerge w:val="continue"/>
            <w:shd w:val="clear" w:color="auto" w:fill="E9E9E9"/>
          </w:tcPr>
          <w:p>
            <w:pPr>
              <w:spacing w:after="0"/>
              <w:rPr>
                <w:sz w:val="9"/>
                <w:szCs w:val="9"/>
                <w:color w:val="auto"/>
              </w:rPr>
            </w:pPr>
          </w:p>
        </w:tc>
        <w:tc>
          <w:tcPr>
            <w:tcW w:w="820" w:type="dxa"/>
            <w:vAlign w:val="bottom"/>
            <w:vMerge w:val="continue"/>
            <w:shd w:val="clear" w:color="auto" w:fill="E9E9E9"/>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240" w:type="dxa"/>
            <w:vAlign w:val="bottom"/>
            <w:vMerge w:val="continue"/>
            <w:shd w:val="clear" w:color="auto" w:fill="E9E9E9"/>
          </w:tcPr>
          <w:p>
            <w:pPr>
              <w:spacing w:after="0"/>
              <w:rPr>
                <w:sz w:val="7"/>
                <w:szCs w:val="7"/>
                <w:color w:val="auto"/>
              </w:rPr>
            </w:pPr>
          </w:p>
        </w:tc>
        <w:tc>
          <w:tcPr>
            <w:tcW w:w="520" w:type="dxa"/>
            <w:vAlign w:val="bottom"/>
            <w:shd w:val="clear" w:color="auto" w:fill="E9E9E9"/>
          </w:tcPr>
          <w:p>
            <w:pPr>
              <w:spacing w:after="0"/>
              <w:rPr>
                <w:sz w:val="7"/>
                <w:szCs w:val="7"/>
                <w:color w:val="auto"/>
              </w:rPr>
            </w:pPr>
          </w:p>
        </w:tc>
        <w:tc>
          <w:tcPr>
            <w:tcW w:w="680" w:type="dxa"/>
            <w:vAlign w:val="bottom"/>
            <w:shd w:val="clear" w:color="auto" w:fill="E9E9E9"/>
          </w:tcPr>
          <w:p>
            <w:pPr>
              <w:spacing w:after="0"/>
              <w:rPr>
                <w:sz w:val="7"/>
                <w:szCs w:val="7"/>
                <w:color w:val="auto"/>
              </w:rPr>
            </w:pPr>
          </w:p>
        </w:tc>
        <w:tc>
          <w:tcPr>
            <w:tcW w:w="680" w:type="dxa"/>
            <w:vAlign w:val="bottom"/>
            <w:shd w:val="clear" w:color="auto" w:fill="E9E9E9"/>
          </w:tcPr>
          <w:p>
            <w:pPr>
              <w:spacing w:after="0"/>
              <w:rPr>
                <w:sz w:val="7"/>
                <w:szCs w:val="7"/>
                <w:color w:val="auto"/>
              </w:rPr>
            </w:pPr>
          </w:p>
        </w:tc>
        <w:tc>
          <w:tcPr>
            <w:tcW w:w="700" w:type="dxa"/>
            <w:vAlign w:val="bottom"/>
            <w:shd w:val="clear" w:color="auto" w:fill="E9E9E9"/>
          </w:tcPr>
          <w:p>
            <w:pPr>
              <w:spacing w:after="0"/>
              <w:rPr>
                <w:sz w:val="7"/>
                <w:szCs w:val="7"/>
                <w:color w:val="auto"/>
              </w:rPr>
            </w:pPr>
          </w:p>
        </w:tc>
        <w:tc>
          <w:tcPr>
            <w:tcW w:w="780" w:type="dxa"/>
            <w:vAlign w:val="bottom"/>
            <w:shd w:val="clear" w:color="auto" w:fill="E9E9E9"/>
          </w:tcPr>
          <w:p>
            <w:pPr>
              <w:spacing w:after="0"/>
              <w:rPr>
                <w:sz w:val="7"/>
                <w:szCs w:val="7"/>
                <w:color w:val="auto"/>
              </w:rPr>
            </w:pPr>
          </w:p>
        </w:tc>
        <w:tc>
          <w:tcPr>
            <w:tcW w:w="1240" w:type="dxa"/>
            <w:vAlign w:val="bottom"/>
            <w:shd w:val="clear" w:color="auto" w:fill="E9E9E9"/>
          </w:tcPr>
          <w:p>
            <w:pPr>
              <w:spacing w:after="0"/>
              <w:rPr>
                <w:sz w:val="7"/>
                <w:szCs w:val="7"/>
                <w:color w:val="auto"/>
              </w:rPr>
            </w:pPr>
          </w:p>
        </w:tc>
        <w:tc>
          <w:tcPr>
            <w:tcW w:w="1220" w:type="dxa"/>
            <w:vAlign w:val="bottom"/>
            <w:shd w:val="clear" w:color="auto" w:fill="E9E9E9"/>
          </w:tcPr>
          <w:p>
            <w:pPr>
              <w:spacing w:after="0"/>
              <w:rPr>
                <w:sz w:val="7"/>
                <w:szCs w:val="7"/>
                <w:color w:val="auto"/>
              </w:rPr>
            </w:pPr>
          </w:p>
        </w:tc>
        <w:tc>
          <w:tcPr>
            <w:tcW w:w="1240" w:type="dxa"/>
            <w:vAlign w:val="bottom"/>
            <w:shd w:val="clear" w:color="auto" w:fill="E9E9E9"/>
          </w:tcPr>
          <w:p>
            <w:pPr>
              <w:spacing w:after="0"/>
              <w:rPr>
                <w:sz w:val="7"/>
                <w:szCs w:val="7"/>
                <w:color w:val="auto"/>
              </w:rPr>
            </w:pPr>
          </w:p>
        </w:tc>
        <w:tc>
          <w:tcPr>
            <w:tcW w:w="820" w:type="dxa"/>
            <w:vAlign w:val="bottom"/>
            <w:shd w:val="clear" w:color="auto" w:fill="E9E9E9"/>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40" w:type="dxa"/>
            <w:vAlign w:val="bottom"/>
            <w:tcBorders>
              <w:bottom w:val="single" w:sz="8" w:color="202020"/>
            </w:tcBorders>
            <w:shd w:val="clear" w:color="auto" w:fill="E9E9E9"/>
          </w:tcPr>
          <w:p>
            <w:pPr>
              <w:ind w:left="60"/>
              <w:spacing w:after="0"/>
              <w:rPr>
                <w:sz w:val="20"/>
                <w:szCs w:val="20"/>
                <w:color w:val="auto"/>
              </w:rPr>
            </w:pPr>
            <w:r>
              <w:rPr>
                <w:rFonts w:ascii="Arial" w:cs="Arial" w:eastAsia="Arial" w:hAnsi="Arial"/>
                <w:sz w:val="16"/>
                <w:szCs w:val="16"/>
                <w:color w:val="202020"/>
              </w:rPr>
              <w:t>Officer</w:t>
            </w:r>
          </w:p>
        </w:tc>
        <w:tc>
          <w:tcPr>
            <w:tcW w:w="520" w:type="dxa"/>
            <w:vAlign w:val="bottom"/>
            <w:tcBorders>
              <w:bottom w:val="single" w:sz="8" w:color="202020"/>
            </w:tcBorders>
            <w:shd w:val="clear" w:color="auto" w:fill="E9E9E9"/>
          </w:tcPr>
          <w:p>
            <w:pPr>
              <w:spacing w:after="0"/>
              <w:rPr>
                <w:sz w:val="21"/>
                <w:szCs w:val="21"/>
                <w:color w:val="auto"/>
              </w:rPr>
            </w:pPr>
          </w:p>
        </w:tc>
        <w:tc>
          <w:tcPr>
            <w:tcW w:w="680" w:type="dxa"/>
            <w:vAlign w:val="bottom"/>
            <w:tcBorders>
              <w:bottom w:val="single" w:sz="8" w:color="202020"/>
            </w:tcBorders>
            <w:shd w:val="clear" w:color="auto" w:fill="E9E9E9"/>
          </w:tcPr>
          <w:p>
            <w:pPr>
              <w:spacing w:after="0"/>
              <w:rPr>
                <w:sz w:val="21"/>
                <w:szCs w:val="21"/>
                <w:color w:val="auto"/>
              </w:rPr>
            </w:pPr>
          </w:p>
        </w:tc>
        <w:tc>
          <w:tcPr>
            <w:tcW w:w="680" w:type="dxa"/>
            <w:vAlign w:val="bottom"/>
            <w:tcBorders>
              <w:bottom w:val="single" w:sz="8" w:color="202020"/>
            </w:tcBorders>
            <w:shd w:val="clear" w:color="auto" w:fill="E9E9E9"/>
          </w:tcPr>
          <w:p>
            <w:pPr>
              <w:spacing w:after="0"/>
              <w:rPr>
                <w:sz w:val="21"/>
                <w:szCs w:val="21"/>
                <w:color w:val="auto"/>
              </w:rPr>
            </w:pPr>
          </w:p>
        </w:tc>
        <w:tc>
          <w:tcPr>
            <w:tcW w:w="700" w:type="dxa"/>
            <w:vAlign w:val="bottom"/>
            <w:tcBorders>
              <w:bottom w:val="single" w:sz="8" w:color="202020"/>
            </w:tcBorders>
            <w:shd w:val="clear" w:color="auto" w:fill="E9E9E9"/>
          </w:tcPr>
          <w:p>
            <w:pPr>
              <w:spacing w:after="0"/>
              <w:rPr>
                <w:sz w:val="21"/>
                <w:szCs w:val="21"/>
                <w:color w:val="auto"/>
              </w:rPr>
            </w:pPr>
          </w:p>
        </w:tc>
        <w:tc>
          <w:tcPr>
            <w:tcW w:w="780" w:type="dxa"/>
            <w:vAlign w:val="bottom"/>
            <w:tcBorders>
              <w:bottom w:val="single" w:sz="8" w:color="202020"/>
            </w:tcBorders>
            <w:shd w:val="clear" w:color="auto" w:fill="E9E9E9"/>
          </w:tcPr>
          <w:p>
            <w:pPr>
              <w:spacing w:after="0"/>
              <w:rPr>
                <w:sz w:val="21"/>
                <w:szCs w:val="21"/>
                <w:color w:val="auto"/>
              </w:rPr>
            </w:pPr>
          </w:p>
        </w:tc>
        <w:tc>
          <w:tcPr>
            <w:tcW w:w="1240" w:type="dxa"/>
            <w:vAlign w:val="bottom"/>
            <w:tcBorders>
              <w:bottom w:val="single" w:sz="8" w:color="202020"/>
            </w:tcBorders>
            <w:shd w:val="clear" w:color="auto" w:fill="E9E9E9"/>
          </w:tcPr>
          <w:p>
            <w:pPr>
              <w:spacing w:after="0"/>
              <w:rPr>
                <w:sz w:val="21"/>
                <w:szCs w:val="21"/>
                <w:color w:val="auto"/>
              </w:rPr>
            </w:pPr>
          </w:p>
        </w:tc>
        <w:tc>
          <w:tcPr>
            <w:tcW w:w="1220" w:type="dxa"/>
            <w:vAlign w:val="bottom"/>
            <w:tcBorders>
              <w:bottom w:val="single" w:sz="8" w:color="202020"/>
            </w:tcBorders>
            <w:shd w:val="clear" w:color="auto" w:fill="E9E9E9"/>
          </w:tcPr>
          <w:p>
            <w:pPr>
              <w:spacing w:after="0"/>
              <w:rPr>
                <w:sz w:val="21"/>
                <w:szCs w:val="21"/>
                <w:color w:val="auto"/>
              </w:rPr>
            </w:pPr>
          </w:p>
        </w:tc>
        <w:tc>
          <w:tcPr>
            <w:tcW w:w="1240" w:type="dxa"/>
            <w:vAlign w:val="bottom"/>
            <w:tcBorders>
              <w:bottom w:val="single" w:sz="8" w:color="202020"/>
            </w:tcBorders>
            <w:shd w:val="clear" w:color="auto" w:fill="E9E9E9"/>
          </w:tcPr>
          <w:p>
            <w:pPr>
              <w:spacing w:after="0"/>
              <w:rPr>
                <w:sz w:val="21"/>
                <w:szCs w:val="21"/>
                <w:color w:val="auto"/>
              </w:rPr>
            </w:pPr>
          </w:p>
        </w:tc>
        <w:tc>
          <w:tcPr>
            <w:tcW w:w="820" w:type="dxa"/>
            <w:vAlign w:val="bottom"/>
            <w:tcBorders>
              <w:bottom w:val="single" w:sz="8" w:color="202020"/>
            </w:tcBorders>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240" w:type="dxa"/>
            <w:vAlign w:val="bottom"/>
          </w:tcPr>
          <w:p>
            <w:pPr>
              <w:ind w:left="60"/>
              <w:spacing w:after="0"/>
              <w:rPr>
                <w:sz w:val="20"/>
                <w:szCs w:val="20"/>
                <w:color w:val="auto"/>
              </w:rPr>
            </w:pPr>
            <w:r>
              <w:rPr>
                <w:rFonts w:ascii="Arial" w:cs="Arial" w:eastAsia="Arial" w:hAnsi="Arial"/>
                <w:sz w:val="16"/>
                <w:szCs w:val="16"/>
                <w:b w:val="1"/>
                <w:bCs w:val="1"/>
                <w:color w:val="202020"/>
              </w:rPr>
              <w:t>Margo Heath-Chiozzi, M.D.</w:t>
            </w:r>
          </w:p>
        </w:tc>
        <w:tc>
          <w:tcPr>
            <w:tcW w:w="520" w:type="dxa"/>
            <w:vAlign w:val="bottom"/>
          </w:tcPr>
          <w:p>
            <w:pPr>
              <w:jc w:val="right"/>
              <w:spacing w:after="0"/>
              <w:rPr>
                <w:sz w:val="20"/>
                <w:szCs w:val="20"/>
                <w:color w:val="auto"/>
              </w:rPr>
            </w:pPr>
            <w:r>
              <w:rPr>
                <w:rFonts w:ascii="Arial" w:cs="Arial" w:eastAsia="Arial" w:hAnsi="Arial"/>
                <w:sz w:val="16"/>
                <w:szCs w:val="16"/>
                <w:color w:val="202020"/>
              </w:rPr>
              <w:t>2025</w:t>
            </w:r>
          </w:p>
        </w:tc>
        <w:tc>
          <w:tcPr>
            <w:tcW w:w="680" w:type="dxa"/>
            <w:vAlign w:val="bottom"/>
          </w:tcPr>
          <w:p>
            <w:pPr>
              <w:jc w:val="center"/>
              <w:spacing w:after="0"/>
              <w:rPr>
                <w:sz w:val="20"/>
                <w:szCs w:val="20"/>
                <w:color w:val="auto"/>
              </w:rPr>
            </w:pPr>
            <w:r>
              <w:rPr>
                <w:rFonts w:ascii="Arial" w:cs="Arial" w:eastAsia="Arial" w:hAnsi="Arial"/>
                <w:sz w:val="16"/>
                <w:szCs w:val="16"/>
                <w:color w:val="202020"/>
              </w:rPr>
              <w:t>483,900</w:t>
            </w:r>
          </w:p>
        </w:tc>
        <w:tc>
          <w:tcPr>
            <w:tcW w:w="680" w:type="dxa"/>
            <w:vAlign w:val="bottom"/>
          </w:tcPr>
          <w:p>
            <w:pPr>
              <w:jc w:val="center"/>
              <w:spacing w:after="0"/>
              <w:rPr>
                <w:sz w:val="20"/>
                <w:szCs w:val="20"/>
                <w:color w:val="auto"/>
              </w:rPr>
            </w:pPr>
            <w:r>
              <w:rPr>
                <w:rFonts w:ascii="Arial" w:cs="Arial" w:eastAsia="Arial" w:hAnsi="Arial"/>
                <w:sz w:val="16"/>
                <w:szCs w:val="16"/>
                <w:color w:val="202020"/>
              </w:rPr>
              <w:t>225,450</w:t>
            </w:r>
          </w:p>
        </w:tc>
        <w:tc>
          <w:tcPr>
            <w:tcW w:w="1480" w:type="dxa"/>
            <w:vAlign w:val="bottom"/>
            <w:gridSpan w:val="2"/>
          </w:tcPr>
          <w:p>
            <w:pPr>
              <w:ind w:left="460"/>
              <w:spacing w:after="0"/>
              <w:rPr>
                <w:sz w:val="20"/>
                <w:szCs w:val="20"/>
                <w:color w:val="auto"/>
              </w:rPr>
            </w:pPr>
            <w:r>
              <w:rPr>
                <w:rFonts w:ascii="Arial" w:cs="Arial" w:eastAsia="Arial" w:hAnsi="Arial"/>
                <w:sz w:val="16"/>
                <w:szCs w:val="16"/>
                <w:color w:val="202020"/>
              </w:rPr>
              <w:t>— 1,100,875</w:t>
            </w:r>
          </w:p>
        </w:tc>
        <w:tc>
          <w:tcPr>
            <w:tcW w:w="1240" w:type="dxa"/>
            <w:vAlign w:val="bottom"/>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Pr>
          <w:p>
            <w:pPr>
              <w:jc w:val="right"/>
              <w:spacing w:after="0"/>
              <w:rPr>
                <w:sz w:val="20"/>
                <w:szCs w:val="20"/>
                <w:color w:val="auto"/>
              </w:rPr>
            </w:pPr>
            <w:r>
              <w:rPr>
                <w:rFonts w:ascii="Arial" w:cs="Arial" w:eastAsia="Arial" w:hAnsi="Arial"/>
                <w:sz w:val="16"/>
                <w:szCs w:val="16"/>
                <w:color w:val="202020"/>
              </w:rPr>
              <w:t>10,134</w:t>
            </w:r>
          </w:p>
        </w:tc>
        <w:tc>
          <w:tcPr>
            <w:tcW w:w="820" w:type="dxa"/>
            <w:vAlign w:val="bottom"/>
          </w:tcPr>
          <w:p>
            <w:pPr>
              <w:jc w:val="center"/>
              <w:spacing w:after="0"/>
              <w:rPr>
                <w:sz w:val="20"/>
                <w:szCs w:val="20"/>
                <w:color w:val="auto"/>
              </w:rPr>
            </w:pPr>
            <w:r>
              <w:rPr>
                <w:rFonts w:ascii="Arial" w:cs="Arial" w:eastAsia="Arial" w:hAnsi="Arial"/>
                <w:sz w:val="16"/>
                <w:szCs w:val="16"/>
                <w:color w:val="202020"/>
              </w:rPr>
              <w:t>1,820,359</w:t>
            </w:r>
          </w:p>
        </w:tc>
        <w:tc>
          <w:tcPr>
            <w:tcW w:w="0" w:type="dxa"/>
            <w:vAlign w:val="bottom"/>
          </w:tcPr>
          <w:p>
            <w:pPr>
              <w:spacing w:after="0"/>
              <w:rPr>
                <w:sz w:val="1"/>
                <w:szCs w:val="1"/>
                <w:color w:val="auto"/>
              </w:rPr>
            </w:pPr>
          </w:p>
        </w:tc>
      </w:tr>
      <w:tr>
        <w:trPr>
          <w:trHeight w:val="55"/>
        </w:trPr>
        <w:tc>
          <w:tcPr>
            <w:tcW w:w="2240" w:type="dxa"/>
            <w:vAlign w:val="bottom"/>
            <w:vMerge w:val="restart"/>
          </w:tcPr>
          <w:p>
            <w:pPr>
              <w:ind w:left="60"/>
              <w:spacing w:after="0"/>
              <w:rPr>
                <w:sz w:val="20"/>
                <w:szCs w:val="20"/>
                <w:color w:val="auto"/>
              </w:rPr>
            </w:pPr>
            <w:r>
              <w:rPr>
                <w:rFonts w:ascii="Arial" w:cs="Arial" w:eastAsia="Arial" w:hAnsi="Arial"/>
                <w:sz w:val="16"/>
                <w:szCs w:val="16"/>
                <w:color w:val="202020"/>
              </w:rPr>
              <w:t>Senior Vice President,</w:t>
            </w:r>
          </w:p>
        </w:tc>
        <w:tc>
          <w:tcPr>
            <w:tcW w:w="520" w:type="dxa"/>
            <w:vAlign w:val="bottom"/>
            <w:tcBorders>
              <w:bottom w:val="single" w:sz="8" w:color="D2D2D2"/>
            </w:tcBorders>
          </w:tcPr>
          <w:p>
            <w:pPr>
              <w:spacing w:after="0"/>
              <w:rPr>
                <w:sz w:val="4"/>
                <w:szCs w:val="4"/>
                <w:color w:val="auto"/>
              </w:rPr>
            </w:pPr>
          </w:p>
        </w:tc>
        <w:tc>
          <w:tcPr>
            <w:tcW w:w="680" w:type="dxa"/>
            <w:vAlign w:val="bottom"/>
            <w:tcBorders>
              <w:bottom w:val="single" w:sz="8" w:color="D2D2D2"/>
            </w:tcBorders>
          </w:tcPr>
          <w:p>
            <w:pPr>
              <w:spacing w:after="0"/>
              <w:rPr>
                <w:sz w:val="4"/>
                <w:szCs w:val="4"/>
                <w:color w:val="auto"/>
              </w:rPr>
            </w:pPr>
          </w:p>
        </w:tc>
        <w:tc>
          <w:tcPr>
            <w:tcW w:w="680" w:type="dxa"/>
            <w:vAlign w:val="bottom"/>
            <w:tcBorders>
              <w:bottom w:val="single" w:sz="8" w:color="D2D2D2"/>
            </w:tcBorders>
          </w:tcPr>
          <w:p>
            <w:pPr>
              <w:spacing w:after="0"/>
              <w:rPr>
                <w:sz w:val="4"/>
                <w:szCs w:val="4"/>
                <w:color w:val="auto"/>
              </w:rPr>
            </w:pPr>
          </w:p>
        </w:tc>
        <w:tc>
          <w:tcPr>
            <w:tcW w:w="700" w:type="dxa"/>
            <w:vAlign w:val="bottom"/>
            <w:tcBorders>
              <w:bottom w:val="single" w:sz="8" w:color="D2D2D2"/>
            </w:tcBorders>
          </w:tcPr>
          <w:p>
            <w:pPr>
              <w:spacing w:after="0"/>
              <w:rPr>
                <w:sz w:val="4"/>
                <w:szCs w:val="4"/>
                <w:color w:val="auto"/>
              </w:rPr>
            </w:pPr>
          </w:p>
        </w:tc>
        <w:tc>
          <w:tcPr>
            <w:tcW w:w="780" w:type="dxa"/>
            <w:vAlign w:val="bottom"/>
            <w:tcBorders>
              <w:bottom w:val="single" w:sz="8" w:color="D2D2D2"/>
            </w:tcBorders>
          </w:tcPr>
          <w:p>
            <w:pPr>
              <w:spacing w:after="0"/>
              <w:rPr>
                <w:sz w:val="4"/>
                <w:szCs w:val="4"/>
                <w:color w:val="auto"/>
              </w:rPr>
            </w:pPr>
          </w:p>
        </w:tc>
        <w:tc>
          <w:tcPr>
            <w:tcW w:w="1240" w:type="dxa"/>
            <w:vAlign w:val="bottom"/>
            <w:tcBorders>
              <w:bottom w:val="single" w:sz="8" w:color="D2D2D2"/>
            </w:tcBorders>
          </w:tcPr>
          <w:p>
            <w:pPr>
              <w:spacing w:after="0"/>
              <w:rPr>
                <w:sz w:val="4"/>
                <w:szCs w:val="4"/>
                <w:color w:val="auto"/>
              </w:rPr>
            </w:pPr>
          </w:p>
        </w:tc>
        <w:tc>
          <w:tcPr>
            <w:tcW w:w="1220" w:type="dxa"/>
            <w:vAlign w:val="bottom"/>
            <w:tcBorders>
              <w:bottom w:val="single" w:sz="8" w:color="D2D2D2"/>
            </w:tcBorders>
          </w:tcPr>
          <w:p>
            <w:pPr>
              <w:spacing w:after="0"/>
              <w:rPr>
                <w:sz w:val="4"/>
                <w:szCs w:val="4"/>
                <w:color w:val="auto"/>
              </w:rPr>
            </w:pPr>
          </w:p>
        </w:tc>
        <w:tc>
          <w:tcPr>
            <w:tcW w:w="1240" w:type="dxa"/>
            <w:vAlign w:val="bottom"/>
            <w:tcBorders>
              <w:bottom w:val="single" w:sz="8" w:color="D2D2D2"/>
            </w:tcBorders>
          </w:tcPr>
          <w:p>
            <w:pPr>
              <w:spacing w:after="0"/>
              <w:rPr>
                <w:sz w:val="4"/>
                <w:szCs w:val="4"/>
                <w:color w:val="auto"/>
              </w:rPr>
            </w:pPr>
          </w:p>
        </w:tc>
        <w:tc>
          <w:tcPr>
            <w:tcW w:w="820" w:type="dxa"/>
            <w:vAlign w:val="bottom"/>
            <w:tcBorders>
              <w:bottom w:val="single" w:sz="8" w:color="D2D2D2"/>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240" w:type="dxa"/>
            <w:vAlign w:val="bottom"/>
            <w:vMerge w:val="continue"/>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202020"/>
              </w:rPr>
              <w:t>2024</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461,338</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228,034</w:t>
            </w:r>
          </w:p>
        </w:tc>
        <w:tc>
          <w:tcPr>
            <w:tcW w:w="1480" w:type="dxa"/>
            <w:vAlign w:val="bottom"/>
            <w:gridSpan w:val="2"/>
            <w:vMerge w:val="restart"/>
          </w:tcPr>
          <w:p>
            <w:pPr>
              <w:ind w:left="460"/>
              <w:spacing w:after="0"/>
              <w:rPr>
                <w:sz w:val="20"/>
                <w:szCs w:val="20"/>
                <w:color w:val="auto"/>
              </w:rPr>
            </w:pPr>
            <w:r>
              <w:rPr>
                <w:rFonts w:ascii="Arial" w:cs="Arial" w:eastAsia="Arial" w:hAnsi="Arial"/>
                <w:sz w:val="16"/>
                <w:szCs w:val="16"/>
                <w:color w:val="202020"/>
              </w:rPr>
              <w:t>— 2,160,372</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10,080</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202020"/>
              </w:rPr>
              <w:t>2,859,824</w:t>
            </w:r>
          </w:p>
        </w:tc>
        <w:tc>
          <w:tcPr>
            <w:tcW w:w="0" w:type="dxa"/>
            <w:vAlign w:val="bottom"/>
          </w:tcPr>
          <w:p>
            <w:pPr>
              <w:spacing w:after="0"/>
              <w:rPr>
                <w:sz w:val="1"/>
                <w:szCs w:val="1"/>
                <w:color w:val="auto"/>
              </w:rPr>
            </w:pPr>
          </w:p>
        </w:tc>
      </w:tr>
      <w:tr>
        <w:trPr>
          <w:trHeight w:val="113"/>
        </w:trPr>
        <w:tc>
          <w:tcPr>
            <w:tcW w:w="2240" w:type="dxa"/>
            <w:vAlign w:val="bottom"/>
            <w:vMerge w:val="restart"/>
          </w:tcPr>
          <w:p>
            <w:pPr>
              <w:ind w:left="60"/>
              <w:spacing w:after="0"/>
              <w:rPr>
                <w:sz w:val="20"/>
                <w:szCs w:val="20"/>
                <w:color w:val="auto"/>
              </w:rPr>
            </w:pPr>
            <w:r>
              <w:rPr>
                <w:rFonts w:ascii="Arial" w:cs="Arial" w:eastAsia="Arial" w:hAnsi="Arial"/>
                <w:sz w:val="16"/>
                <w:szCs w:val="16"/>
                <w:color w:val="202020"/>
              </w:rPr>
              <w:t>Regulatory Affairs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240" w:type="dxa"/>
            <w:vAlign w:val="bottom"/>
            <w:vMerge w:val="continue"/>
          </w:tcPr>
          <w:p>
            <w:pPr>
              <w:spacing w:after="0"/>
              <w:rPr>
                <w:sz w:val="2"/>
                <w:szCs w:val="2"/>
                <w:color w:val="auto"/>
              </w:rPr>
            </w:pPr>
          </w:p>
        </w:tc>
        <w:tc>
          <w:tcPr>
            <w:tcW w:w="520" w:type="dxa"/>
            <w:vAlign w:val="bottom"/>
            <w:tcBorders>
              <w:bottom w:val="single" w:sz="8" w:color="D2D2D2"/>
            </w:tcBorders>
          </w:tcPr>
          <w:p>
            <w:pPr>
              <w:spacing w:after="0"/>
              <w:rPr>
                <w:sz w:val="2"/>
                <w:szCs w:val="2"/>
                <w:color w:val="auto"/>
              </w:rPr>
            </w:pPr>
          </w:p>
        </w:tc>
        <w:tc>
          <w:tcPr>
            <w:tcW w:w="680" w:type="dxa"/>
            <w:vAlign w:val="bottom"/>
            <w:tcBorders>
              <w:bottom w:val="single" w:sz="8" w:color="D2D2D2"/>
            </w:tcBorders>
          </w:tcPr>
          <w:p>
            <w:pPr>
              <w:spacing w:after="0"/>
              <w:rPr>
                <w:sz w:val="2"/>
                <w:szCs w:val="2"/>
                <w:color w:val="auto"/>
              </w:rPr>
            </w:pPr>
          </w:p>
        </w:tc>
        <w:tc>
          <w:tcPr>
            <w:tcW w:w="680" w:type="dxa"/>
            <w:vAlign w:val="bottom"/>
            <w:tcBorders>
              <w:bottom w:val="single" w:sz="8" w:color="D2D2D2"/>
            </w:tcBorders>
          </w:tcPr>
          <w:p>
            <w:pPr>
              <w:spacing w:after="0"/>
              <w:rPr>
                <w:sz w:val="2"/>
                <w:szCs w:val="2"/>
                <w:color w:val="auto"/>
              </w:rPr>
            </w:pPr>
          </w:p>
        </w:tc>
        <w:tc>
          <w:tcPr>
            <w:tcW w:w="700" w:type="dxa"/>
            <w:vAlign w:val="bottom"/>
            <w:tcBorders>
              <w:bottom w:val="single" w:sz="8" w:color="D2D2D2"/>
            </w:tcBorders>
          </w:tcPr>
          <w:p>
            <w:pPr>
              <w:spacing w:after="0"/>
              <w:rPr>
                <w:sz w:val="2"/>
                <w:szCs w:val="2"/>
                <w:color w:val="auto"/>
              </w:rPr>
            </w:pPr>
          </w:p>
        </w:tc>
        <w:tc>
          <w:tcPr>
            <w:tcW w:w="780" w:type="dxa"/>
            <w:vAlign w:val="bottom"/>
            <w:tcBorders>
              <w:bottom w:val="single" w:sz="8" w:color="D2D2D2"/>
            </w:tcBorders>
          </w:tcPr>
          <w:p>
            <w:pPr>
              <w:spacing w:after="0"/>
              <w:rPr>
                <w:sz w:val="2"/>
                <w:szCs w:val="2"/>
                <w:color w:val="auto"/>
              </w:rPr>
            </w:pPr>
          </w:p>
        </w:tc>
        <w:tc>
          <w:tcPr>
            <w:tcW w:w="1240" w:type="dxa"/>
            <w:vAlign w:val="bottom"/>
            <w:tcBorders>
              <w:bottom w:val="single" w:sz="8" w:color="D2D2D2"/>
            </w:tcBorders>
          </w:tcPr>
          <w:p>
            <w:pPr>
              <w:spacing w:after="0"/>
              <w:rPr>
                <w:sz w:val="2"/>
                <w:szCs w:val="2"/>
                <w:color w:val="auto"/>
              </w:rPr>
            </w:pPr>
          </w:p>
        </w:tc>
        <w:tc>
          <w:tcPr>
            <w:tcW w:w="1220" w:type="dxa"/>
            <w:vAlign w:val="bottom"/>
            <w:tcBorders>
              <w:bottom w:val="single" w:sz="8" w:color="D2D2D2"/>
            </w:tcBorders>
          </w:tcPr>
          <w:p>
            <w:pPr>
              <w:spacing w:after="0"/>
              <w:rPr>
                <w:sz w:val="2"/>
                <w:szCs w:val="2"/>
                <w:color w:val="auto"/>
              </w:rPr>
            </w:pPr>
          </w:p>
        </w:tc>
        <w:tc>
          <w:tcPr>
            <w:tcW w:w="1240" w:type="dxa"/>
            <w:vAlign w:val="bottom"/>
            <w:tcBorders>
              <w:bottom w:val="single" w:sz="8" w:color="D2D2D2"/>
            </w:tcBorders>
          </w:tcPr>
          <w:p>
            <w:pPr>
              <w:spacing w:after="0"/>
              <w:rPr>
                <w:sz w:val="2"/>
                <w:szCs w:val="2"/>
                <w:color w:val="auto"/>
              </w:rPr>
            </w:pPr>
          </w:p>
        </w:tc>
        <w:tc>
          <w:tcPr>
            <w:tcW w:w="820" w:type="dxa"/>
            <w:vAlign w:val="bottom"/>
            <w:tcBorders>
              <w:bottom w:val="single" w:sz="8" w:color="D2D2D2"/>
            </w:tcBorders>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2240" w:type="dxa"/>
            <w:vAlign w:val="bottom"/>
            <w:vMerge w:val="continue"/>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202020"/>
              </w:rPr>
              <w:t>2023</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440,259</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202020"/>
              </w:rPr>
              <w:t>217,500</w:t>
            </w:r>
          </w:p>
        </w:tc>
        <w:tc>
          <w:tcPr>
            <w:tcW w:w="1480" w:type="dxa"/>
            <w:vAlign w:val="bottom"/>
            <w:gridSpan w:val="2"/>
            <w:vMerge w:val="restart"/>
          </w:tcPr>
          <w:p>
            <w:pPr>
              <w:ind w:left="460"/>
              <w:spacing w:after="0"/>
              <w:rPr>
                <w:sz w:val="20"/>
                <w:szCs w:val="20"/>
                <w:color w:val="auto"/>
              </w:rPr>
            </w:pPr>
            <w:r>
              <w:rPr>
                <w:rFonts w:ascii="Arial" w:cs="Arial" w:eastAsia="Arial" w:hAnsi="Arial"/>
                <w:sz w:val="16"/>
                <w:szCs w:val="16"/>
                <w:color w:val="202020"/>
              </w:rPr>
              <w:t>— 2,269,752</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202020"/>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202020"/>
              </w:rPr>
              <w:t>9,455</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202020"/>
              </w:rPr>
              <w:t>2,936,966</w:t>
            </w:r>
          </w:p>
        </w:tc>
        <w:tc>
          <w:tcPr>
            <w:tcW w:w="0" w:type="dxa"/>
            <w:vAlign w:val="bottom"/>
          </w:tcPr>
          <w:p>
            <w:pPr>
              <w:spacing w:after="0"/>
              <w:rPr>
                <w:sz w:val="1"/>
                <w:szCs w:val="1"/>
                <w:color w:val="auto"/>
              </w:rPr>
            </w:pPr>
          </w:p>
        </w:tc>
      </w:tr>
      <w:tr>
        <w:trPr>
          <w:trHeight w:val="211"/>
        </w:trPr>
        <w:tc>
          <w:tcPr>
            <w:tcW w:w="2240" w:type="dxa"/>
            <w:vAlign w:val="bottom"/>
            <w:tcBorders>
              <w:bottom w:val="single" w:sz="8" w:color="202020"/>
            </w:tcBorders>
          </w:tcPr>
          <w:p>
            <w:pPr>
              <w:spacing w:after="0"/>
              <w:rPr>
                <w:sz w:val="18"/>
                <w:szCs w:val="18"/>
                <w:color w:val="auto"/>
              </w:rPr>
            </w:pPr>
          </w:p>
        </w:tc>
        <w:tc>
          <w:tcPr>
            <w:tcW w:w="520" w:type="dxa"/>
            <w:vAlign w:val="bottom"/>
            <w:tcBorders>
              <w:bottom w:val="single" w:sz="8" w:color="202020"/>
            </w:tcBorders>
            <w:vMerge w:val="continue"/>
          </w:tcPr>
          <w:p>
            <w:pPr>
              <w:spacing w:after="0"/>
              <w:rPr>
                <w:sz w:val="18"/>
                <w:szCs w:val="18"/>
                <w:color w:val="auto"/>
              </w:rPr>
            </w:pPr>
          </w:p>
        </w:tc>
        <w:tc>
          <w:tcPr>
            <w:tcW w:w="680" w:type="dxa"/>
            <w:vAlign w:val="bottom"/>
            <w:tcBorders>
              <w:bottom w:val="single" w:sz="8" w:color="202020"/>
            </w:tcBorders>
            <w:vMerge w:val="continue"/>
          </w:tcPr>
          <w:p>
            <w:pPr>
              <w:spacing w:after="0"/>
              <w:rPr>
                <w:sz w:val="18"/>
                <w:szCs w:val="18"/>
                <w:color w:val="auto"/>
              </w:rPr>
            </w:pPr>
          </w:p>
        </w:tc>
        <w:tc>
          <w:tcPr>
            <w:tcW w:w="680" w:type="dxa"/>
            <w:vAlign w:val="bottom"/>
            <w:tcBorders>
              <w:bottom w:val="single" w:sz="8" w:color="202020"/>
            </w:tcBorders>
            <w:vMerge w:val="continue"/>
          </w:tcPr>
          <w:p>
            <w:pPr>
              <w:spacing w:after="0"/>
              <w:rPr>
                <w:sz w:val="18"/>
                <w:szCs w:val="18"/>
                <w:color w:val="auto"/>
              </w:rPr>
            </w:pPr>
          </w:p>
        </w:tc>
        <w:tc>
          <w:tcPr>
            <w:tcW w:w="1480" w:type="dxa"/>
            <w:vAlign w:val="bottom"/>
            <w:tcBorders>
              <w:bottom w:val="single" w:sz="8" w:color="202020"/>
            </w:tcBorders>
            <w:gridSpan w:val="2"/>
            <w:vMerge w:val="continue"/>
          </w:tcPr>
          <w:p>
            <w:pPr>
              <w:spacing w:after="0"/>
              <w:rPr>
                <w:sz w:val="18"/>
                <w:szCs w:val="18"/>
                <w:color w:val="auto"/>
              </w:rPr>
            </w:pPr>
          </w:p>
        </w:tc>
        <w:tc>
          <w:tcPr>
            <w:tcW w:w="1240" w:type="dxa"/>
            <w:vAlign w:val="bottom"/>
            <w:tcBorders>
              <w:bottom w:val="single" w:sz="8" w:color="202020"/>
            </w:tcBorders>
            <w:vMerge w:val="continue"/>
          </w:tcPr>
          <w:p>
            <w:pPr>
              <w:spacing w:after="0"/>
              <w:rPr>
                <w:sz w:val="18"/>
                <w:szCs w:val="18"/>
                <w:color w:val="auto"/>
              </w:rPr>
            </w:pPr>
          </w:p>
        </w:tc>
        <w:tc>
          <w:tcPr>
            <w:tcW w:w="1220" w:type="dxa"/>
            <w:vAlign w:val="bottom"/>
            <w:tcBorders>
              <w:bottom w:val="single" w:sz="8" w:color="202020"/>
            </w:tcBorders>
            <w:vMerge w:val="continue"/>
          </w:tcPr>
          <w:p>
            <w:pPr>
              <w:spacing w:after="0"/>
              <w:rPr>
                <w:sz w:val="18"/>
                <w:szCs w:val="18"/>
                <w:color w:val="auto"/>
              </w:rPr>
            </w:pPr>
          </w:p>
        </w:tc>
        <w:tc>
          <w:tcPr>
            <w:tcW w:w="1240" w:type="dxa"/>
            <w:vAlign w:val="bottom"/>
            <w:tcBorders>
              <w:bottom w:val="single" w:sz="8" w:color="202020"/>
            </w:tcBorders>
            <w:vMerge w:val="continue"/>
          </w:tcPr>
          <w:p>
            <w:pPr>
              <w:spacing w:after="0"/>
              <w:rPr>
                <w:sz w:val="18"/>
                <w:szCs w:val="18"/>
                <w:color w:val="auto"/>
              </w:rPr>
            </w:pPr>
          </w:p>
        </w:tc>
        <w:tc>
          <w:tcPr>
            <w:tcW w:w="820" w:type="dxa"/>
            <w:vAlign w:val="bottom"/>
            <w:tcBorders>
              <w:bottom w:val="single" w:sz="8" w:color="2020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24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b w:val="1"/>
                <w:bCs w:val="1"/>
                <w:color w:val="202020"/>
              </w:rPr>
              <w:t>Sam Martin</w:t>
            </w:r>
          </w:p>
        </w:tc>
        <w:tc>
          <w:tcPr>
            <w:tcW w:w="5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2025</w:t>
            </w:r>
          </w:p>
        </w:tc>
        <w:tc>
          <w:tcPr>
            <w:tcW w:w="6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490,790</w:t>
            </w:r>
          </w:p>
        </w:tc>
        <w:tc>
          <w:tcPr>
            <w:tcW w:w="6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238,050</w:t>
            </w:r>
          </w:p>
        </w:tc>
        <w:tc>
          <w:tcPr>
            <w:tcW w:w="1480" w:type="dxa"/>
            <w:vAlign w:val="bottom"/>
            <w:tcBorders>
              <w:bottom w:val="single" w:sz="8" w:color="E9E9E9"/>
            </w:tcBorders>
            <w:gridSpan w:val="2"/>
            <w:shd w:val="clear" w:color="auto" w:fill="E9E9E9"/>
          </w:tcPr>
          <w:p>
            <w:pPr>
              <w:ind w:left="460"/>
              <w:spacing w:after="0"/>
              <w:rPr>
                <w:sz w:val="20"/>
                <w:szCs w:val="20"/>
                <w:color w:val="auto"/>
              </w:rPr>
            </w:pPr>
            <w:r>
              <w:rPr>
                <w:rFonts w:ascii="Arial" w:cs="Arial" w:eastAsia="Arial" w:hAnsi="Arial"/>
                <w:sz w:val="16"/>
                <w:szCs w:val="16"/>
                <w:color w:val="202020"/>
              </w:rPr>
              <w:t>— 1,087,449</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10,823</w:t>
            </w:r>
          </w:p>
        </w:tc>
        <w:tc>
          <w:tcPr>
            <w:tcW w:w="82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1,827,112</w:t>
            </w:r>
          </w:p>
        </w:tc>
        <w:tc>
          <w:tcPr>
            <w:tcW w:w="0" w:type="dxa"/>
            <w:vAlign w:val="bottom"/>
          </w:tcPr>
          <w:p>
            <w:pPr>
              <w:spacing w:after="0"/>
              <w:rPr>
                <w:sz w:val="1"/>
                <w:szCs w:val="1"/>
                <w:color w:val="auto"/>
              </w:rPr>
            </w:pPr>
          </w:p>
        </w:tc>
      </w:tr>
      <w:tr>
        <w:trPr>
          <w:trHeight w:val="119"/>
        </w:trPr>
        <w:tc>
          <w:tcPr>
            <w:tcW w:w="2240" w:type="dxa"/>
            <w:vAlign w:val="bottom"/>
            <w:tcBorders>
              <w:top w:val="single" w:sz="8" w:color="E9E9E9"/>
            </w:tcBorders>
            <w:shd w:val="clear" w:color="auto" w:fill="E9E9E9"/>
          </w:tcPr>
          <w:p>
            <w:pPr>
              <w:ind w:left="60"/>
              <w:spacing w:after="0" w:line="119" w:lineRule="exact"/>
              <w:rPr>
                <w:sz w:val="20"/>
                <w:szCs w:val="20"/>
                <w:color w:val="auto"/>
              </w:rPr>
            </w:pPr>
            <w:r>
              <w:rPr>
                <w:rFonts w:ascii="Arial" w:cs="Arial" w:eastAsia="Arial" w:hAnsi="Arial"/>
                <w:sz w:val="13"/>
                <w:szCs w:val="13"/>
                <w:color w:val="202020"/>
              </w:rPr>
              <w:t>Senior Vice President</w:t>
            </w:r>
          </w:p>
        </w:tc>
        <w:tc>
          <w:tcPr>
            <w:tcW w:w="5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2024</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466,470</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229,076</w:t>
            </w:r>
          </w:p>
        </w:tc>
        <w:tc>
          <w:tcPr>
            <w:tcW w:w="1480" w:type="dxa"/>
            <w:vAlign w:val="bottom"/>
            <w:tcBorders>
              <w:top w:val="single" w:sz="8" w:color="D2D2D2"/>
            </w:tcBorders>
            <w:gridSpan w:val="2"/>
            <w:vMerge w:val="restart"/>
            <w:shd w:val="clear" w:color="auto" w:fill="E9E9E9"/>
          </w:tcPr>
          <w:p>
            <w:pPr>
              <w:ind w:left="460"/>
              <w:spacing w:after="0"/>
              <w:rPr>
                <w:sz w:val="20"/>
                <w:szCs w:val="20"/>
                <w:color w:val="auto"/>
              </w:rPr>
            </w:pPr>
            <w:r>
              <w:rPr>
                <w:rFonts w:ascii="Arial" w:cs="Arial" w:eastAsia="Arial" w:hAnsi="Arial"/>
                <w:sz w:val="16"/>
                <w:szCs w:val="16"/>
                <w:color w:val="202020"/>
              </w:rPr>
              <w:t>— 2,134,026</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10,548</w:t>
            </w:r>
          </w:p>
        </w:tc>
        <w:tc>
          <w:tcPr>
            <w:tcW w:w="82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2,840,120</w:t>
            </w:r>
          </w:p>
        </w:tc>
        <w:tc>
          <w:tcPr>
            <w:tcW w:w="0" w:type="dxa"/>
            <w:vAlign w:val="bottom"/>
          </w:tcPr>
          <w:p>
            <w:pPr>
              <w:spacing w:after="0"/>
              <w:rPr>
                <w:sz w:val="1"/>
                <w:szCs w:val="1"/>
                <w:color w:val="auto"/>
              </w:rPr>
            </w:pPr>
          </w:p>
        </w:tc>
      </w:tr>
      <w:tr>
        <w:trPr>
          <w:trHeight w:val="147"/>
        </w:trPr>
        <w:tc>
          <w:tcPr>
            <w:tcW w:w="2240" w:type="dxa"/>
            <w:vAlign w:val="bottom"/>
            <w:tcBorders>
              <w:bottom w:val="single" w:sz="8" w:color="E9E9E9"/>
            </w:tcBorders>
            <w:vMerge w:val="restart"/>
            <w:shd w:val="clear" w:color="auto" w:fill="E9E9E9"/>
          </w:tcPr>
          <w:p>
            <w:pPr>
              <w:ind w:left="60"/>
              <w:spacing w:after="0"/>
              <w:rPr>
                <w:sz w:val="20"/>
                <w:szCs w:val="20"/>
                <w:color w:val="auto"/>
              </w:rPr>
            </w:pPr>
            <w:r>
              <w:rPr>
                <w:rFonts w:ascii="Arial" w:cs="Arial" w:eastAsia="Arial" w:hAnsi="Arial"/>
                <w:sz w:val="16"/>
                <w:szCs w:val="16"/>
                <w:color w:val="202020"/>
              </w:rPr>
              <w:t>and Chief Financial Officer</w:t>
            </w:r>
          </w:p>
        </w:tc>
        <w:tc>
          <w:tcPr>
            <w:tcW w:w="520" w:type="dxa"/>
            <w:vAlign w:val="bottom"/>
            <w:tcBorders>
              <w:bottom w:val="single" w:sz="8" w:color="E9E9E9"/>
            </w:tcBorders>
            <w:vMerge w:val="continue"/>
            <w:shd w:val="clear" w:color="auto" w:fill="E9E9E9"/>
          </w:tcPr>
          <w:p>
            <w:pPr>
              <w:spacing w:after="0"/>
              <w:rPr>
                <w:sz w:val="12"/>
                <w:szCs w:val="12"/>
                <w:color w:val="auto"/>
              </w:rPr>
            </w:pPr>
          </w:p>
        </w:tc>
        <w:tc>
          <w:tcPr>
            <w:tcW w:w="680" w:type="dxa"/>
            <w:vAlign w:val="bottom"/>
            <w:tcBorders>
              <w:bottom w:val="single" w:sz="8" w:color="E9E9E9"/>
            </w:tcBorders>
            <w:vMerge w:val="continue"/>
            <w:shd w:val="clear" w:color="auto" w:fill="E9E9E9"/>
          </w:tcPr>
          <w:p>
            <w:pPr>
              <w:spacing w:after="0"/>
              <w:rPr>
                <w:sz w:val="12"/>
                <w:szCs w:val="12"/>
                <w:color w:val="auto"/>
              </w:rPr>
            </w:pPr>
          </w:p>
        </w:tc>
        <w:tc>
          <w:tcPr>
            <w:tcW w:w="680" w:type="dxa"/>
            <w:vAlign w:val="bottom"/>
            <w:tcBorders>
              <w:bottom w:val="single" w:sz="8" w:color="E9E9E9"/>
            </w:tcBorders>
            <w:vMerge w:val="continue"/>
            <w:shd w:val="clear" w:color="auto" w:fill="E9E9E9"/>
          </w:tcPr>
          <w:p>
            <w:pPr>
              <w:spacing w:after="0"/>
              <w:rPr>
                <w:sz w:val="12"/>
                <w:szCs w:val="12"/>
                <w:color w:val="auto"/>
              </w:rPr>
            </w:pPr>
          </w:p>
        </w:tc>
        <w:tc>
          <w:tcPr>
            <w:tcW w:w="1480" w:type="dxa"/>
            <w:vAlign w:val="bottom"/>
            <w:tcBorders>
              <w:bottom w:val="single" w:sz="8" w:color="E9E9E9"/>
            </w:tcBorders>
            <w:gridSpan w:val="2"/>
            <w:vMerge w:val="continue"/>
            <w:shd w:val="clear" w:color="auto" w:fill="E9E9E9"/>
          </w:tcPr>
          <w:p>
            <w:pPr>
              <w:spacing w:after="0"/>
              <w:rPr>
                <w:sz w:val="12"/>
                <w:szCs w:val="12"/>
                <w:color w:val="auto"/>
              </w:rPr>
            </w:pPr>
          </w:p>
        </w:tc>
        <w:tc>
          <w:tcPr>
            <w:tcW w:w="1240" w:type="dxa"/>
            <w:vAlign w:val="bottom"/>
            <w:tcBorders>
              <w:bottom w:val="single" w:sz="8" w:color="E9E9E9"/>
            </w:tcBorders>
            <w:vMerge w:val="continue"/>
            <w:shd w:val="clear" w:color="auto" w:fill="E9E9E9"/>
          </w:tcPr>
          <w:p>
            <w:pPr>
              <w:spacing w:after="0"/>
              <w:rPr>
                <w:sz w:val="12"/>
                <w:szCs w:val="12"/>
                <w:color w:val="auto"/>
              </w:rPr>
            </w:pPr>
          </w:p>
        </w:tc>
        <w:tc>
          <w:tcPr>
            <w:tcW w:w="1220" w:type="dxa"/>
            <w:vAlign w:val="bottom"/>
            <w:tcBorders>
              <w:bottom w:val="single" w:sz="8" w:color="E9E9E9"/>
            </w:tcBorders>
            <w:vMerge w:val="continue"/>
            <w:shd w:val="clear" w:color="auto" w:fill="E9E9E9"/>
          </w:tcPr>
          <w:p>
            <w:pPr>
              <w:spacing w:after="0"/>
              <w:rPr>
                <w:sz w:val="12"/>
                <w:szCs w:val="12"/>
                <w:color w:val="auto"/>
              </w:rPr>
            </w:pPr>
          </w:p>
        </w:tc>
        <w:tc>
          <w:tcPr>
            <w:tcW w:w="1240" w:type="dxa"/>
            <w:vAlign w:val="bottom"/>
            <w:tcBorders>
              <w:bottom w:val="single" w:sz="8" w:color="E9E9E9"/>
            </w:tcBorders>
            <w:vMerge w:val="continue"/>
            <w:shd w:val="clear" w:color="auto" w:fill="E9E9E9"/>
          </w:tcPr>
          <w:p>
            <w:pPr>
              <w:spacing w:after="0"/>
              <w:rPr>
                <w:sz w:val="12"/>
                <w:szCs w:val="12"/>
                <w:color w:val="auto"/>
              </w:rPr>
            </w:pPr>
          </w:p>
        </w:tc>
        <w:tc>
          <w:tcPr>
            <w:tcW w:w="820" w:type="dxa"/>
            <w:vAlign w:val="bottom"/>
            <w:tcBorders>
              <w:bottom w:val="single" w:sz="8" w:color="E9E9E9"/>
            </w:tcBorders>
            <w:vMerge w:val="continue"/>
            <w:shd w:val="clear" w:color="auto" w:fill="E9E9E9"/>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240" w:type="dxa"/>
            <w:vAlign w:val="bottom"/>
            <w:tcBorders>
              <w:top w:val="single" w:sz="8" w:color="E9E9E9"/>
            </w:tcBorders>
            <w:vMerge w:val="continue"/>
            <w:shd w:val="clear" w:color="auto" w:fill="E9E9E9"/>
          </w:tcPr>
          <w:p>
            <w:pPr>
              <w:spacing w:after="0"/>
              <w:rPr>
                <w:sz w:val="4"/>
                <w:szCs w:val="4"/>
                <w:color w:val="auto"/>
              </w:rPr>
            </w:pPr>
          </w:p>
        </w:tc>
        <w:tc>
          <w:tcPr>
            <w:tcW w:w="5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2023</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447,771</w:t>
            </w:r>
          </w:p>
        </w:tc>
        <w:tc>
          <w:tcPr>
            <w:tcW w:w="68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219,475</w:t>
            </w:r>
          </w:p>
        </w:tc>
        <w:tc>
          <w:tcPr>
            <w:tcW w:w="1480" w:type="dxa"/>
            <w:vAlign w:val="bottom"/>
            <w:tcBorders>
              <w:top w:val="single" w:sz="8" w:color="D2D2D2"/>
            </w:tcBorders>
            <w:gridSpan w:val="2"/>
            <w:vMerge w:val="restart"/>
            <w:shd w:val="clear" w:color="auto" w:fill="E9E9E9"/>
          </w:tcPr>
          <w:p>
            <w:pPr>
              <w:ind w:left="460"/>
              <w:spacing w:after="0"/>
              <w:rPr>
                <w:sz w:val="20"/>
                <w:szCs w:val="20"/>
                <w:color w:val="auto"/>
              </w:rPr>
            </w:pPr>
            <w:r>
              <w:rPr>
                <w:rFonts w:ascii="Arial" w:cs="Arial" w:eastAsia="Arial" w:hAnsi="Arial"/>
                <w:sz w:val="16"/>
                <w:szCs w:val="16"/>
                <w:color w:val="202020"/>
              </w:rPr>
              <w:t>— 2,269,752</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2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240" w:type="dxa"/>
            <w:vAlign w:val="bottom"/>
            <w:tcBorders>
              <w:top w:val="single" w:sz="8" w:color="D2D2D2"/>
            </w:tcBorders>
            <w:vMerge w:val="restart"/>
            <w:shd w:val="clear" w:color="auto" w:fill="E9E9E9"/>
          </w:tcPr>
          <w:p>
            <w:pPr>
              <w:jc w:val="right"/>
              <w:spacing w:after="0"/>
              <w:rPr>
                <w:sz w:val="20"/>
                <w:szCs w:val="20"/>
                <w:color w:val="auto"/>
              </w:rPr>
            </w:pPr>
            <w:r>
              <w:rPr>
                <w:rFonts w:ascii="Arial" w:cs="Arial" w:eastAsia="Arial" w:hAnsi="Arial"/>
                <w:sz w:val="16"/>
                <w:szCs w:val="16"/>
                <w:color w:val="202020"/>
              </w:rPr>
              <w:t>9,628</w:t>
            </w:r>
          </w:p>
        </w:tc>
        <w:tc>
          <w:tcPr>
            <w:tcW w:w="820" w:type="dxa"/>
            <w:vAlign w:val="bottom"/>
            <w:tcBorders>
              <w:top w:val="single" w:sz="8" w:color="D2D2D2"/>
            </w:tcBorders>
            <w:vMerge w:val="restart"/>
            <w:shd w:val="clear" w:color="auto" w:fill="E9E9E9"/>
          </w:tcPr>
          <w:p>
            <w:pPr>
              <w:jc w:val="center"/>
              <w:spacing w:after="0"/>
              <w:rPr>
                <w:sz w:val="20"/>
                <w:szCs w:val="20"/>
                <w:color w:val="auto"/>
              </w:rPr>
            </w:pPr>
            <w:r>
              <w:rPr>
                <w:rFonts w:ascii="Arial" w:cs="Arial" w:eastAsia="Arial" w:hAnsi="Arial"/>
                <w:sz w:val="16"/>
                <w:szCs w:val="16"/>
                <w:color w:val="202020"/>
              </w:rPr>
              <w:t>2,946,626</w:t>
            </w:r>
          </w:p>
        </w:tc>
        <w:tc>
          <w:tcPr>
            <w:tcW w:w="0" w:type="dxa"/>
            <w:vAlign w:val="bottom"/>
          </w:tcPr>
          <w:p>
            <w:pPr>
              <w:spacing w:after="0"/>
              <w:rPr>
                <w:sz w:val="1"/>
                <w:szCs w:val="1"/>
                <w:color w:val="auto"/>
              </w:rPr>
            </w:pPr>
          </w:p>
        </w:tc>
      </w:tr>
      <w:tr>
        <w:trPr>
          <w:trHeight w:val="207"/>
        </w:trPr>
        <w:tc>
          <w:tcPr>
            <w:tcW w:w="2240" w:type="dxa"/>
            <w:vAlign w:val="bottom"/>
            <w:tcBorders>
              <w:bottom w:val="single" w:sz="8" w:color="202020"/>
            </w:tcBorders>
            <w:shd w:val="clear" w:color="auto" w:fill="E9E9E9"/>
          </w:tcPr>
          <w:p>
            <w:pPr>
              <w:spacing w:after="0"/>
              <w:rPr>
                <w:sz w:val="17"/>
                <w:szCs w:val="17"/>
                <w:color w:val="auto"/>
              </w:rPr>
            </w:pPr>
          </w:p>
        </w:tc>
        <w:tc>
          <w:tcPr>
            <w:tcW w:w="520" w:type="dxa"/>
            <w:vAlign w:val="bottom"/>
            <w:tcBorders>
              <w:bottom w:val="single" w:sz="8" w:color="202020"/>
            </w:tcBorders>
            <w:vMerge w:val="continue"/>
            <w:shd w:val="clear" w:color="auto" w:fill="E9E9E9"/>
          </w:tcPr>
          <w:p>
            <w:pPr>
              <w:spacing w:after="0"/>
              <w:rPr>
                <w:sz w:val="17"/>
                <w:szCs w:val="17"/>
                <w:color w:val="auto"/>
              </w:rPr>
            </w:pPr>
          </w:p>
        </w:tc>
        <w:tc>
          <w:tcPr>
            <w:tcW w:w="680" w:type="dxa"/>
            <w:vAlign w:val="bottom"/>
            <w:tcBorders>
              <w:bottom w:val="single" w:sz="8" w:color="202020"/>
            </w:tcBorders>
            <w:vMerge w:val="continue"/>
            <w:shd w:val="clear" w:color="auto" w:fill="E9E9E9"/>
          </w:tcPr>
          <w:p>
            <w:pPr>
              <w:spacing w:after="0"/>
              <w:rPr>
                <w:sz w:val="17"/>
                <w:szCs w:val="17"/>
                <w:color w:val="auto"/>
              </w:rPr>
            </w:pPr>
          </w:p>
        </w:tc>
        <w:tc>
          <w:tcPr>
            <w:tcW w:w="680" w:type="dxa"/>
            <w:vAlign w:val="bottom"/>
            <w:tcBorders>
              <w:bottom w:val="single" w:sz="8" w:color="202020"/>
            </w:tcBorders>
            <w:vMerge w:val="continue"/>
            <w:shd w:val="clear" w:color="auto" w:fill="E9E9E9"/>
          </w:tcPr>
          <w:p>
            <w:pPr>
              <w:spacing w:after="0"/>
              <w:rPr>
                <w:sz w:val="17"/>
                <w:szCs w:val="17"/>
                <w:color w:val="auto"/>
              </w:rPr>
            </w:pPr>
          </w:p>
        </w:tc>
        <w:tc>
          <w:tcPr>
            <w:tcW w:w="1480" w:type="dxa"/>
            <w:vAlign w:val="bottom"/>
            <w:tcBorders>
              <w:bottom w:val="single" w:sz="8" w:color="202020"/>
            </w:tcBorders>
            <w:gridSpan w:val="2"/>
            <w:vMerge w:val="continue"/>
            <w:shd w:val="clear" w:color="auto" w:fill="E9E9E9"/>
          </w:tcPr>
          <w:p>
            <w:pPr>
              <w:spacing w:after="0"/>
              <w:rPr>
                <w:sz w:val="17"/>
                <w:szCs w:val="17"/>
                <w:color w:val="auto"/>
              </w:rPr>
            </w:pPr>
          </w:p>
        </w:tc>
        <w:tc>
          <w:tcPr>
            <w:tcW w:w="1240" w:type="dxa"/>
            <w:vAlign w:val="bottom"/>
            <w:tcBorders>
              <w:bottom w:val="single" w:sz="8" w:color="202020"/>
            </w:tcBorders>
            <w:vMerge w:val="continue"/>
            <w:shd w:val="clear" w:color="auto" w:fill="E9E9E9"/>
          </w:tcPr>
          <w:p>
            <w:pPr>
              <w:spacing w:after="0"/>
              <w:rPr>
                <w:sz w:val="17"/>
                <w:szCs w:val="17"/>
                <w:color w:val="auto"/>
              </w:rPr>
            </w:pPr>
          </w:p>
        </w:tc>
        <w:tc>
          <w:tcPr>
            <w:tcW w:w="1220" w:type="dxa"/>
            <w:vAlign w:val="bottom"/>
            <w:tcBorders>
              <w:bottom w:val="single" w:sz="8" w:color="202020"/>
            </w:tcBorders>
            <w:vMerge w:val="continue"/>
            <w:shd w:val="clear" w:color="auto" w:fill="E9E9E9"/>
          </w:tcPr>
          <w:p>
            <w:pPr>
              <w:spacing w:after="0"/>
              <w:rPr>
                <w:sz w:val="17"/>
                <w:szCs w:val="17"/>
                <w:color w:val="auto"/>
              </w:rPr>
            </w:pPr>
          </w:p>
        </w:tc>
        <w:tc>
          <w:tcPr>
            <w:tcW w:w="1240" w:type="dxa"/>
            <w:vAlign w:val="bottom"/>
            <w:tcBorders>
              <w:bottom w:val="single" w:sz="8" w:color="202020"/>
            </w:tcBorders>
            <w:vMerge w:val="continue"/>
            <w:shd w:val="clear" w:color="auto" w:fill="E9E9E9"/>
          </w:tcPr>
          <w:p>
            <w:pPr>
              <w:spacing w:after="0"/>
              <w:rPr>
                <w:sz w:val="17"/>
                <w:szCs w:val="17"/>
                <w:color w:val="auto"/>
              </w:rPr>
            </w:pPr>
          </w:p>
        </w:tc>
        <w:tc>
          <w:tcPr>
            <w:tcW w:w="820" w:type="dxa"/>
            <w:vAlign w:val="bottom"/>
            <w:tcBorders>
              <w:bottom w:val="single" w:sz="8" w:color="202020"/>
            </w:tcBorders>
            <w:vMerge w:val="continue"/>
            <w:shd w:val="clear" w:color="auto" w:fill="E9E9E9"/>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0" w:right="180" w:hanging="399"/>
        <w:spacing w:after="0" w:line="302" w:lineRule="auto"/>
        <w:tabs>
          <w:tab w:leader="none" w:pos="400" w:val="left"/>
        </w:tabs>
        <w:numPr>
          <w:ilvl w:val="0"/>
          <w:numId w:val="23"/>
        </w:numPr>
        <w:rPr>
          <w:rFonts w:ascii="Arial" w:cs="Arial" w:eastAsia="Arial" w:hAnsi="Arial"/>
          <w:sz w:val="16"/>
          <w:szCs w:val="16"/>
          <w:color w:val="202020"/>
        </w:rPr>
      </w:pPr>
      <w:r>
        <w:rPr>
          <w:rFonts w:ascii="Arial" w:cs="Arial" w:eastAsia="Arial" w:hAnsi="Arial"/>
          <w:sz w:val="16"/>
          <w:szCs w:val="16"/>
          <w:color w:val="202020"/>
        </w:rPr>
        <w:t>The amounts in the Bonus column include annual bonus amounts earned by each of our Named Executive Officers in 2025, 2024 and 2023.</w:t>
      </w:r>
    </w:p>
    <w:p>
      <w:pPr>
        <w:spacing w:after="0" w:line="15" w:lineRule="exact"/>
        <w:rPr>
          <w:rFonts w:ascii="Arial" w:cs="Arial" w:eastAsia="Arial" w:hAnsi="Arial"/>
          <w:sz w:val="16"/>
          <w:szCs w:val="16"/>
          <w:color w:val="202020"/>
        </w:rPr>
      </w:pPr>
    </w:p>
    <w:p>
      <w:pPr>
        <w:ind w:left="400" w:right="20" w:hanging="399"/>
        <w:spacing w:after="0" w:line="267" w:lineRule="auto"/>
        <w:tabs>
          <w:tab w:leader="none" w:pos="400" w:val="left"/>
        </w:tabs>
        <w:numPr>
          <w:ilvl w:val="0"/>
          <w:numId w:val="23"/>
        </w:numPr>
        <w:rPr>
          <w:rFonts w:ascii="Arial" w:cs="Arial" w:eastAsia="Arial" w:hAnsi="Arial"/>
          <w:sz w:val="16"/>
          <w:szCs w:val="16"/>
          <w:color w:val="202020"/>
        </w:rPr>
      </w:pPr>
      <w:r>
        <w:rPr>
          <w:rFonts w:ascii="Arial" w:cs="Arial" w:eastAsia="Arial" w:hAnsi="Arial"/>
          <w:sz w:val="16"/>
          <w:szCs w:val="16"/>
          <w:color w:val="202020"/>
        </w:rPr>
        <w:t>The amounts in the Option Awards column reflect the dollar amounts for the aggregate grant date fair value in accordance with accounting principles generally accepted in the United States of America (U.S. GAAP) of stock option awards made in fiscal years ended December 31, 2025, 2024 and 2023 for annual awards pursuant to the 2021 Incentive Plan. For a discussion regarding the valuation of our stock option awards for financial statement reporting purposes, please refer to Note 2 in the Notes to the Financial Statements contained in our Annual Report on Form 10-K for the year ended December 31, 2025. These amounts do not represent the actual amounts paid to the Named Executive Officers or the actual value that may be realized by the Named Executive Officers upon exercise of such stock options.</w:t>
      </w:r>
    </w:p>
    <w:p>
      <w:pPr>
        <w:spacing w:after="0" w:line="43" w:lineRule="exact"/>
        <w:rPr>
          <w:rFonts w:ascii="Arial" w:cs="Arial" w:eastAsia="Arial" w:hAnsi="Arial"/>
          <w:sz w:val="16"/>
          <w:szCs w:val="16"/>
          <w:color w:val="202020"/>
        </w:rPr>
      </w:pPr>
    </w:p>
    <w:p>
      <w:pPr>
        <w:ind w:left="400" w:right="20" w:hanging="399"/>
        <w:spacing w:after="0" w:line="272" w:lineRule="auto"/>
        <w:tabs>
          <w:tab w:leader="none" w:pos="400" w:val="left"/>
        </w:tabs>
        <w:numPr>
          <w:ilvl w:val="0"/>
          <w:numId w:val="23"/>
        </w:numPr>
        <w:rPr>
          <w:rFonts w:ascii="Arial" w:cs="Arial" w:eastAsia="Arial" w:hAnsi="Arial"/>
          <w:sz w:val="16"/>
          <w:szCs w:val="16"/>
          <w:color w:val="202020"/>
        </w:rPr>
      </w:pPr>
      <w:r>
        <w:rPr>
          <w:rFonts w:ascii="Arial" w:cs="Arial" w:eastAsia="Arial" w:hAnsi="Arial"/>
          <w:sz w:val="16"/>
          <w:szCs w:val="16"/>
          <w:color w:val="202020"/>
        </w:rPr>
        <w:t>The amounts listed in the All Other Compensation column include our matching contribution to the 401(k) Savings Plan of each Named Executive Officer and premiums paid for life insurance under our nondiscriminatory group plan for each Named Executive Officer. In addition, Mr. Marucci’s compensation includes (i) the annual premium of $2,550 in 2025, 2024 and 2023 for a $1,000,000 term life insurance policy and (ii) $3,560, $5,531 and $4,051 for the personal use of a Company car in 2025, 2024 and 2023, respectively.</w:t>
      </w:r>
    </w:p>
    <w:p>
      <w:pPr>
        <w:spacing w:after="0" w:line="243" w:lineRule="exact"/>
        <w:rPr>
          <w:rFonts w:ascii="Arial" w:cs="Arial" w:eastAsia="Arial" w:hAnsi="Arial"/>
          <w:sz w:val="16"/>
          <w:szCs w:val="16"/>
          <w:color w:val="202020"/>
        </w:rPr>
      </w:pPr>
    </w:p>
    <w:p>
      <w:pPr>
        <w:ind w:left="400" w:hanging="399"/>
        <w:spacing w:after="0"/>
        <w:tabs>
          <w:tab w:leader="none" w:pos="400" w:val="left"/>
        </w:tabs>
        <w:numPr>
          <w:ilvl w:val="0"/>
          <w:numId w:val="23"/>
        </w:numPr>
        <w:rPr>
          <w:rFonts w:ascii="Arial" w:cs="Arial" w:eastAsia="Arial" w:hAnsi="Arial"/>
          <w:sz w:val="16"/>
          <w:szCs w:val="16"/>
          <w:color w:val="202020"/>
        </w:rPr>
      </w:pPr>
      <w:r>
        <w:rPr>
          <w:rFonts w:ascii="Arial" w:cs="Arial" w:eastAsia="Arial" w:hAnsi="Arial"/>
          <w:sz w:val="16"/>
          <w:szCs w:val="16"/>
          <w:color w:val="202020"/>
        </w:rPr>
        <w:t>Ms. Crowley became Senior Vice President and Chief Product Development in August 2016.</w:t>
      </w:r>
    </w:p>
    <w:p>
      <w:pPr>
        <w:sectPr>
          <w:pgSz w:w="11880" w:h="15480" w:orient="portrait"/>
          <w:cols w:equalWidth="0" w:num="1">
            <w:col w:w="10140"/>
          </w:cols>
          <w:pgMar w:left="880" w:top="544" w:right="86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38 |</w:t>
        <w:tab/>
        <w:t>Celldex Therapeutics</w:t>
      </w:r>
    </w:p>
    <w:p>
      <w:pPr>
        <w:sectPr>
          <w:pgSz w:w="11880" w:h="15480" w:orient="portrait"/>
          <w:cols w:equalWidth="0" w:num="1">
            <w:col w:w="10140"/>
          </w:cols>
          <w:pgMar w:left="880" w:top="544" w:right="860" w:bottom="96"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Grants of Plan-Based Awards</w:t>
      </w:r>
    </w:p>
    <w:p>
      <w:pPr>
        <w:spacing w:after="0" w:line="180" w:lineRule="exact"/>
        <w:rPr>
          <w:sz w:val="20"/>
          <w:szCs w:val="20"/>
          <w:color w:val="auto"/>
        </w:rPr>
      </w:pPr>
    </w:p>
    <w:p>
      <w:pPr>
        <w:ind w:right="580"/>
        <w:spacing w:after="0" w:line="297" w:lineRule="auto"/>
        <w:rPr>
          <w:sz w:val="20"/>
          <w:szCs w:val="20"/>
          <w:color w:val="auto"/>
        </w:rPr>
      </w:pPr>
      <w:r>
        <w:rPr>
          <w:rFonts w:ascii="Arial" w:cs="Arial" w:eastAsia="Arial" w:hAnsi="Arial"/>
          <w:sz w:val="18"/>
          <w:szCs w:val="18"/>
          <w:color w:val="202020"/>
        </w:rPr>
        <w:t>The following table provides information on stock options and stock awards granted in 2025 to each of our Named Executive Officers.</w:t>
      </w:r>
    </w:p>
    <w:p>
      <w:pPr>
        <w:sectPr>
          <w:pgSz w:w="11880" w:h="15480" w:orient="portrait"/>
          <w:cols w:equalWidth="0" w:num="1">
            <w:col w:w="10120"/>
          </w:cols>
          <w:pgMar w:left="880" w:top="544" w:right="880" w:bottom="96" w:gutter="0" w:footer="0" w:header="0"/>
        </w:sectPr>
      </w:pP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202020"/>
              </w:rPr>
              <w:t>All Other</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02020"/>
              </w:rPr>
              <w:t>All Other</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Stock</w:t>
            </w: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Option</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202020"/>
              </w:rPr>
              <w:t>Estimated Future</w:t>
            </w:r>
          </w:p>
        </w:tc>
        <w:tc>
          <w:tcPr>
            <w:tcW w:w="9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Awards:</w:t>
            </w:r>
          </w:p>
        </w:tc>
        <w:tc>
          <w:tcPr>
            <w:tcW w:w="9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Awards:</w:t>
            </w:r>
          </w:p>
        </w:tc>
        <w:tc>
          <w:tcPr>
            <w:tcW w:w="0" w:type="dxa"/>
            <w:vAlign w:val="bottom"/>
          </w:tcPr>
          <w:p>
            <w:pPr>
              <w:spacing w:after="0"/>
              <w:rPr>
                <w:sz w:val="1"/>
                <w:szCs w:val="1"/>
                <w:color w:val="auto"/>
              </w:rPr>
            </w:pPr>
          </w:p>
        </w:tc>
      </w:tr>
      <w:tr>
        <w:trPr>
          <w:trHeight w:val="70"/>
        </w:trPr>
        <w:tc>
          <w:tcPr>
            <w:tcW w:w="16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980" w:type="dxa"/>
            <w:vAlign w:val="bottom"/>
            <w:vMerge w:val="restart"/>
          </w:tcPr>
          <w:p>
            <w:pPr>
              <w:jc w:val="center"/>
              <w:spacing w:after="0" w:line="180" w:lineRule="exact"/>
              <w:rPr>
                <w:sz w:val="20"/>
                <w:szCs w:val="20"/>
                <w:color w:val="auto"/>
              </w:rPr>
            </w:pPr>
            <w:r>
              <w:rPr>
                <w:rFonts w:ascii="Arial" w:cs="Arial" w:eastAsia="Arial" w:hAnsi="Arial"/>
                <w:sz w:val="16"/>
                <w:szCs w:val="16"/>
                <w:b w:val="1"/>
                <w:bCs w:val="1"/>
                <w:color w:val="202020"/>
              </w:rPr>
              <w:t>Number of</w:t>
            </w:r>
          </w:p>
        </w:tc>
        <w:tc>
          <w:tcPr>
            <w:tcW w:w="920" w:type="dxa"/>
            <w:vAlign w:val="bottom"/>
            <w:vMerge w:val="restart"/>
          </w:tcPr>
          <w:p>
            <w:pPr>
              <w:jc w:val="center"/>
              <w:spacing w:after="0" w:line="180" w:lineRule="exact"/>
              <w:rPr>
                <w:sz w:val="20"/>
                <w:szCs w:val="20"/>
                <w:color w:val="auto"/>
              </w:rPr>
            </w:pPr>
            <w:r>
              <w:rPr>
                <w:rFonts w:ascii="Arial" w:cs="Arial" w:eastAsia="Arial" w:hAnsi="Arial"/>
                <w:sz w:val="16"/>
                <w:szCs w:val="16"/>
                <w:b w:val="1"/>
                <w:bCs w:val="1"/>
                <w:color w:val="202020"/>
              </w:rPr>
              <w:t>Number of</w:t>
            </w:r>
          </w:p>
        </w:tc>
        <w:tc>
          <w:tcPr>
            <w:tcW w:w="0" w:type="dxa"/>
            <w:vAlign w:val="bottom"/>
          </w:tcPr>
          <w:p>
            <w:pPr>
              <w:spacing w:after="0"/>
              <w:rPr>
                <w:sz w:val="1"/>
                <w:szCs w:val="1"/>
                <w:color w:val="auto"/>
              </w:rPr>
            </w:pPr>
          </w:p>
        </w:tc>
      </w:tr>
      <w:tr>
        <w:trPr>
          <w:trHeight w:val="110"/>
        </w:trPr>
        <w:tc>
          <w:tcPr>
            <w:tcW w:w="16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440" w:type="dxa"/>
            <w:vAlign w:val="bottom"/>
            <w:gridSpan w:val="3"/>
            <w:vMerge w:val="restart"/>
          </w:tcPr>
          <w:p>
            <w:pPr>
              <w:jc w:val="center"/>
              <w:spacing w:after="0" w:line="180" w:lineRule="exact"/>
              <w:rPr>
                <w:sz w:val="20"/>
                <w:szCs w:val="20"/>
                <w:color w:val="auto"/>
              </w:rPr>
            </w:pPr>
            <w:r>
              <w:rPr>
                <w:rFonts w:ascii="Arial" w:cs="Arial" w:eastAsia="Arial" w:hAnsi="Arial"/>
                <w:sz w:val="16"/>
                <w:szCs w:val="16"/>
                <w:b w:val="1"/>
                <w:bCs w:val="1"/>
                <w:color w:val="202020"/>
              </w:rPr>
              <w:t>Payouts Under</w:t>
            </w:r>
          </w:p>
        </w:tc>
        <w:tc>
          <w:tcPr>
            <w:tcW w:w="9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6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Shares of</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Securities</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40" w:type="dxa"/>
            <w:vAlign w:val="bottom"/>
            <w:gridSpan w:val="3"/>
          </w:tcPr>
          <w:p>
            <w:pPr>
              <w:jc w:val="center"/>
              <w:spacing w:after="0" w:line="171" w:lineRule="exact"/>
              <w:rPr>
                <w:sz w:val="20"/>
                <w:szCs w:val="20"/>
                <w:color w:val="auto"/>
              </w:rPr>
            </w:pPr>
            <w:r>
              <w:rPr>
                <w:rFonts w:ascii="Arial" w:cs="Arial" w:eastAsia="Arial" w:hAnsi="Arial"/>
                <w:sz w:val="16"/>
                <w:szCs w:val="16"/>
                <w:b w:val="1"/>
                <w:bCs w:val="1"/>
                <w:color w:val="202020"/>
              </w:rPr>
              <w:t>Equity Incentive Plan Awards</w:t>
            </w: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1760" w:type="dxa"/>
            <w:vAlign w:val="bottom"/>
            <w:vMerge w:val="restart"/>
          </w:tcPr>
          <w:p>
            <w:pPr>
              <w:jc w:val="center"/>
              <w:ind w:left="960"/>
              <w:spacing w:after="0"/>
              <w:rPr>
                <w:sz w:val="20"/>
                <w:szCs w:val="20"/>
                <w:color w:val="auto"/>
              </w:rPr>
            </w:pPr>
            <w:r>
              <w:rPr>
                <w:rFonts w:ascii="Arial" w:cs="Arial" w:eastAsia="Arial" w:hAnsi="Arial"/>
                <w:sz w:val="16"/>
                <w:szCs w:val="16"/>
                <w:b w:val="1"/>
                <w:bCs w:val="1"/>
                <w:color w:val="202020"/>
              </w:rPr>
              <w:t>Grant</w:t>
            </w:r>
          </w:p>
        </w:tc>
        <w:tc>
          <w:tcPr>
            <w:tcW w:w="900" w:type="dxa"/>
            <w:vAlign w:val="bottom"/>
            <w:tcBorders>
              <w:bottom w:val="single" w:sz="8" w:color="202020"/>
            </w:tcBorders>
          </w:tcPr>
          <w:p>
            <w:pPr>
              <w:spacing w:after="0"/>
              <w:rPr>
                <w:sz w:val="7"/>
                <w:szCs w:val="7"/>
                <w:color w:val="auto"/>
              </w:rPr>
            </w:pPr>
          </w:p>
        </w:tc>
        <w:tc>
          <w:tcPr>
            <w:tcW w:w="620" w:type="dxa"/>
            <w:vAlign w:val="bottom"/>
            <w:tcBorders>
              <w:bottom w:val="single" w:sz="8" w:color="202020"/>
            </w:tcBorders>
          </w:tcPr>
          <w:p>
            <w:pPr>
              <w:spacing w:after="0"/>
              <w:rPr>
                <w:sz w:val="7"/>
                <w:szCs w:val="7"/>
                <w:color w:val="auto"/>
              </w:rPr>
            </w:pPr>
          </w:p>
        </w:tc>
        <w:tc>
          <w:tcPr>
            <w:tcW w:w="920" w:type="dxa"/>
            <w:vAlign w:val="bottom"/>
            <w:tcBorders>
              <w:bottom w:val="single" w:sz="8" w:color="202020"/>
            </w:tcBorders>
          </w:tcPr>
          <w:p>
            <w:pPr>
              <w:spacing w:after="0"/>
              <w:rPr>
                <w:sz w:val="7"/>
                <w:szCs w:val="7"/>
                <w:color w:val="auto"/>
              </w:rPr>
            </w:pPr>
          </w:p>
        </w:tc>
        <w:tc>
          <w:tcPr>
            <w:tcW w:w="980" w:type="dxa"/>
            <w:vAlign w:val="bottom"/>
          </w:tcPr>
          <w:p>
            <w:pPr>
              <w:jc w:val="center"/>
              <w:spacing w:after="0" w:line="90" w:lineRule="exact"/>
              <w:rPr>
                <w:sz w:val="20"/>
                <w:szCs w:val="20"/>
                <w:color w:val="auto"/>
              </w:rPr>
            </w:pPr>
            <w:r>
              <w:rPr>
                <w:rFonts w:ascii="Arial" w:cs="Arial" w:eastAsia="Arial" w:hAnsi="Arial"/>
                <w:sz w:val="10"/>
                <w:szCs w:val="10"/>
                <w:b w:val="1"/>
                <w:bCs w:val="1"/>
                <w:color w:val="202020"/>
              </w:rPr>
              <w:t>Stock or</w:t>
            </w:r>
          </w:p>
        </w:tc>
        <w:tc>
          <w:tcPr>
            <w:tcW w:w="920" w:type="dxa"/>
            <w:vAlign w:val="bottom"/>
          </w:tcPr>
          <w:p>
            <w:pPr>
              <w:jc w:val="center"/>
              <w:spacing w:after="0" w:line="90" w:lineRule="exact"/>
              <w:rPr>
                <w:sz w:val="20"/>
                <w:szCs w:val="20"/>
                <w:color w:val="auto"/>
              </w:rPr>
            </w:pPr>
            <w:r>
              <w:rPr>
                <w:rFonts w:ascii="Arial" w:cs="Arial" w:eastAsia="Arial" w:hAnsi="Arial"/>
                <w:sz w:val="10"/>
                <w:szCs w:val="10"/>
                <w:b w:val="1"/>
                <w:bCs w:val="1"/>
                <w:color w:val="202020"/>
              </w:rPr>
              <w:t>Underlying</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202020"/>
              </w:rPr>
              <w:t>Threshold</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202020"/>
              </w:rPr>
              <w:t>Target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02020"/>
              </w:rPr>
              <w:t>Maximum</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02020"/>
              </w:rPr>
              <w:t>Units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02020"/>
              </w:rPr>
              <w:t>Options</w:t>
            </w:r>
          </w:p>
        </w:tc>
        <w:tc>
          <w:tcPr>
            <w:tcW w:w="0" w:type="dxa"/>
            <w:vAlign w:val="bottom"/>
          </w:tcPr>
          <w:p>
            <w:pPr>
              <w:spacing w:after="0"/>
              <w:rPr>
                <w:sz w:val="1"/>
                <w:szCs w:val="1"/>
                <w:color w:val="auto"/>
              </w:rPr>
            </w:pPr>
          </w:p>
        </w:tc>
      </w:tr>
      <w:tr>
        <w:trPr>
          <w:trHeight w:val="217"/>
        </w:trPr>
        <w:tc>
          <w:tcPr>
            <w:tcW w:w="1660" w:type="dxa"/>
            <w:vAlign w:val="bottom"/>
          </w:tcPr>
          <w:p>
            <w:pPr>
              <w:spacing w:after="0"/>
              <w:rPr>
                <w:sz w:val="20"/>
                <w:szCs w:val="20"/>
                <w:color w:val="auto"/>
              </w:rPr>
            </w:pPr>
            <w:r>
              <w:rPr>
                <w:rFonts w:ascii="Arial" w:cs="Arial" w:eastAsia="Arial" w:hAnsi="Arial"/>
                <w:sz w:val="16"/>
                <w:szCs w:val="16"/>
                <w:b w:val="1"/>
                <w:bCs w:val="1"/>
                <w:color w:val="202020"/>
              </w:rPr>
              <w:t>Name</w:t>
            </w:r>
          </w:p>
        </w:tc>
        <w:tc>
          <w:tcPr>
            <w:tcW w:w="1760" w:type="dxa"/>
            <w:vAlign w:val="bottom"/>
          </w:tcPr>
          <w:p>
            <w:pPr>
              <w:jc w:val="center"/>
              <w:ind w:left="980"/>
              <w:spacing w:after="0"/>
              <w:rPr>
                <w:sz w:val="20"/>
                <w:szCs w:val="20"/>
                <w:color w:val="auto"/>
              </w:rPr>
            </w:pPr>
            <w:r>
              <w:rPr>
                <w:rFonts w:ascii="Arial" w:cs="Arial" w:eastAsia="Arial" w:hAnsi="Arial"/>
                <w:sz w:val="16"/>
                <w:szCs w:val="16"/>
                <w:b w:val="1"/>
                <w:bCs w:val="1"/>
                <w:color w:val="202020"/>
              </w:rPr>
              <w:t>Date</w:t>
            </w:r>
          </w:p>
        </w:tc>
        <w:tc>
          <w:tcPr>
            <w:tcW w:w="900" w:type="dxa"/>
            <w:vAlign w:val="bottom"/>
          </w:tcPr>
          <w:p>
            <w:pPr>
              <w:jc w:val="right"/>
              <w:ind w:right="260"/>
              <w:spacing w:after="0"/>
              <w:rPr>
                <w:sz w:val="20"/>
                <w:szCs w:val="20"/>
                <w:color w:val="auto"/>
              </w:rPr>
            </w:pPr>
            <w:r>
              <w:rPr>
                <w:rFonts w:ascii="Arial" w:cs="Arial" w:eastAsia="Arial" w:hAnsi="Arial"/>
                <w:sz w:val="16"/>
                <w:szCs w:val="16"/>
                <w:b w:val="1"/>
                <w:bCs w:val="1"/>
                <w:color w:val="202020"/>
              </w:rPr>
              <w:t>(#)</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202020"/>
              </w:rPr>
              <w:t>(#)</w:t>
            </w:r>
          </w:p>
        </w:tc>
        <w:tc>
          <w:tcPr>
            <w:tcW w:w="920" w:type="dxa"/>
            <w:vAlign w:val="bottom"/>
          </w:tcPr>
          <w:p>
            <w:pPr>
              <w:jc w:val="right"/>
              <w:ind w:right="280"/>
              <w:spacing w:after="0"/>
              <w:rPr>
                <w:sz w:val="20"/>
                <w:szCs w:val="20"/>
                <w:color w:val="auto"/>
              </w:rPr>
            </w:pPr>
            <w:r>
              <w:rPr>
                <w:rFonts w:ascii="Arial" w:cs="Arial" w:eastAsia="Arial" w:hAnsi="Arial"/>
                <w:sz w:val="16"/>
                <w:szCs w:val="16"/>
                <w:b w:val="1"/>
                <w:bCs w:val="1"/>
                <w:color w:val="202020"/>
              </w:rPr>
              <w:t>(#)</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202020"/>
              </w:rPr>
              <w: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20202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02020"/>
              </w:rPr>
              <w:t>Grant Date</w:t>
            </w:r>
          </w:p>
        </w:tc>
      </w:tr>
      <w:tr>
        <w:trPr>
          <w:trHeight w:val="180"/>
        </w:trPr>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w w:val="99"/>
              </w:rPr>
              <w:t>Exercise or</w:t>
            </w:r>
          </w:p>
        </w:tc>
        <w:tc>
          <w:tcPr>
            <w:tcW w:w="10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Fair Value of</w:t>
            </w:r>
          </w:p>
        </w:tc>
      </w:tr>
      <w:tr>
        <w:trPr>
          <w:trHeight w:val="180"/>
        </w:trPr>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Base Price of</w:t>
            </w:r>
          </w:p>
        </w:tc>
        <w:tc>
          <w:tcPr>
            <w:tcW w:w="10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Stock and</w:t>
            </w:r>
          </w:p>
        </w:tc>
      </w:tr>
      <w:tr>
        <w:trPr>
          <w:trHeight w:val="180"/>
        </w:trPr>
        <w:tc>
          <w:tcPr>
            <w:tcW w:w="10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Option</w:t>
            </w:r>
          </w:p>
        </w:tc>
        <w:tc>
          <w:tcPr>
            <w:tcW w:w="10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Option</w:t>
            </w:r>
          </w:p>
        </w:tc>
      </w:tr>
      <w:tr>
        <w:trPr>
          <w:trHeight w:val="179"/>
        </w:trPr>
        <w:tc>
          <w:tcPr>
            <w:tcW w:w="10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Awards</w:t>
            </w:r>
          </w:p>
        </w:tc>
        <w:tc>
          <w:tcPr>
            <w:tcW w:w="10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Awards</w:t>
            </w:r>
          </w:p>
        </w:tc>
      </w:tr>
      <w:tr>
        <w:trPr>
          <w:trHeight w:val="251"/>
        </w:trPr>
        <w:tc>
          <w:tcPr>
            <w:tcW w:w="1080" w:type="dxa"/>
            <w:vAlign w:val="bottom"/>
          </w:tcPr>
          <w:p>
            <w:pPr>
              <w:jc w:val="center"/>
              <w:spacing w:after="0"/>
              <w:rPr>
                <w:sz w:val="20"/>
                <w:szCs w:val="20"/>
                <w:color w:val="auto"/>
              </w:rPr>
            </w:pPr>
            <w:r>
              <w:rPr>
                <w:rFonts w:ascii="Arial" w:cs="Arial" w:eastAsia="Arial" w:hAnsi="Arial"/>
                <w:sz w:val="16"/>
                <w:szCs w:val="16"/>
                <w:b w:val="1"/>
                <w:bCs w:val="1"/>
                <w:color w:val="202020"/>
              </w:rPr>
              <w:t>($/Sh)</w:t>
            </w:r>
            <w:r>
              <w:rPr>
                <w:rFonts w:ascii="Arial" w:cs="Arial" w:eastAsia="Arial" w:hAnsi="Arial"/>
                <w:sz w:val="19"/>
                <w:szCs w:val="19"/>
                <w:b w:val="1"/>
                <w:bCs w:val="1"/>
                <w:color w:val="202020"/>
                <w:vertAlign w:val="superscript"/>
              </w:rPr>
              <w:t>(1)</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202020"/>
              </w:rPr>
              <w:t>($)</w:t>
            </w:r>
            <w:r>
              <w:rPr>
                <w:rFonts w:ascii="Arial" w:cs="Arial" w:eastAsia="Arial" w:hAnsi="Arial"/>
                <w:sz w:val="19"/>
                <w:szCs w:val="19"/>
                <w:b w:val="1"/>
                <w:bCs w:val="1"/>
                <w:color w:val="202020"/>
                <w:vertAlign w:val="superscript"/>
              </w:rPr>
              <w:t>(2)</w:t>
            </w:r>
          </w:p>
        </w:tc>
      </w:tr>
    </w:tbl>
    <w:p>
      <w:pPr>
        <w:spacing w:after="0" w:line="1" w:lineRule="exact"/>
        <w:rPr>
          <w:sz w:val="20"/>
          <w:szCs w:val="20"/>
          <w:color w:val="auto"/>
        </w:rPr>
      </w:pPr>
    </w:p>
    <w:p>
      <w:pPr>
        <w:sectPr>
          <w:pgSz w:w="11880" w:h="15480" w:orient="portrait"/>
          <w:cols w:equalWidth="0" w:num="2">
            <w:col w:w="7820" w:space="120"/>
            <w:col w:w="2180"/>
          </w:cols>
          <w:pgMar w:left="880" w:top="544" w:right="880" w:bottom="96" w:gutter="0" w:footer="0" w:header="0"/>
          <w:type w:val="continuous"/>
        </w:sectPr>
      </w:pPr>
    </w:p>
    <w:tbl>
      <w:tblPr>
        <w:tblLayout w:type="fixed"/>
        <w:tblInd w:w="0" w:type="dxa"/>
        <w:tblCellMar>
          <w:top w:w="0" w:type="dxa"/>
          <w:left w:w="0" w:type="dxa"/>
          <w:bottom w:w="0" w:type="dxa"/>
          <w:right w:w="0" w:type="dxa"/>
        </w:tblCellMar>
      </w:tblPr>
      <w:tr>
        <w:trPr>
          <w:trHeight w:val="289"/>
        </w:trPr>
        <w:tc>
          <w:tcPr>
            <w:tcW w:w="2660" w:type="dxa"/>
            <w:vAlign w:val="bottom"/>
            <w:tcBorders>
              <w:top w:val="single" w:sz="8" w:color="202020"/>
              <w:bottom w:val="single" w:sz="8" w:color="E9E9E9"/>
            </w:tcBorders>
            <w:shd w:val="clear" w:color="auto" w:fill="E9E9E9"/>
          </w:tcPr>
          <w:p>
            <w:pPr>
              <w:ind w:left="60"/>
              <w:spacing w:after="0"/>
              <w:rPr>
                <w:sz w:val="20"/>
                <w:szCs w:val="20"/>
                <w:color w:val="auto"/>
              </w:rPr>
            </w:pPr>
            <w:r>
              <w:rPr>
                <w:rFonts w:ascii="Arial" w:cs="Arial" w:eastAsia="Arial" w:hAnsi="Arial"/>
                <w:sz w:val="20"/>
                <w:szCs w:val="20"/>
                <w:color w:val="202020"/>
              </w:rPr>
              <w:t>Anthony S. Marucci</w:t>
            </w:r>
          </w:p>
        </w:tc>
        <w:tc>
          <w:tcPr>
            <w:tcW w:w="2600" w:type="dxa"/>
            <w:vAlign w:val="bottom"/>
            <w:tcBorders>
              <w:top w:val="single" w:sz="8" w:color="202020"/>
              <w:bottom w:val="single" w:sz="8" w:color="E9E9E9"/>
            </w:tcBorders>
            <w:shd w:val="clear" w:color="auto" w:fill="E9E9E9"/>
          </w:tcPr>
          <w:p>
            <w:pPr>
              <w:jc w:val="right"/>
              <w:ind w:right="1740"/>
              <w:spacing w:after="0"/>
              <w:rPr>
                <w:sz w:val="20"/>
                <w:szCs w:val="20"/>
                <w:color w:val="auto"/>
              </w:rPr>
            </w:pPr>
            <w:r>
              <w:rPr>
                <w:rFonts w:ascii="Arial" w:cs="Arial" w:eastAsia="Arial" w:hAnsi="Arial"/>
                <w:sz w:val="20"/>
                <w:szCs w:val="20"/>
                <w:color w:val="202020"/>
              </w:rPr>
              <w:t>6/5/25</w:t>
            </w:r>
          </w:p>
        </w:tc>
        <w:tc>
          <w:tcPr>
            <w:tcW w:w="2880" w:type="dxa"/>
            <w:vAlign w:val="bottom"/>
            <w:tcBorders>
              <w:top w:val="single" w:sz="8" w:color="202020"/>
              <w:bottom w:val="single" w:sz="8" w:color="E9E9E9"/>
            </w:tcBorders>
            <w:shd w:val="clear" w:color="auto" w:fill="E9E9E9"/>
          </w:tcPr>
          <w:p>
            <w:pPr>
              <w:jc w:val="right"/>
              <w:ind w:right="220"/>
              <w:spacing w:after="0"/>
              <w:rPr>
                <w:sz w:val="20"/>
                <w:szCs w:val="20"/>
                <w:color w:val="auto"/>
              </w:rPr>
            </w:pPr>
            <w:r>
              <w:rPr>
                <w:rFonts w:ascii="Arial" w:cs="Arial" w:eastAsia="Arial" w:hAnsi="Arial"/>
                <w:sz w:val="20"/>
                <w:szCs w:val="20"/>
                <w:color w:val="202020"/>
              </w:rPr>
              <w:t>300,000</w:t>
            </w:r>
          </w:p>
        </w:tc>
        <w:tc>
          <w:tcPr>
            <w:tcW w:w="920" w:type="dxa"/>
            <w:vAlign w:val="bottom"/>
            <w:tcBorders>
              <w:top w:val="single" w:sz="8" w:color="202020"/>
              <w:bottom w:val="single" w:sz="8" w:color="E9E9E9"/>
            </w:tcBorders>
            <w:shd w:val="clear" w:color="auto" w:fill="E9E9E9"/>
          </w:tcPr>
          <w:p>
            <w:pPr>
              <w:jc w:val="right"/>
              <w:spacing w:after="0"/>
              <w:rPr>
                <w:sz w:val="20"/>
                <w:szCs w:val="20"/>
                <w:color w:val="auto"/>
              </w:rPr>
            </w:pPr>
            <w:r>
              <w:rPr>
                <w:rFonts w:ascii="Arial" w:cs="Arial" w:eastAsia="Arial" w:hAnsi="Arial"/>
                <w:sz w:val="20"/>
                <w:szCs w:val="20"/>
                <w:color w:val="202020"/>
              </w:rPr>
              <w:t>19.53</w:t>
            </w:r>
          </w:p>
        </w:tc>
        <w:tc>
          <w:tcPr>
            <w:tcW w:w="1060" w:type="dxa"/>
            <w:vAlign w:val="bottom"/>
            <w:tcBorders>
              <w:top w:val="single" w:sz="8" w:color="202020"/>
              <w:bottom w:val="single" w:sz="8" w:color="E9E9E9"/>
            </w:tcBorders>
            <w:shd w:val="clear" w:color="auto" w:fill="E9E9E9"/>
          </w:tcPr>
          <w:p>
            <w:pPr>
              <w:jc w:val="right"/>
              <w:spacing w:after="0"/>
              <w:rPr>
                <w:sz w:val="20"/>
                <w:szCs w:val="20"/>
                <w:color w:val="auto"/>
              </w:rPr>
            </w:pPr>
            <w:r>
              <w:rPr>
                <w:rFonts w:ascii="Arial" w:cs="Arial" w:eastAsia="Arial" w:hAnsi="Arial"/>
                <w:sz w:val="20"/>
                <w:szCs w:val="20"/>
                <w:color w:val="202020"/>
              </w:rPr>
              <w:t>4,027,590</w:t>
            </w:r>
          </w:p>
        </w:tc>
      </w:tr>
      <w:tr>
        <w:trPr>
          <w:trHeight w:val="278"/>
        </w:trPr>
        <w:tc>
          <w:tcPr>
            <w:tcW w:w="2660" w:type="dxa"/>
            <w:vAlign w:val="bottom"/>
          </w:tcPr>
          <w:p>
            <w:pPr>
              <w:ind w:left="60"/>
              <w:spacing w:after="0"/>
              <w:rPr>
                <w:sz w:val="20"/>
                <w:szCs w:val="20"/>
                <w:color w:val="auto"/>
              </w:rPr>
            </w:pPr>
            <w:r>
              <w:rPr>
                <w:rFonts w:ascii="Arial" w:cs="Arial" w:eastAsia="Arial" w:hAnsi="Arial"/>
                <w:sz w:val="20"/>
                <w:szCs w:val="20"/>
                <w:color w:val="202020"/>
              </w:rPr>
              <w:t>Tibor Keler, Ph.D.</w:t>
            </w:r>
          </w:p>
        </w:tc>
        <w:tc>
          <w:tcPr>
            <w:tcW w:w="2600" w:type="dxa"/>
            <w:vAlign w:val="bottom"/>
          </w:tcPr>
          <w:p>
            <w:pPr>
              <w:jc w:val="right"/>
              <w:ind w:right="1740"/>
              <w:spacing w:after="0"/>
              <w:rPr>
                <w:sz w:val="20"/>
                <w:szCs w:val="20"/>
                <w:color w:val="auto"/>
              </w:rPr>
            </w:pPr>
            <w:r>
              <w:rPr>
                <w:rFonts w:ascii="Arial" w:cs="Arial" w:eastAsia="Arial" w:hAnsi="Arial"/>
                <w:sz w:val="20"/>
                <w:szCs w:val="20"/>
                <w:color w:val="202020"/>
              </w:rPr>
              <w:t>6/5/25</w:t>
            </w:r>
          </w:p>
        </w:tc>
        <w:tc>
          <w:tcPr>
            <w:tcW w:w="2880" w:type="dxa"/>
            <w:vAlign w:val="bottom"/>
          </w:tcPr>
          <w:p>
            <w:pPr>
              <w:jc w:val="right"/>
              <w:ind w:right="220"/>
              <w:spacing w:after="0"/>
              <w:rPr>
                <w:sz w:val="20"/>
                <w:szCs w:val="20"/>
                <w:color w:val="auto"/>
              </w:rPr>
            </w:pPr>
            <w:r>
              <w:rPr>
                <w:rFonts w:ascii="Arial" w:cs="Arial" w:eastAsia="Arial" w:hAnsi="Arial"/>
                <w:sz w:val="20"/>
                <w:szCs w:val="20"/>
                <w:color w:val="202020"/>
              </w:rPr>
              <w:t>93,000</w:t>
            </w:r>
          </w:p>
        </w:tc>
        <w:tc>
          <w:tcPr>
            <w:tcW w:w="920" w:type="dxa"/>
            <w:vAlign w:val="bottom"/>
          </w:tcPr>
          <w:p>
            <w:pPr>
              <w:jc w:val="right"/>
              <w:spacing w:after="0"/>
              <w:rPr>
                <w:sz w:val="20"/>
                <w:szCs w:val="20"/>
                <w:color w:val="auto"/>
              </w:rPr>
            </w:pPr>
            <w:r>
              <w:rPr>
                <w:rFonts w:ascii="Arial" w:cs="Arial" w:eastAsia="Arial" w:hAnsi="Arial"/>
                <w:sz w:val="20"/>
                <w:szCs w:val="20"/>
                <w:color w:val="202020"/>
              </w:rPr>
              <w:t>19.53</w:t>
            </w:r>
          </w:p>
        </w:tc>
        <w:tc>
          <w:tcPr>
            <w:tcW w:w="1060" w:type="dxa"/>
            <w:vAlign w:val="bottom"/>
          </w:tcPr>
          <w:p>
            <w:pPr>
              <w:jc w:val="right"/>
              <w:spacing w:after="0"/>
              <w:rPr>
                <w:sz w:val="20"/>
                <w:szCs w:val="20"/>
                <w:color w:val="auto"/>
              </w:rPr>
            </w:pPr>
            <w:r>
              <w:rPr>
                <w:rFonts w:ascii="Arial" w:cs="Arial" w:eastAsia="Arial" w:hAnsi="Arial"/>
                <w:sz w:val="20"/>
                <w:szCs w:val="20"/>
                <w:color w:val="202020"/>
              </w:rPr>
              <w:t>1,248,553</w:t>
            </w:r>
          </w:p>
        </w:tc>
      </w:tr>
      <w:tr>
        <w:trPr>
          <w:trHeight w:val="22"/>
        </w:trPr>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9"/>
        </w:trPr>
        <w:tc>
          <w:tcPr>
            <w:tcW w:w="26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20"/>
                <w:szCs w:val="20"/>
                <w:color w:val="202020"/>
              </w:rPr>
              <w:t>Elizabeth Crowley</w:t>
            </w:r>
          </w:p>
        </w:tc>
        <w:tc>
          <w:tcPr>
            <w:tcW w:w="2600" w:type="dxa"/>
            <w:vAlign w:val="bottom"/>
            <w:tcBorders>
              <w:bottom w:val="single" w:sz="8" w:color="E9E9E9"/>
            </w:tcBorders>
            <w:shd w:val="clear" w:color="auto" w:fill="E9E9E9"/>
          </w:tcPr>
          <w:p>
            <w:pPr>
              <w:jc w:val="right"/>
              <w:ind w:right="1740"/>
              <w:spacing w:after="0"/>
              <w:rPr>
                <w:sz w:val="20"/>
                <w:szCs w:val="20"/>
                <w:color w:val="auto"/>
              </w:rPr>
            </w:pPr>
            <w:r>
              <w:rPr>
                <w:rFonts w:ascii="Arial" w:cs="Arial" w:eastAsia="Arial" w:hAnsi="Arial"/>
                <w:sz w:val="20"/>
                <w:szCs w:val="20"/>
                <w:color w:val="202020"/>
              </w:rPr>
              <w:t>6/5/25</w:t>
            </w:r>
          </w:p>
        </w:tc>
        <w:tc>
          <w:tcPr>
            <w:tcW w:w="2880" w:type="dxa"/>
            <w:vAlign w:val="bottom"/>
            <w:tcBorders>
              <w:bottom w:val="single" w:sz="8" w:color="E9E9E9"/>
            </w:tcBorders>
            <w:shd w:val="clear" w:color="auto" w:fill="E9E9E9"/>
          </w:tcPr>
          <w:p>
            <w:pPr>
              <w:jc w:val="right"/>
              <w:ind w:right="220"/>
              <w:spacing w:after="0"/>
              <w:rPr>
                <w:sz w:val="20"/>
                <w:szCs w:val="20"/>
                <w:color w:val="auto"/>
              </w:rPr>
            </w:pPr>
            <w:r>
              <w:rPr>
                <w:rFonts w:ascii="Arial" w:cs="Arial" w:eastAsia="Arial" w:hAnsi="Arial"/>
                <w:sz w:val="20"/>
                <w:szCs w:val="20"/>
                <w:color w:val="202020"/>
              </w:rPr>
              <w:t>85,000</w:t>
            </w:r>
          </w:p>
        </w:tc>
        <w:tc>
          <w:tcPr>
            <w:tcW w:w="9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20"/>
                <w:szCs w:val="20"/>
                <w:color w:val="202020"/>
              </w:rPr>
              <w:t>19.53</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20"/>
                <w:szCs w:val="20"/>
                <w:color w:val="202020"/>
              </w:rPr>
              <w:t>1,141,151</w:t>
            </w:r>
          </w:p>
        </w:tc>
      </w:tr>
      <w:tr>
        <w:trPr>
          <w:trHeight w:val="278"/>
        </w:trPr>
        <w:tc>
          <w:tcPr>
            <w:tcW w:w="2660" w:type="dxa"/>
            <w:vAlign w:val="bottom"/>
          </w:tcPr>
          <w:p>
            <w:pPr>
              <w:ind w:left="60"/>
              <w:spacing w:after="0"/>
              <w:rPr>
                <w:sz w:val="20"/>
                <w:szCs w:val="20"/>
                <w:color w:val="auto"/>
              </w:rPr>
            </w:pPr>
            <w:r>
              <w:rPr>
                <w:rFonts w:ascii="Arial" w:cs="Arial" w:eastAsia="Arial" w:hAnsi="Arial"/>
                <w:sz w:val="20"/>
                <w:szCs w:val="20"/>
                <w:color w:val="202020"/>
              </w:rPr>
              <w:t>Margo Heath-Chiozzi, M.D.</w:t>
            </w:r>
          </w:p>
        </w:tc>
        <w:tc>
          <w:tcPr>
            <w:tcW w:w="2600" w:type="dxa"/>
            <w:vAlign w:val="bottom"/>
          </w:tcPr>
          <w:p>
            <w:pPr>
              <w:jc w:val="right"/>
              <w:ind w:right="1740"/>
              <w:spacing w:after="0"/>
              <w:rPr>
                <w:sz w:val="20"/>
                <w:szCs w:val="20"/>
                <w:color w:val="auto"/>
              </w:rPr>
            </w:pPr>
            <w:r>
              <w:rPr>
                <w:rFonts w:ascii="Arial" w:cs="Arial" w:eastAsia="Arial" w:hAnsi="Arial"/>
                <w:sz w:val="20"/>
                <w:szCs w:val="20"/>
                <w:color w:val="202020"/>
              </w:rPr>
              <w:t>6/5/25</w:t>
            </w:r>
          </w:p>
        </w:tc>
        <w:tc>
          <w:tcPr>
            <w:tcW w:w="2880" w:type="dxa"/>
            <w:vAlign w:val="bottom"/>
          </w:tcPr>
          <w:p>
            <w:pPr>
              <w:jc w:val="right"/>
              <w:ind w:right="220"/>
              <w:spacing w:after="0"/>
              <w:rPr>
                <w:sz w:val="20"/>
                <w:szCs w:val="20"/>
                <w:color w:val="auto"/>
              </w:rPr>
            </w:pPr>
            <w:r>
              <w:rPr>
                <w:rFonts w:ascii="Arial" w:cs="Arial" w:eastAsia="Arial" w:hAnsi="Arial"/>
                <w:sz w:val="20"/>
                <w:szCs w:val="20"/>
                <w:color w:val="202020"/>
              </w:rPr>
              <w:t>82,000</w:t>
            </w:r>
          </w:p>
        </w:tc>
        <w:tc>
          <w:tcPr>
            <w:tcW w:w="920" w:type="dxa"/>
            <w:vAlign w:val="bottom"/>
          </w:tcPr>
          <w:p>
            <w:pPr>
              <w:jc w:val="right"/>
              <w:spacing w:after="0"/>
              <w:rPr>
                <w:sz w:val="20"/>
                <w:szCs w:val="20"/>
                <w:color w:val="auto"/>
              </w:rPr>
            </w:pPr>
            <w:r>
              <w:rPr>
                <w:rFonts w:ascii="Arial" w:cs="Arial" w:eastAsia="Arial" w:hAnsi="Arial"/>
                <w:sz w:val="20"/>
                <w:szCs w:val="20"/>
                <w:color w:val="202020"/>
              </w:rPr>
              <w:t>19.53</w:t>
            </w:r>
          </w:p>
        </w:tc>
        <w:tc>
          <w:tcPr>
            <w:tcW w:w="1060" w:type="dxa"/>
            <w:vAlign w:val="bottom"/>
          </w:tcPr>
          <w:p>
            <w:pPr>
              <w:jc w:val="right"/>
              <w:spacing w:after="0"/>
              <w:rPr>
                <w:sz w:val="20"/>
                <w:szCs w:val="20"/>
                <w:color w:val="auto"/>
              </w:rPr>
            </w:pPr>
            <w:r>
              <w:rPr>
                <w:rFonts w:ascii="Arial" w:cs="Arial" w:eastAsia="Arial" w:hAnsi="Arial"/>
                <w:sz w:val="20"/>
                <w:szCs w:val="20"/>
                <w:color w:val="202020"/>
              </w:rPr>
              <w:t>1,100,875</w:t>
            </w:r>
          </w:p>
        </w:tc>
      </w:tr>
      <w:tr>
        <w:trPr>
          <w:trHeight w:val="22"/>
        </w:trPr>
        <w:tc>
          <w:tcPr>
            <w:tcW w:w="2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9"/>
        </w:trPr>
        <w:tc>
          <w:tcPr>
            <w:tcW w:w="26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20"/>
                <w:szCs w:val="20"/>
                <w:color w:val="202020"/>
              </w:rPr>
              <w:t>Sam Martin</w:t>
            </w:r>
          </w:p>
        </w:tc>
        <w:tc>
          <w:tcPr>
            <w:tcW w:w="2600" w:type="dxa"/>
            <w:vAlign w:val="bottom"/>
            <w:tcBorders>
              <w:bottom w:val="single" w:sz="8" w:color="E9E9E9"/>
            </w:tcBorders>
            <w:shd w:val="clear" w:color="auto" w:fill="E9E9E9"/>
          </w:tcPr>
          <w:p>
            <w:pPr>
              <w:jc w:val="right"/>
              <w:ind w:right="1740"/>
              <w:spacing w:after="0"/>
              <w:rPr>
                <w:sz w:val="20"/>
                <w:szCs w:val="20"/>
                <w:color w:val="auto"/>
              </w:rPr>
            </w:pPr>
            <w:r>
              <w:rPr>
                <w:rFonts w:ascii="Arial" w:cs="Arial" w:eastAsia="Arial" w:hAnsi="Arial"/>
                <w:sz w:val="20"/>
                <w:szCs w:val="20"/>
                <w:color w:val="202020"/>
              </w:rPr>
              <w:t>6/5/25</w:t>
            </w:r>
          </w:p>
        </w:tc>
        <w:tc>
          <w:tcPr>
            <w:tcW w:w="2880" w:type="dxa"/>
            <w:vAlign w:val="bottom"/>
            <w:tcBorders>
              <w:bottom w:val="single" w:sz="8" w:color="E9E9E9"/>
            </w:tcBorders>
            <w:shd w:val="clear" w:color="auto" w:fill="E9E9E9"/>
          </w:tcPr>
          <w:p>
            <w:pPr>
              <w:jc w:val="right"/>
              <w:ind w:right="220"/>
              <w:spacing w:after="0"/>
              <w:rPr>
                <w:sz w:val="20"/>
                <w:szCs w:val="20"/>
                <w:color w:val="auto"/>
              </w:rPr>
            </w:pPr>
            <w:r>
              <w:rPr>
                <w:rFonts w:ascii="Arial" w:cs="Arial" w:eastAsia="Arial" w:hAnsi="Arial"/>
                <w:sz w:val="20"/>
                <w:szCs w:val="20"/>
                <w:color w:val="202020"/>
              </w:rPr>
              <w:t>81,000</w:t>
            </w:r>
          </w:p>
        </w:tc>
        <w:tc>
          <w:tcPr>
            <w:tcW w:w="9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20"/>
                <w:szCs w:val="20"/>
                <w:color w:val="202020"/>
              </w:rPr>
              <w:t>19.53</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20"/>
                <w:szCs w:val="20"/>
                <w:color w:val="202020"/>
              </w:rPr>
              <w:t>1,087,449</w:t>
            </w:r>
          </w:p>
        </w:tc>
      </w:tr>
      <w:tr>
        <w:trPr>
          <w:trHeight w:val="30"/>
        </w:trPr>
        <w:tc>
          <w:tcPr>
            <w:tcW w:w="2660" w:type="dxa"/>
            <w:vAlign w:val="bottom"/>
            <w:shd w:val="clear" w:color="auto" w:fill="202020"/>
          </w:tcPr>
          <w:p>
            <w:pPr>
              <w:spacing w:after="0"/>
              <w:rPr>
                <w:sz w:val="2"/>
                <w:szCs w:val="2"/>
                <w:color w:val="auto"/>
              </w:rPr>
            </w:pPr>
          </w:p>
        </w:tc>
        <w:tc>
          <w:tcPr>
            <w:tcW w:w="2600" w:type="dxa"/>
            <w:vAlign w:val="bottom"/>
            <w:shd w:val="clear" w:color="auto" w:fill="202020"/>
          </w:tcPr>
          <w:p>
            <w:pPr>
              <w:spacing w:after="0"/>
              <w:rPr>
                <w:sz w:val="2"/>
                <w:szCs w:val="2"/>
                <w:color w:val="auto"/>
              </w:rPr>
            </w:pPr>
          </w:p>
        </w:tc>
        <w:tc>
          <w:tcPr>
            <w:tcW w:w="2880" w:type="dxa"/>
            <w:vAlign w:val="bottom"/>
            <w:shd w:val="clear" w:color="auto" w:fill="202020"/>
          </w:tcPr>
          <w:p>
            <w:pPr>
              <w:spacing w:after="0"/>
              <w:rPr>
                <w:sz w:val="2"/>
                <w:szCs w:val="2"/>
                <w:color w:val="auto"/>
              </w:rPr>
            </w:pPr>
          </w:p>
        </w:tc>
        <w:tc>
          <w:tcPr>
            <w:tcW w:w="920" w:type="dxa"/>
            <w:vAlign w:val="bottom"/>
            <w:shd w:val="clear" w:color="auto" w:fill="202020"/>
          </w:tcPr>
          <w:p>
            <w:pPr>
              <w:spacing w:after="0"/>
              <w:rPr>
                <w:sz w:val="2"/>
                <w:szCs w:val="2"/>
                <w:color w:val="auto"/>
              </w:rPr>
            </w:pPr>
          </w:p>
        </w:tc>
        <w:tc>
          <w:tcPr>
            <w:tcW w:w="1060" w:type="dxa"/>
            <w:vAlign w:val="bottom"/>
            <w:shd w:val="clear" w:color="auto" w:fill="202020"/>
          </w:tcPr>
          <w:p>
            <w:pPr>
              <w:spacing w:after="0"/>
              <w:rPr>
                <w:sz w:val="2"/>
                <w:szCs w:val="2"/>
                <w:color w:val="auto"/>
              </w:rPr>
            </w:pPr>
          </w:p>
        </w:tc>
      </w:tr>
    </w:tbl>
    <w:p>
      <w:pPr>
        <w:spacing w:after="0" w:line="9" w:lineRule="exact"/>
        <w:rPr>
          <w:sz w:val="20"/>
          <w:szCs w:val="20"/>
          <w:color w:val="auto"/>
        </w:rPr>
      </w:pPr>
    </w:p>
    <w:p>
      <w:pPr>
        <w:ind w:left="400" w:hanging="399"/>
        <w:spacing w:after="0"/>
        <w:tabs>
          <w:tab w:leader="none" w:pos="400" w:val="left"/>
        </w:tabs>
        <w:numPr>
          <w:ilvl w:val="0"/>
          <w:numId w:val="24"/>
        </w:numPr>
        <w:rPr>
          <w:rFonts w:ascii="Arial" w:cs="Arial" w:eastAsia="Arial" w:hAnsi="Arial"/>
          <w:sz w:val="16"/>
          <w:szCs w:val="16"/>
          <w:color w:val="202020"/>
        </w:rPr>
      </w:pPr>
      <w:r>
        <w:rPr>
          <w:rFonts w:ascii="Arial" w:cs="Arial" w:eastAsia="Arial" w:hAnsi="Arial"/>
          <w:sz w:val="16"/>
          <w:szCs w:val="16"/>
          <w:color w:val="202020"/>
        </w:rPr>
        <w:t>The exercise prices reflect the closing price of our common stock on the grant date.</w:t>
      </w:r>
    </w:p>
    <w:p>
      <w:pPr>
        <w:spacing w:after="0" w:line="95" w:lineRule="exact"/>
        <w:rPr>
          <w:rFonts w:ascii="Arial" w:cs="Arial" w:eastAsia="Arial" w:hAnsi="Arial"/>
          <w:sz w:val="16"/>
          <w:szCs w:val="16"/>
          <w:color w:val="202020"/>
        </w:rPr>
      </w:pPr>
    </w:p>
    <w:p>
      <w:pPr>
        <w:ind w:left="400" w:right="100" w:hanging="399"/>
        <w:spacing w:after="0" w:line="302" w:lineRule="auto"/>
        <w:tabs>
          <w:tab w:leader="none" w:pos="400" w:val="left"/>
        </w:tabs>
        <w:numPr>
          <w:ilvl w:val="0"/>
          <w:numId w:val="24"/>
        </w:numPr>
        <w:rPr>
          <w:rFonts w:ascii="Arial" w:cs="Arial" w:eastAsia="Arial" w:hAnsi="Arial"/>
          <w:sz w:val="16"/>
          <w:szCs w:val="16"/>
          <w:color w:val="202020"/>
        </w:rPr>
      </w:pPr>
      <w:r>
        <w:rPr>
          <w:rFonts w:ascii="Arial" w:cs="Arial" w:eastAsia="Arial" w:hAnsi="Arial"/>
          <w:sz w:val="16"/>
          <w:szCs w:val="16"/>
          <w:color w:val="202020"/>
        </w:rPr>
        <w:t>The grant date fair values are generally the amount we would expense in our financial statements over the award’s service period, but does not include a reduction for estimated forfeitures.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Outstanding Equity Awards at Fiscal Year-End</w:t>
      </w:r>
    </w:p>
    <w:p>
      <w:pPr>
        <w:spacing w:after="0" w:line="180" w:lineRule="exact"/>
        <w:rPr>
          <w:sz w:val="20"/>
          <w:szCs w:val="20"/>
          <w:color w:val="auto"/>
        </w:rPr>
      </w:pPr>
    </w:p>
    <w:p>
      <w:pPr>
        <w:ind w:right="480"/>
        <w:spacing w:after="0" w:line="297" w:lineRule="auto"/>
        <w:rPr>
          <w:sz w:val="20"/>
          <w:szCs w:val="20"/>
          <w:color w:val="auto"/>
        </w:rPr>
      </w:pPr>
      <w:r>
        <w:rPr>
          <w:rFonts w:ascii="Arial" w:cs="Arial" w:eastAsia="Arial" w:hAnsi="Arial"/>
          <w:sz w:val="18"/>
          <w:szCs w:val="18"/>
          <w:color w:val="202020"/>
        </w:rPr>
        <w:t>The following table sets forth certain information regarding the stock option grants and stock awards to our Named Executive Officers at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Arial" w:cs="Arial" w:eastAsia="Arial" w:hAnsi="Arial"/>
                <w:sz w:val="14"/>
                <w:szCs w:val="14"/>
                <w:b w:val="1"/>
                <w:bCs w:val="1"/>
                <w:color w:val="202020"/>
              </w:rPr>
              <w:t>Option Awards</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202020"/>
              </w:rPr>
              <w:t>Stock Awards</w:t>
            </w:r>
          </w:p>
        </w:tc>
        <w:tc>
          <w:tcPr>
            <w:tcW w:w="800" w:type="dxa"/>
            <w:vAlign w:val="bottom"/>
          </w:tcPr>
          <w:p>
            <w:pPr>
              <w:spacing w:after="0"/>
              <w:rPr>
                <w:sz w:val="16"/>
                <w:szCs w:val="16"/>
                <w:color w:val="auto"/>
              </w:rPr>
            </w:pPr>
          </w:p>
        </w:tc>
      </w:tr>
      <w:tr>
        <w:trPr>
          <w:trHeight w:val="50"/>
        </w:trPr>
        <w:tc>
          <w:tcPr>
            <w:tcW w:w="2460" w:type="dxa"/>
            <w:vAlign w:val="bottom"/>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1060" w:type="dxa"/>
            <w:vAlign w:val="bottom"/>
            <w:tcBorders>
              <w:bottom w:val="single" w:sz="8" w:color="202020"/>
            </w:tcBorders>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66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78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r>
      <w:tr>
        <w:trPr>
          <w:trHeight w:val="182"/>
        </w:trPr>
        <w:tc>
          <w:tcPr>
            <w:tcW w:w="2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02020"/>
              </w:rPr>
              <w:t>Equity</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Incentive</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Equity</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Plan</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Incentive</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Awards:</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Equity</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Plan</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Market or</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Incentive</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Awards: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Payout</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Plan</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Value of</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Awards: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Market</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Unearned</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Unearned</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Value of</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Shares,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w w:val="98"/>
              </w:rPr>
              <w:t>Shares,</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Securities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Shares or</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Shares or</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or</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or</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Securities</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Securities</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Underlying</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of</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of</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Other</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Other</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Underlying</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Underlying</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Unexercised</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w w:val="99"/>
              </w:rPr>
              <w:t>Stock</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w w:val="99"/>
              </w:rPr>
              <w:t>Stock</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Rights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Rights</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Unexercised</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Unexercised</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Unearned</w:t>
            </w:r>
          </w:p>
        </w:tc>
        <w:tc>
          <w:tcPr>
            <w:tcW w:w="660" w:type="dxa"/>
            <w:vAlign w:val="bottom"/>
          </w:tcPr>
          <w:p>
            <w:pPr>
              <w:jc w:val="right"/>
              <w:ind w:right="2"/>
              <w:spacing w:after="0" w:line="157" w:lineRule="exact"/>
              <w:rPr>
                <w:sz w:val="20"/>
                <w:szCs w:val="20"/>
                <w:color w:val="auto"/>
              </w:rPr>
            </w:pPr>
            <w:r>
              <w:rPr>
                <w:rFonts w:ascii="Arial" w:cs="Arial" w:eastAsia="Arial" w:hAnsi="Arial"/>
                <w:sz w:val="14"/>
                <w:szCs w:val="14"/>
                <w:b w:val="1"/>
                <w:bCs w:val="1"/>
                <w:color w:val="202020"/>
              </w:rPr>
              <w:t>Option</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Options (#)</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Options (#)</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Options</w:t>
            </w:r>
          </w:p>
        </w:tc>
        <w:tc>
          <w:tcPr>
            <w:tcW w:w="660" w:type="dxa"/>
            <w:vAlign w:val="bottom"/>
          </w:tcPr>
          <w:p>
            <w:pPr>
              <w:jc w:val="right"/>
              <w:spacing w:after="0" w:line="157" w:lineRule="exact"/>
              <w:rPr>
                <w:sz w:val="20"/>
                <w:szCs w:val="20"/>
                <w:color w:val="auto"/>
              </w:rPr>
            </w:pPr>
            <w:r>
              <w:rPr>
                <w:rFonts w:ascii="Arial" w:cs="Arial" w:eastAsia="Arial" w:hAnsi="Arial"/>
                <w:sz w:val="14"/>
                <w:szCs w:val="14"/>
                <w:b w:val="1"/>
                <w:bCs w:val="1"/>
                <w:color w:val="202020"/>
              </w:rPr>
              <w:t>Exercise</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Expiration</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r>
      <w:tr>
        <w:trPr>
          <w:trHeight w:val="193"/>
        </w:trPr>
        <w:tc>
          <w:tcPr>
            <w:tcW w:w="2460" w:type="dxa"/>
            <w:vAlign w:val="bottom"/>
          </w:tcPr>
          <w:p>
            <w:pPr>
              <w:ind w:left="60"/>
              <w:spacing w:after="0"/>
              <w:rPr>
                <w:sz w:val="20"/>
                <w:szCs w:val="20"/>
                <w:color w:val="auto"/>
              </w:rPr>
            </w:pPr>
            <w:r>
              <w:rPr>
                <w:rFonts w:ascii="Arial" w:cs="Arial" w:eastAsia="Arial" w:hAnsi="Arial"/>
                <w:sz w:val="14"/>
                <w:szCs w:val="14"/>
                <w:b w:val="1"/>
                <w:bCs w:val="1"/>
                <w:color w:val="202020"/>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202020"/>
              </w:rPr>
              <w:t>Exercisable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202020"/>
              </w:rPr>
              <w:t>Unexercisable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202020"/>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202020"/>
              </w:rPr>
              <w:t>Price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02020"/>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r>
      <w:tr>
        <w:trPr>
          <w:trHeight w:val="50"/>
        </w:trPr>
        <w:tc>
          <w:tcPr>
            <w:tcW w:w="2460" w:type="dxa"/>
            <w:vAlign w:val="bottom"/>
            <w:tcBorders>
              <w:bottom w:val="single" w:sz="8" w:color="202020"/>
            </w:tcBorders>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1060" w:type="dxa"/>
            <w:vAlign w:val="bottom"/>
            <w:tcBorders>
              <w:bottom w:val="single" w:sz="8" w:color="202020"/>
            </w:tcBorders>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66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78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Anthony S. Marucci</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300,000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6/5/35</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Anthony S. Marucci</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112,500</w:t>
            </w:r>
          </w:p>
        </w:tc>
        <w:tc>
          <w:tcPr>
            <w:tcW w:w="1060" w:type="dxa"/>
            <w:vAlign w:val="bottom"/>
          </w:tcPr>
          <w:p>
            <w:pPr>
              <w:jc w:val="right"/>
              <w:spacing w:after="0"/>
              <w:rPr>
                <w:sz w:val="20"/>
                <w:szCs w:val="20"/>
                <w:color w:val="auto"/>
              </w:rPr>
            </w:pPr>
            <w:r>
              <w:rPr>
                <w:rFonts w:ascii="Arial" w:cs="Arial" w:eastAsia="Arial" w:hAnsi="Arial"/>
                <w:sz w:val="16"/>
                <w:szCs w:val="16"/>
                <w:color w:val="202020"/>
              </w:rPr>
              <w:t>187,500</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36.43</w:t>
            </w:r>
          </w:p>
        </w:tc>
        <w:tc>
          <w:tcPr>
            <w:tcW w:w="800" w:type="dxa"/>
            <w:vAlign w:val="bottom"/>
          </w:tcPr>
          <w:p>
            <w:pPr>
              <w:jc w:val="right"/>
              <w:spacing w:after="0"/>
              <w:rPr>
                <w:sz w:val="20"/>
                <w:szCs w:val="20"/>
                <w:color w:val="auto"/>
              </w:rPr>
            </w:pPr>
            <w:r>
              <w:rPr>
                <w:rFonts w:ascii="Arial" w:cs="Arial" w:eastAsia="Arial" w:hAnsi="Arial"/>
                <w:sz w:val="16"/>
                <w:szCs w:val="16"/>
                <w:color w:val="202020"/>
              </w:rPr>
              <w:t>6/13/34</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Anthony S. Marucci</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156,250</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93,750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36.87</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6/15/33</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Anthony S. Marucci</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218,750</w:t>
            </w:r>
          </w:p>
        </w:tc>
        <w:tc>
          <w:tcPr>
            <w:tcW w:w="1060" w:type="dxa"/>
            <w:vAlign w:val="bottom"/>
          </w:tcPr>
          <w:p>
            <w:pPr>
              <w:jc w:val="right"/>
              <w:spacing w:after="0"/>
              <w:rPr>
                <w:sz w:val="20"/>
                <w:szCs w:val="20"/>
                <w:color w:val="auto"/>
              </w:rPr>
            </w:pPr>
            <w:r>
              <w:rPr>
                <w:rFonts w:ascii="Arial" w:cs="Arial" w:eastAsia="Arial" w:hAnsi="Arial"/>
                <w:sz w:val="16"/>
                <w:szCs w:val="16"/>
                <w:color w:val="202020"/>
              </w:rPr>
              <w:t>31,250</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22.48</w:t>
            </w:r>
          </w:p>
        </w:tc>
        <w:tc>
          <w:tcPr>
            <w:tcW w:w="800" w:type="dxa"/>
            <w:vAlign w:val="bottom"/>
          </w:tcPr>
          <w:p>
            <w:pPr>
              <w:jc w:val="right"/>
              <w:spacing w:after="0"/>
              <w:rPr>
                <w:sz w:val="20"/>
                <w:szCs w:val="20"/>
                <w:color w:val="auto"/>
              </w:rPr>
            </w:pPr>
            <w:r>
              <w:rPr>
                <w:rFonts w:ascii="Arial" w:cs="Arial" w:eastAsia="Arial" w:hAnsi="Arial"/>
                <w:sz w:val="16"/>
                <w:szCs w:val="16"/>
                <w:color w:val="202020"/>
              </w:rPr>
              <w:t>6/16/32</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Anthony S. Marucci</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224,000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28.00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6/17/31</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940" w:type="dxa"/>
            <w:vAlign w:val="bottom"/>
          </w:tcPr>
          <w:p>
            <w:pPr>
              <w:jc w:val="right"/>
              <w:spacing w:after="0"/>
              <w:rPr>
                <w:sz w:val="20"/>
                <w:szCs w:val="20"/>
                <w:color w:val="auto"/>
              </w:rPr>
            </w:pPr>
            <w:r>
              <w:rPr>
                <w:rFonts w:ascii="Arial" w:cs="Arial" w:eastAsia="Arial" w:hAnsi="Arial"/>
                <w:sz w:val="16"/>
                <w:szCs w:val="16"/>
                <w:color w:val="202020"/>
              </w:rPr>
              <w:t>245,000</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10.38</w:t>
            </w:r>
          </w:p>
        </w:tc>
        <w:tc>
          <w:tcPr>
            <w:tcW w:w="800" w:type="dxa"/>
            <w:vAlign w:val="bottom"/>
          </w:tcPr>
          <w:p>
            <w:pPr>
              <w:jc w:val="right"/>
              <w:spacing w:after="0"/>
              <w:rPr>
                <w:sz w:val="20"/>
                <w:szCs w:val="20"/>
                <w:color w:val="auto"/>
              </w:rPr>
            </w:pPr>
            <w:r>
              <w:rPr>
                <w:rFonts w:ascii="Arial" w:cs="Arial" w:eastAsia="Arial" w:hAnsi="Arial"/>
                <w:sz w:val="16"/>
                <w:szCs w:val="16"/>
                <w:color w:val="202020"/>
              </w:rPr>
              <w:t>6/18/30</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Anthony S. Marucci</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25,000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2.78</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6/19/29</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940" w:type="dxa"/>
            <w:vAlign w:val="bottom"/>
          </w:tcPr>
          <w:p>
            <w:pPr>
              <w:jc w:val="right"/>
              <w:spacing w:after="0"/>
              <w:rPr>
                <w:sz w:val="20"/>
                <w:szCs w:val="20"/>
                <w:color w:val="auto"/>
              </w:rPr>
            </w:pPr>
            <w:r>
              <w:rPr>
                <w:rFonts w:ascii="Arial" w:cs="Arial" w:eastAsia="Arial" w:hAnsi="Arial"/>
                <w:sz w:val="16"/>
                <w:szCs w:val="16"/>
                <w:color w:val="202020"/>
              </w:rPr>
              <w:t>26,665</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9.02</w:t>
            </w:r>
          </w:p>
        </w:tc>
        <w:tc>
          <w:tcPr>
            <w:tcW w:w="800" w:type="dxa"/>
            <w:vAlign w:val="bottom"/>
          </w:tcPr>
          <w:p>
            <w:pPr>
              <w:jc w:val="right"/>
              <w:spacing w:after="0"/>
              <w:rPr>
                <w:sz w:val="20"/>
                <w:szCs w:val="20"/>
                <w:color w:val="auto"/>
              </w:rPr>
            </w:pPr>
            <w:r>
              <w:rPr>
                <w:rFonts w:ascii="Arial" w:cs="Arial" w:eastAsia="Arial" w:hAnsi="Arial"/>
                <w:sz w:val="16"/>
                <w:szCs w:val="16"/>
                <w:color w:val="202020"/>
              </w:rPr>
              <w:t>6/13/28</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Anthony S. Marucci</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31,665</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34.80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6/15/27</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940" w:type="dxa"/>
            <w:vAlign w:val="bottom"/>
          </w:tcPr>
          <w:p>
            <w:pPr>
              <w:jc w:val="right"/>
              <w:spacing w:after="0"/>
              <w:rPr>
                <w:sz w:val="20"/>
                <w:szCs w:val="20"/>
                <w:color w:val="auto"/>
              </w:rPr>
            </w:pPr>
            <w:r>
              <w:rPr>
                <w:rFonts w:ascii="Arial" w:cs="Arial" w:eastAsia="Arial" w:hAnsi="Arial"/>
                <w:sz w:val="16"/>
                <w:szCs w:val="16"/>
                <w:color w:val="202020"/>
              </w:rPr>
              <w:t>31,665</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70.80</w:t>
            </w:r>
          </w:p>
        </w:tc>
        <w:tc>
          <w:tcPr>
            <w:tcW w:w="800" w:type="dxa"/>
            <w:vAlign w:val="bottom"/>
          </w:tcPr>
          <w:p>
            <w:pPr>
              <w:jc w:val="right"/>
              <w:spacing w:after="0"/>
              <w:rPr>
                <w:sz w:val="20"/>
                <w:szCs w:val="20"/>
                <w:color w:val="auto"/>
              </w:rPr>
            </w:pPr>
            <w:r>
              <w:rPr>
                <w:rFonts w:ascii="Arial" w:cs="Arial" w:eastAsia="Arial" w:hAnsi="Arial"/>
                <w:sz w:val="16"/>
                <w:szCs w:val="16"/>
                <w:color w:val="202020"/>
              </w:rPr>
              <w:t>6/8/26</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5"/>
        </w:trPr>
        <w:tc>
          <w:tcPr>
            <w:tcW w:w="2460" w:type="dxa"/>
            <w:vAlign w:val="bottom"/>
          </w:tcPr>
          <w:p>
            <w:pPr>
              <w:ind w:left="60"/>
              <w:spacing w:after="0"/>
              <w:rPr>
                <w:sz w:val="20"/>
                <w:szCs w:val="20"/>
                <w:color w:val="auto"/>
              </w:rPr>
            </w:pPr>
            <w:r>
              <w:rPr>
                <w:rFonts w:ascii="Arial" w:cs="Arial" w:eastAsia="Arial" w:hAnsi="Arial"/>
                <w:sz w:val="16"/>
                <w:szCs w:val="16"/>
                <w:color w:val="202020"/>
              </w:rPr>
              <w:t>Tibor Keler, Ph.D.</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w:t>
            </w:r>
          </w:p>
        </w:tc>
        <w:tc>
          <w:tcPr>
            <w:tcW w:w="1060" w:type="dxa"/>
            <w:vAlign w:val="bottom"/>
          </w:tcPr>
          <w:p>
            <w:pPr>
              <w:jc w:val="right"/>
              <w:spacing w:after="0"/>
              <w:rPr>
                <w:sz w:val="20"/>
                <w:szCs w:val="20"/>
                <w:color w:val="auto"/>
              </w:rPr>
            </w:pPr>
            <w:r>
              <w:rPr>
                <w:rFonts w:ascii="Arial" w:cs="Arial" w:eastAsia="Arial" w:hAnsi="Arial"/>
                <w:sz w:val="16"/>
                <w:szCs w:val="16"/>
                <w:color w:val="202020"/>
              </w:rPr>
              <w:t>93,000</w:t>
            </w:r>
          </w:p>
        </w:tc>
        <w:tc>
          <w:tcPr>
            <w:tcW w:w="9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19.53</w:t>
            </w:r>
          </w:p>
        </w:tc>
        <w:tc>
          <w:tcPr>
            <w:tcW w:w="800" w:type="dxa"/>
            <w:vAlign w:val="bottom"/>
          </w:tcPr>
          <w:p>
            <w:pPr>
              <w:jc w:val="right"/>
              <w:spacing w:after="0"/>
              <w:rPr>
                <w:sz w:val="20"/>
                <w:szCs w:val="20"/>
                <w:color w:val="auto"/>
              </w:rPr>
            </w:pPr>
            <w:r>
              <w:rPr>
                <w:rFonts w:ascii="Arial" w:cs="Arial" w:eastAsia="Arial" w:hAnsi="Arial"/>
                <w:sz w:val="16"/>
                <w:szCs w:val="16"/>
                <w:color w:val="202020"/>
              </w:rPr>
              <w:t>6/5/35</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1"/>
        </w:trPr>
        <w:tc>
          <w:tcPr>
            <w:tcW w:w="2460" w:type="dxa"/>
            <w:vAlign w:val="bottom"/>
          </w:tcPr>
          <w:p>
            <w:pPr>
              <w:ind w:left="60"/>
              <w:spacing w:after="0"/>
              <w:rPr>
                <w:sz w:val="20"/>
                <w:szCs w:val="20"/>
                <w:color w:val="auto"/>
              </w:rPr>
            </w:pPr>
            <w:r>
              <w:rPr>
                <w:rFonts w:ascii="Arial" w:cs="Arial" w:eastAsia="Arial" w:hAnsi="Arial"/>
                <w:sz w:val="16"/>
                <w:szCs w:val="16"/>
                <w:color w:val="202020"/>
              </w:rPr>
              <w:t>Tibor Keler, Ph.D.</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34,875</w:t>
            </w:r>
          </w:p>
        </w:tc>
        <w:tc>
          <w:tcPr>
            <w:tcW w:w="1060" w:type="dxa"/>
            <w:vAlign w:val="bottom"/>
          </w:tcPr>
          <w:p>
            <w:pPr>
              <w:jc w:val="right"/>
              <w:spacing w:after="0"/>
              <w:rPr>
                <w:sz w:val="20"/>
                <w:szCs w:val="20"/>
                <w:color w:val="auto"/>
              </w:rPr>
            </w:pPr>
            <w:r>
              <w:rPr>
                <w:rFonts w:ascii="Arial" w:cs="Arial" w:eastAsia="Arial" w:hAnsi="Arial"/>
                <w:sz w:val="16"/>
                <w:szCs w:val="16"/>
                <w:color w:val="202020"/>
              </w:rPr>
              <w:t>58,125</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36.43</w:t>
            </w:r>
          </w:p>
        </w:tc>
        <w:tc>
          <w:tcPr>
            <w:tcW w:w="800" w:type="dxa"/>
            <w:vAlign w:val="bottom"/>
          </w:tcPr>
          <w:p>
            <w:pPr>
              <w:jc w:val="right"/>
              <w:spacing w:after="0"/>
              <w:rPr>
                <w:sz w:val="20"/>
                <w:szCs w:val="20"/>
                <w:color w:val="auto"/>
              </w:rPr>
            </w:pPr>
            <w:r>
              <w:rPr>
                <w:rFonts w:ascii="Arial" w:cs="Arial" w:eastAsia="Arial" w:hAnsi="Arial"/>
                <w:sz w:val="16"/>
                <w:szCs w:val="16"/>
                <w:color w:val="202020"/>
              </w:rPr>
              <w:t>6/13/34</w:t>
            </w: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Tibor Keler, Ph.D.</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57,500</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34,500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36.87</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6/15/33</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Tibor Keler, Ph.D.</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79,625</w:t>
            </w:r>
          </w:p>
        </w:tc>
        <w:tc>
          <w:tcPr>
            <w:tcW w:w="1060" w:type="dxa"/>
            <w:vAlign w:val="bottom"/>
          </w:tcPr>
          <w:p>
            <w:pPr>
              <w:jc w:val="right"/>
              <w:spacing w:after="0"/>
              <w:rPr>
                <w:sz w:val="20"/>
                <w:szCs w:val="20"/>
                <w:color w:val="auto"/>
              </w:rPr>
            </w:pPr>
            <w:r>
              <w:rPr>
                <w:rFonts w:ascii="Arial" w:cs="Arial" w:eastAsia="Arial" w:hAnsi="Arial"/>
                <w:sz w:val="16"/>
                <w:szCs w:val="16"/>
                <w:color w:val="202020"/>
              </w:rPr>
              <w:t>11,375</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22.48</w:t>
            </w:r>
          </w:p>
        </w:tc>
        <w:tc>
          <w:tcPr>
            <w:tcW w:w="800" w:type="dxa"/>
            <w:vAlign w:val="bottom"/>
          </w:tcPr>
          <w:p>
            <w:pPr>
              <w:jc w:val="right"/>
              <w:spacing w:after="0"/>
              <w:rPr>
                <w:sz w:val="20"/>
                <w:szCs w:val="20"/>
                <w:color w:val="auto"/>
              </w:rPr>
            </w:pPr>
            <w:r>
              <w:rPr>
                <w:rFonts w:ascii="Arial" w:cs="Arial" w:eastAsia="Arial" w:hAnsi="Arial"/>
                <w:sz w:val="16"/>
                <w:szCs w:val="16"/>
                <w:color w:val="202020"/>
              </w:rPr>
              <w:t>6/16/32</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Tibor Keler, Ph.D.</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91,000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28.00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6/17/31</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940" w:type="dxa"/>
            <w:vAlign w:val="bottom"/>
          </w:tcPr>
          <w:p>
            <w:pPr>
              <w:jc w:val="right"/>
              <w:spacing w:after="0"/>
              <w:rPr>
                <w:sz w:val="20"/>
                <w:szCs w:val="20"/>
                <w:color w:val="auto"/>
              </w:rPr>
            </w:pPr>
            <w:r>
              <w:rPr>
                <w:rFonts w:ascii="Arial" w:cs="Arial" w:eastAsia="Arial" w:hAnsi="Arial"/>
                <w:sz w:val="16"/>
                <w:szCs w:val="16"/>
                <w:color w:val="202020"/>
              </w:rPr>
              <w:t>108,000</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10.38</w:t>
            </w:r>
          </w:p>
        </w:tc>
        <w:tc>
          <w:tcPr>
            <w:tcW w:w="800" w:type="dxa"/>
            <w:vAlign w:val="bottom"/>
          </w:tcPr>
          <w:p>
            <w:pPr>
              <w:jc w:val="right"/>
              <w:spacing w:after="0"/>
              <w:rPr>
                <w:sz w:val="20"/>
                <w:szCs w:val="20"/>
                <w:color w:val="auto"/>
              </w:rPr>
            </w:pPr>
            <w:r>
              <w:rPr>
                <w:rFonts w:ascii="Arial" w:cs="Arial" w:eastAsia="Arial" w:hAnsi="Arial"/>
                <w:sz w:val="16"/>
                <w:szCs w:val="16"/>
                <w:color w:val="202020"/>
              </w:rPr>
              <w:t>6/18/30</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-1023620</wp:posOffset>
            </wp:positionV>
            <wp:extent cx="6450330" cy="1974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5">
                      <a:extLst>
                        <a:ext uri="{28A0092B-C50C-407E-A947-70E740481C1C}"/>
                      </a:extLst>
                    </a:blip>
                    <a:srcRect/>
                    <a:stretch>
                      <a:fillRect/>
                    </a:stretch>
                  </pic:blipFill>
                  <pic:spPr bwMode="auto">
                    <a:xfrm>
                      <a:off x="0" y="0"/>
                      <a:ext cx="6450330" cy="197485"/>
                    </a:xfrm>
                    <a:prstGeom prst="rect">
                      <a:avLst/>
                    </a:prstGeom>
                    <a:noFill/>
                  </pic:spPr>
                </pic:pic>
              </a:graphicData>
            </a:graphic>
          </wp:anchor>
        </w:drawing>
      </w:r>
    </w:p>
    <w:p>
      <w:pPr>
        <w:sectPr>
          <w:pgSz w:w="11880" w:h="15480" w:orient="portrait"/>
          <w:cols w:equalWidth="0" w:num="1">
            <w:col w:w="10120"/>
          </w:cols>
          <w:pgMar w:left="880" w:top="544" w:right="880" w:bottom="96"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39</w:t>
      </w:r>
    </w:p>
    <w:p>
      <w:pPr>
        <w:sectPr>
          <w:pgSz w:w="11880" w:h="15480" w:orient="portrait"/>
          <w:cols w:equalWidth="0" w:num="1">
            <w:col w:w="10120"/>
          </w:cols>
          <w:pgMar w:left="880" w:top="544" w:right="880" w:bottom="96"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202020"/>
        </w:rPr>
        <w:t>Executive Compensation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2"/>
          </w:tcPr>
          <w:p>
            <w:pPr>
              <w:ind w:left="740"/>
              <w:spacing w:after="0"/>
              <w:rPr>
                <w:sz w:val="20"/>
                <w:szCs w:val="20"/>
                <w:color w:val="auto"/>
              </w:rPr>
            </w:pPr>
            <w:r>
              <w:rPr>
                <w:rFonts w:ascii="Arial" w:cs="Arial" w:eastAsia="Arial" w:hAnsi="Arial"/>
                <w:sz w:val="14"/>
                <w:szCs w:val="14"/>
                <w:b w:val="1"/>
                <w:bCs w:val="1"/>
                <w:color w:val="202020"/>
              </w:rPr>
              <w:t>Option Awards</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202020"/>
              </w:rPr>
              <w:t>Stock Awards</w:t>
            </w:r>
          </w:p>
        </w:tc>
        <w:tc>
          <w:tcPr>
            <w:tcW w:w="800" w:type="dxa"/>
            <w:vAlign w:val="bottom"/>
          </w:tcPr>
          <w:p>
            <w:pPr>
              <w:spacing w:after="0"/>
              <w:rPr>
                <w:sz w:val="16"/>
                <w:szCs w:val="16"/>
                <w:color w:val="auto"/>
              </w:rPr>
            </w:pPr>
          </w:p>
        </w:tc>
      </w:tr>
      <w:tr>
        <w:trPr>
          <w:trHeight w:val="50"/>
        </w:trPr>
        <w:tc>
          <w:tcPr>
            <w:tcW w:w="2460" w:type="dxa"/>
            <w:vAlign w:val="bottom"/>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1060" w:type="dxa"/>
            <w:vAlign w:val="bottom"/>
            <w:tcBorders>
              <w:bottom w:val="single" w:sz="8" w:color="202020"/>
            </w:tcBorders>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66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78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r>
      <w:tr>
        <w:trPr>
          <w:trHeight w:val="182"/>
        </w:trPr>
        <w:tc>
          <w:tcPr>
            <w:tcW w:w="2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02020"/>
              </w:rPr>
              <w:t>Equity</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Incentive</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Equity</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Plan</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Incentive</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Awards:</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Equity</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Plan</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Market or</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Incentive</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Awards: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Payout</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Plan</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Value of</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Awards: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Market</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Unearned</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Unearned</w:t>
            </w:r>
          </w:p>
        </w:tc>
      </w:tr>
      <w:tr>
        <w:trPr>
          <w:trHeight w:val="157"/>
        </w:trPr>
        <w:tc>
          <w:tcPr>
            <w:tcW w:w="2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Value of</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Shares,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w w:val="98"/>
              </w:rPr>
              <w:t>Shares,</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Number of</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Securities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Shares or</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Shares or</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or</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or</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Securities</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Securities</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Underlying</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of</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Units of</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Other</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Other</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Underlying</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Underlying</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Unexercised</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w w:val="99"/>
              </w:rPr>
              <w:t>Stock</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w w:val="99"/>
              </w:rPr>
              <w:t>Stock</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Rights</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Rights</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Unexercised</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Unexercised</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Unearned</w:t>
            </w:r>
          </w:p>
        </w:tc>
        <w:tc>
          <w:tcPr>
            <w:tcW w:w="660" w:type="dxa"/>
            <w:vAlign w:val="bottom"/>
          </w:tcPr>
          <w:p>
            <w:pPr>
              <w:jc w:val="right"/>
              <w:ind w:right="1"/>
              <w:spacing w:after="0" w:line="157" w:lineRule="exact"/>
              <w:rPr>
                <w:sz w:val="20"/>
                <w:szCs w:val="20"/>
                <w:color w:val="auto"/>
              </w:rPr>
            </w:pPr>
            <w:r>
              <w:rPr>
                <w:rFonts w:ascii="Arial" w:cs="Arial" w:eastAsia="Arial" w:hAnsi="Arial"/>
                <w:sz w:val="14"/>
                <w:szCs w:val="14"/>
                <w:b w:val="1"/>
                <w:bCs w:val="1"/>
                <w:color w:val="202020"/>
              </w:rPr>
              <w:t>Option</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That</w:t>
            </w:r>
          </w:p>
        </w:tc>
      </w:tr>
      <w:tr>
        <w:trPr>
          <w:trHeight w:val="157"/>
        </w:trPr>
        <w:tc>
          <w:tcPr>
            <w:tcW w:w="2460" w:type="dxa"/>
            <w:vAlign w:val="bottom"/>
          </w:tcPr>
          <w:p>
            <w:pPr>
              <w:spacing w:after="0"/>
              <w:rPr>
                <w:sz w:val="13"/>
                <w:szCs w:val="13"/>
                <w:color w:val="auto"/>
              </w:rPr>
            </w:pP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Options (#)</w:t>
            </w:r>
          </w:p>
        </w:tc>
        <w:tc>
          <w:tcPr>
            <w:tcW w:w="106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Options (#)</w:t>
            </w:r>
          </w:p>
        </w:tc>
        <w:tc>
          <w:tcPr>
            <w:tcW w:w="9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Options</w:t>
            </w:r>
          </w:p>
        </w:tc>
        <w:tc>
          <w:tcPr>
            <w:tcW w:w="660" w:type="dxa"/>
            <w:vAlign w:val="bottom"/>
          </w:tcPr>
          <w:p>
            <w:pPr>
              <w:jc w:val="right"/>
              <w:spacing w:after="0" w:line="157" w:lineRule="exact"/>
              <w:rPr>
                <w:sz w:val="20"/>
                <w:szCs w:val="20"/>
                <w:color w:val="auto"/>
              </w:rPr>
            </w:pPr>
            <w:r>
              <w:rPr>
                <w:rFonts w:ascii="Arial" w:cs="Arial" w:eastAsia="Arial" w:hAnsi="Arial"/>
                <w:sz w:val="14"/>
                <w:szCs w:val="14"/>
                <w:b w:val="1"/>
                <w:bCs w:val="1"/>
                <w:color w:val="202020"/>
              </w:rPr>
              <w:t>Exercise</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Expiration</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c>
          <w:tcPr>
            <w:tcW w:w="84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202020"/>
              </w:rPr>
              <w:t>Have Not</w:t>
            </w:r>
          </w:p>
        </w:tc>
      </w:tr>
      <w:tr>
        <w:trPr>
          <w:trHeight w:val="193"/>
        </w:trPr>
        <w:tc>
          <w:tcPr>
            <w:tcW w:w="2460" w:type="dxa"/>
            <w:vAlign w:val="bottom"/>
          </w:tcPr>
          <w:p>
            <w:pPr>
              <w:ind w:left="60"/>
              <w:spacing w:after="0"/>
              <w:rPr>
                <w:sz w:val="20"/>
                <w:szCs w:val="20"/>
                <w:color w:val="auto"/>
              </w:rPr>
            </w:pPr>
            <w:r>
              <w:rPr>
                <w:rFonts w:ascii="Arial" w:cs="Arial" w:eastAsia="Arial" w:hAnsi="Arial"/>
                <w:sz w:val="14"/>
                <w:szCs w:val="14"/>
                <w:b w:val="1"/>
                <w:bCs w:val="1"/>
                <w:color w:val="202020"/>
              </w:rPr>
              <w:t>Name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202020"/>
              </w:rPr>
              <w:t>Exercisable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202020"/>
              </w:rPr>
              <w:t>Unexercisable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202020"/>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202020"/>
              </w:rPr>
              <w:t>Price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02020"/>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202020"/>
              </w:rPr>
              <w:t>Vested (#)</w:t>
            </w:r>
          </w:p>
        </w:tc>
      </w:tr>
      <w:tr>
        <w:trPr>
          <w:trHeight w:val="50"/>
        </w:trPr>
        <w:tc>
          <w:tcPr>
            <w:tcW w:w="2460" w:type="dxa"/>
            <w:vAlign w:val="bottom"/>
            <w:tcBorders>
              <w:bottom w:val="single" w:sz="8" w:color="202020"/>
            </w:tcBorders>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1060" w:type="dxa"/>
            <w:vAlign w:val="bottom"/>
            <w:tcBorders>
              <w:bottom w:val="single" w:sz="8" w:color="202020"/>
            </w:tcBorders>
          </w:tcPr>
          <w:p>
            <w:pPr>
              <w:spacing w:after="0"/>
              <w:rPr>
                <w:sz w:val="4"/>
                <w:szCs w:val="4"/>
                <w:color w:val="auto"/>
              </w:rPr>
            </w:pPr>
          </w:p>
        </w:tc>
        <w:tc>
          <w:tcPr>
            <w:tcW w:w="940" w:type="dxa"/>
            <w:vAlign w:val="bottom"/>
            <w:tcBorders>
              <w:bottom w:val="single" w:sz="8" w:color="202020"/>
            </w:tcBorders>
          </w:tcPr>
          <w:p>
            <w:pPr>
              <w:spacing w:after="0"/>
              <w:rPr>
                <w:sz w:val="4"/>
                <w:szCs w:val="4"/>
                <w:color w:val="auto"/>
              </w:rPr>
            </w:pPr>
          </w:p>
        </w:tc>
        <w:tc>
          <w:tcPr>
            <w:tcW w:w="66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780" w:type="dxa"/>
            <w:vAlign w:val="bottom"/>
            <w:tcBorders>
              <w:bottom w:val="single" w:sz="8" w:color="202020"/>
            </w:tcBorders>
          </w:tcPr>
          <w:p>
            <w:pPr>
              <w:spacing w:after="0"/>
              <w:rPr>
                <w:sz w:val="4"/>
                <w:szCs w:val="4"/>
                <w:color w:val="auto"/>
              </w:rPr>
            </w:pPr>
          </w:p>
        </w:tc>
        <w:tc>
          <w:tcPr>
            <w:tcW w:w="840" w:type="dxa"/>
            <w:vAlign w:val="bottom"/>
            <w:tcBorders>
              <w:bottom w:val="single" w:sz="8" w:color="202020"/>
            </w:tcBorders>
          </w:tcPr>
          <w:p>
            <w:pPr>
              <w:spacing w:after="0"/>
              <w:rPr>
                <w:sz w:val="4"/>
                <w:szCs w:val="4"/>
                <w:color w:val="auto"/>
              </w:rPr>
            </w:pPr>
          </w:p>
        </w:tc>
        <w:tc>
          <w:tcPr>
            <w:tcW w:w="800" w:type="dxa"/>
            <w:vAlign w:val="bottom"/>
            <w:tcBorders>
              <w:bottom w:val="single" w:sz="8" w:color="202020"/>
            </w:tcBorders>
          </w:tcPr>
          <w:p>
            <w:pPr>
              <w:spacing w:after="0"/>
              <w:rPr>
                <w:sz w:val="4"/>
                <w:szCs w:val="4"/>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Tibor Keler, Ph.D</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43,140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2.78</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6/19/29</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940" w:type="dxa"/>
            <w:vAlign w:val="bottom"/>
          </w:tcPr>
          <w:p>
            <w:pPr>
              <w:jc w:val="right"/>
              <w:spacing w:after="0"/>
              <w:rPr>
                <w:sz w:val="20"/>
                <w:szCs w:val="20"/>
                <w:color w:val="auto"/>
              </w:rPr>
            </w:pPr>
            <w:r>
              <w:rPr>
                <w:rFonts w:ascii="Arial" w:cs="Arial" w:eastAsia="Arial" w:hAnsi="Arial"/>
                <w:sz w:val="16"/>
                <w:szCs w:val="16"/>
                <w:color w:val="202020"/>
              </w:rPr>
              <w:t>25,999</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9.02</w:t>
            </w:r>
          </w:p>
        </w:tc>
        <w:tc>
          <w:tcPr>
            <w:tcW w:w="800" w:type="dxa"/>
            <w:vAlign w:val="bottom"/>
          </w:tcPr>
          <w:p>
            <w:pPr>
              <w:jc w:val="right"/>
              <w:spacing w:after="0"/>
              <w:rPr>
                <w:sz w:val="20"/>
                <w:szCs w:val="20"/>
                <w:color w:val="auto"/>
              </w:rPr>
            </w:pPr>
            <w:r>
              <w:rPr>
                <w:rFonts w:ascii="Arial" w:cs="Arial" w:eastAsia="Arial" w:hAnsi="Arial"/>
                <w:sz w:val="16"/>
                <w:szCs w:val="16"/>
                <w:color w:val="202020"/>
              </w:rPr>
              <w:t>6/13/28</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Tibor Keler, Ph.D.</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10,799</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34.80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6/15/27</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940" w:type="dxa"/>
            <w:vAlign w:val="bottom"/>
          </w:tcPr>
          <w:p>
            <w:pPr>
              <w:jc w:val="right"/>
              <w:spacing w:after="0"/>
              <w:rPr>
                <w:sz w:val="20"/>
                <w:szCs w:val="20"/>
                <w:color w:val="auto"/>
              </w:rPr>
            </w:pPr>
            <w:r>
              <w:rPr>
                <w:rFonts w:ascii="Arial" w:cs="Arial" w:eastAsia="Arial" w:hAnsi="Arial"/>
                <w:sz w:val="16"/>
                <w:szCs w:val="16"/>
                <w:color w:val="202020"/>
              </w:rPr>
              <w:t>10,799</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70.80</w:t>
            </w:r>
          </w:p>
        </w:tc>
        <w:tc>
          <w:tcPr>
            <w:tcW w:w="800" w:type="dxa"/>
            <w:vAlign w:val="bottom"/>
          </w:tcPr>
          <w:p>
            <w:pPr>
              <w:jc w:val="right"/>
              <w:spacing w:after="0"/>
              <w:rPr>
                <w:sz w:val="20"/>
                <w:szCs w:val="20"/>
                <w:color w:val="auto"/>
              </w:rPr>
            </w:pPr>
            <w:r>
              <w:rPr>
                <w:rFonts w:ascii="Arial" w:cs="Arial" w:eastAsia="Arial" w:hAnsi="Arial"/>
                <w:sz w:val="16"/>
                <w:szCs w:val="16"/>
                <w:color w:val="202020"/>
              </w:rPr>
              <w:t>6/8/26</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Elizabeth Crowley</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85,000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6/5/35</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Elizabeth Crowley</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31,875</w:t>
            </w:r>
          </w:p>
        </w:tc>
        <w:tc>
          <w:tcPr>
            <w:tcW w:w="1060" w:type="dxa"/>
            <w:vAlign w:val="bottom"/>
          </w:tcPr>
          <w:p>
            <w:pPr>
              <w:jc w:val="right"/>
              <w:spacing w:after="0"/>
              <w:rPr>
                <w:sz w:val="20"/>
                <w:szCs w:val="20"/>
                <w:color w:val="auto"/>
              </w:rPr>
            </w:pPr>
            <w:r>
              <w:rPr>
                <w:rFonts w:ascii="Arial" w:cs="Arial" w:eastAsia="Arial" w:hAnsi="Arial"/>
                <w:sz w:val="16"/>
                <w:szCs w:val="16"/>
                <w:color w:val="202020"/>
              </w:rPr>
              <w:t>53,125</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36.43</w:t>
            </w:r>
          </w:p>
        </w:tc>
        <w:tc>
          <w:tcPr>
            <w:tcW w:w="800" w:type="dxa"/>
            <w:vAlign w:val="bottom"/>
          </w:tcPr>
          <w:p>
            <w:pPr>
              <w:jc w:val="right"/>
              <w:spacing w:after="0"/>
              <w:rPr>
                <w:sz w:val="20"/>
                <w:szCs w:val="20"/>
                <w:color w:val="auto"/>
              </w:rPr>
            </w:pPr>
            <w:r>
              <w:rPr>
                <w:rFonts w:ascii="Arial" w:cs="Arial" w:eastAsia="Arial" w:hAnsi="Arial"/>
                <w:sz w:val="16"/>
                <w:szCs w:val="16"/>
                <w:color w:val="202020"/>
              </w:rPr>
              <w:t>6/13/34</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Elizabeth Crowley</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50,000</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30,000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36.87</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6/15/33</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Elizabeth Crowley</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67,375</w:t>
            </w:r>
          </w:p>
        </w:tc>
        <w:tc>
          <w:tcPr>
            <w:tcW w:w="1060" w:type="dxa"/>
            <w:vAlign w:val="bottom"/>
          </w:tcPr>
          <w:p>
            <w:pPr>
              <w:jc w:val="right"/>
              <w:spacing w:after="0"/>
              <w:rPr>
                <w:sz w:val="20"/>
                <w:szCs w:val="20"/>
                <w:color w:val="auto"/>
              </w:rPr>
            </w:pPr>
            <w:r>
              <w:rPr>
                <w:rFonts w:ascii="Arial" w:cs="Arial" w:eastAsia="Arial" w:hAnsi="Arial"/>
                <w:sz w:val="16"/>
                <w:szCs w:val="16"/>
                <w:color w:val="202020"/>
              </w:rPr>
              <w:t>9,625</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22.48</w:t>
            </w:r>
          </w:p>
        </w:tc>
        <w:tc>
          <w:tcPr>
            <w:tcW w:w="800" w:type="dxa"/>
            <w:vAlign w:val="bottom"/>
          </w:tcPr>
          <w:p>
            <w:pPr>
              <w:jc w:val="right"/>
              <w:spacing w:after="0"/>
              <w:rPr>
                <w:sz w:val="20"/>
                <w:szCs w:val="20"/>
                <w:color w:val="auto"/>
              </w:rPr>
            </w:pPr>
            <w:r>
              <w:rPr>
                <w:rFonts w:ascii="Arial" w:cs="Arial" w:eastAsia="Arial" w:hAnsi="Arial"/>
                <w:sz w:val="16"/>
                <w:szCs w:val="16"/>
                <w:color w:val="202020"/>
              </w:rPr>
              <w:t>6/16/32</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Elizabeth Crowley</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58,000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28.00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6/17/31</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Elizabeth Crowley</w:t>
            </w:r>
          </w:p>
        </w:tc>
        <w:tc>
          <w:tcPr>
            <w:tcW w:w="940" w:type="dxa"/>
            <w:vAlign w:val="bottom"/>
          </w:tcPr>
          <w:p>
            <w:pPr>
              <w:jc w:val="right"/>
              <w:spacing w:after="0"/>
              <w:rPr>
                <w:sz w:val="20"/>
                <w:szCs w:val="20"/>
                <w:color w:val="auto"/>
              </w:rPr>
            </w:pPr>
            <w:r>
              <w:rPr>
                <w:rFonts w:ascii="Arial" w:cs="Arial" w:eastAsia="Arial" w:hAnsi="Arial"/>
                <w:sz w:val="16"/>
                <w:szCs w:val="16"/>
                <w:color w:val="202020"/>
              </w:rPr>
              <w:t>46,500</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10.38</w:t>
            </w:r>
          </w:p>
        </w:tc>
        <w:tc>
          <w:tcPr>
            <w:tcW w:w="800" w:type="dxa"/>
            <w:vAlign w:val="bottom"/>
          </w:tcPr>
          <w:p>
            <w:pPr>
              <w:jc w:val="right"/>
              <w:spacing w:after="0"/>
              <w:rPr>
                <w:sz w:val="20"/>
                <w:szCs w:val="20"/>
                <w:color w:val="auto"/>
              </w:rPr>
            </w:pPr>
            <w:r>
              <w:rPr>
                <w:rFonts w:ascii="Arial" w:cs="Arial" w:eastAsia="Arial" w:hAnsi="Arial"/>
                <w:sz w:val="16"/>
                <w:szCs w:val="16"/>
                <w:color w:val="202020"/>
              </w:rPr>
              <w:t>6/18/30</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Elizabeth Crowley</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5,466</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34.80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6/15/27</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Elizabeth Crowley</w:t>
            </w:r>
          </w:p>
        </w:tc>
        <w:tc>
          <w:tcPr>
            <w:tcW w:w="940" w:type="dxa"/>
            <w:vAlign w:val="bottom"/>
          </w:tcPr>
          <w:p>
            <w:pPr>
              <w:jc w:val="right"/>
              <w:spacing w:after="0"/>
              <w:rPr>
                <w:sz w:val="20"/>
                <w:szCs w:val="20"/>
                <w:color w:val="auto"/>
              </w:rPr>
            </w:pPr>
            <w:r>
              <w:rPr>
                <w:rFonts w:ascii="Arial" w:cs="Arial" w:eastAsia="Arial" w:hAnsi="Arial"/>
                <w:sz w:val="16"/>
                <w:szCs w:val="16"/>
                <w:color w:val="202020"/>
              </w:rPr>
              <w:t>5,399</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70.80</w:t>
            </w:r>
          </w:p>
        </w:tc>
        <w:tc>
          <w:tcPr>
            <w:tcW w:w="800" w:type="dxa"/>
            <w:vAlign w:val="bottom"/>
          </w:tcPr>
          <w:p>
            <w:pPr>
              <w:jc w:val="right"/>
              <w:spacing w:after="0"/>
              <w:rPr>
                <w:sz w:val="20"/>
                <w:szCs w:val="20"/>
                <w:color w:val="auto"/>
              </w:rPr>
            </w:pPr>
            <w:r>
              <w:rPr>
                <w:rFonts w:ascii="Arial" w:cs="Arial" w:eastAsia="Arial" w:hAnsi="Arial"/>
                <w:sz w:val="16"/>
                <w:szCs w:val="16"/>
                <w:color w:val="202020"/>
              </w:rPr>
              <w:t>6/8/26</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Margo Heath-Chiozzi, M.D</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82,000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6/5/35</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Margo Heath-Chiozzi, M.D</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30,750</w:t>
            </w:r>
          </w:p>
        </w:tc>
        <w:tc>
          <w:tcPr>
            <w:tcW w:w="1060" w:type="dxa"/>
            <w:vAlign w:val="bottom"/>
          </w:tcPr>
          <w:p>
            <w:pPr>
              <w:jc w:val="right"/>
              <w:spacing w:after="0"/>
              <w:rPr>
                <w:sz w:val="20"/>
                <w:szCs w:val="20"/>
                <w:color w:val="auto"/>
              </w:rPr>
            </w:pPr>
            <w:r>
              <w:rPr>
                <w:rFonts w:ascii="Arial" w:cs="Arial" w:eastAsia="Arial" w:hAnsi="Arial"/>
                <w:sz w:val="16"/>
                <w:szCs w:val="16"/>
                <w:color w:val="202020"/>
              </w:rPr>
              <w:t>51,250</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36.43</w:t>
            </w:r>
          </w:p>
        </w:tc>
        <w:tc>
          <w:tcPr>
            <w:tcW w:w="800" w:type="dxa"/>
            <w:vAlign w:val="bottom"/>
          </w:tcPr>
          <w:p>
            <w:pPr>
              <w:jc w:val="right"/>
              <w:spacing w:after="0"/>
              <w:rPr>
                <w:sz w:val="20"/>
                <w:szCs w:val="20"/>
                <w:color w:val="auto"/>
              </w:rPr>
            </w:pPr>
            <w:r>
              <w:rPr>
                <w:rFonts w:ascii="Arial" w:cs="Arial" w:eastAsia="Arial" w:hAnsi="Arial"/>
                <w:sz w:val="16"/>
                <w:szCs w:val="16"/>
                <w:color w:val="202020"/>
              </w:rPr>
              <w:t>6/13/34</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Margo Heath-Chiozzi, M.D</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50,000</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30,000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36.87</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6/15/33</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Margo Heath-Chiozzi, M.D</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67,375</w:t>
            </w:r>
          </w:p>
        </w:tc>
        <w:tc>
          <w:tcPr>
            <w:tcW w:w="1060" w:type="dxa"/>
            <w:vAlign w:val="bottom"/>
          </w:tcPr>
          <w:p>
            <w:pPr>
              <w:jc w:val="right"/>
              <w:spacing w:after="0"/>
              <w:rPr>
                <w:sz w:val="20"/>
                <w:szCs w:val="20"/>
                <w:color w:val="auto"/>
              </w:rPr>
            </w:pPr>
            <w:r>
              <w:rPr>
                <w:rFonts w:ascii="Arial" w:cs="Arial" w:eastAsia="Arial" w:hAnsi="Arial"/>
                <w:sz w:val="16"/>
                <w:szCs w:val="16"/>
                <w:color w:val="202020"/>
              </w:rPr>
              <w:t>9,625</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22.48</w:t>
            </w:r>
          </w:p>
        </w:tc>
        <w:tc>
          <w:tcPr>
            <w:tcW w:w="800" w:type="dxa"/>
            <w:vAlign w:val="bottom"/>
          </w:tcPr>
          <w:p>
            <w:pPr>
              <w:jc w:val="right"/>
              <w:spacing w:after="0"/>
              <w:rPr>
                <w:sz w:val="20"/>
                <w:szCs w:val="20"/>
                <w:color w:val="auto"/>
              </w:rPr>
            </w:pPr>
            <w:r>
              <w:rPr>
                <w:rFonts w:ascii="Arial" w:cs="Arial" w:eastAsia="Arial" w:hAnsi="Arial"/>
                <w:sz w:val="16"/>
                <w:szCs w:val="16"/>
                <w:color w:val="202020"/>
              </w:rPr>
              <w:t>6/16/32</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Margo Heath-Chiozzi, M.D</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62,500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28.00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6/17/31</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940" w:type="dxa"/>
            <w:vAlign w:val="bottom"/>
          </w:tcPr>
          <w:p>
            <w:pPr>
              <w:jc w:val="right"/>
              <w:spacing w:after="0"/>
              <w:rPr>
                <w:sz w:val="20"/>
                <w:szCs w:val="20"/>
                <w:color w:val="auto"/>
              </w:rPr>
            </w:pPr>
            <w:r>
              <w:rPr>
                <w:rFonts w:ascii="Arial" w:cs="Arial" w:eastAsia="Arial" w:hAnsi="Arial"/>
                <w:sz w:val="16"/>
                <w:szCs w:val="16"/>
                <w:color w:val="202020"/>
              </w:rPr>
              <w:t>23,023</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10.38</w:t>
            </w:r>
          </w:p>
        </w:tc>
        <w:tc>
          <w:tcPr>
            <w:tcW w:w="800" w:type="dxa"/>
            <w:vAlign w:val="bottom"/>
          </w:tcPr>
          <w:p>
            <w:pPr>
              <w:jc w:val="right"/>
              <w:spacing w:after="0"/>
              <w:rPr>
                <w:sz w:val="20"/>
                <w:szCs w:val="20"/>
                <w:color w:val="auto"/>
              </w:rPr>
            </w:pPr>
            <w:r>
              <w:rPr>
                <w:rFonts w:ascii="Arial" w:cs="Arial" w:eastAsia="Arial" w:hAnsi="Arial"/>
                <w:sz w:val="16"/>
                <w:szCs w:val="16"/>
                <w:color w:val="202020"/>
              </w:rPr>
              <w:t>6/18/30</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Margo Heath-Chiozzi, M.D</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12,732</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2.78</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6/19/29</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940" w:type="dxa"/>
            <w:vAlign w:val="bottom"/>
          </w:tcPr>
          <w:p>
            <w:pPr>
              <w:jc w:val="right"/>
              <w:spacing w:after="0"/>
              <w:rPr>
                <w:sz w:val="20"/>
                <w:szCs w:val="20"/>
                <w:color w:val="auto"/>
              </w:rPr>
            </w:pPr>
            <w:r>
              <w:rPr>
                <w:rFonts w:ascii="Arial" w:cs="Arial" w:eastAsia="Arial" w:hAnsi="Arial"/>
                <w:sz w:val="16"/>
                <w:szCs w:val="16"/>
                <w:color w:val="202020"/>
              </w:rPr>
              <w:t>5,000</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45.15</w:t>
            </w:r>
          </w:p>
        </w:tc>
        <w:tc>
          <w:tcPr>
            <w:tcW w:w="800" w:type="dxa"/>
            <w:vAlign w:val="bottom"/>
          </w:tcPr>
          <w:p>
            <w:pPr>
              <w:jc w:val="right"/>
              <w:spacing w:after="0"/>
              <w:rPr>
                <w:sz w:val="20"/>
                <w:szCs w:val="20"/>
                <w:color w:val="auto"/>
              </w:rPr>
            </w:pPr>
            <w:r>
              <w:rPr>
                <w:rFonts w:ascii="Arial" w:cs="Arial" w:eastAsia="Arial" w:hAnsi="Arial"/>
                <w:sz w:val="16"/>
                <w:szCs w:val="16"/>
                <w:color w:val="202020"/>
              </w:rPr>
              <w:t>10/3/27</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Sam Martin</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81,000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6/5/35</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Sam Martin</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30,375</w:t>
            </w:r>
          </w:p>
        </w:tc>
        <w:tc>
          <w:tcPr>
            <w:tcW w:w="1060" w:type="dxa"/>
            <w:vAlign w:val="bottom"/>
          </w:tcPr>
          <w:p>
            <w:pPr>
              <w:jc w:val="right"/>
              <w:spacing w:after="0"/>
              <w:rPr>
                <w:sz w:val="20"/>
                <w:szCs w:val="20"/>
                <w:color w:val="auto"/>
              </w:rPr>
            </w:pPr>
            <w:r>
              <w:rPr>
                <w:rFonts w:ascii="Arial" w:cs="Arial" w:eastAsia="Arial" w:hAnsi="Arial"/>
                <w:sz w:val="16"/>
                <w:szCs w:val="16"/>
                <w:color w:val="202020"/>
              </w:rPr>
              <w:t>50,625</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36.43</w:t>
            </w:r>
          </w:p>
        </w:tc>
        <w:tc>
          <w:tcPr>
            <w:tcW w:w="800" w:type="dxa"/>
            <w:vAlign w:val="bottom"/>
          </w:tcPr>
          <w:p>
            <w:pPr>
              <w:jc w:val="right"/>
              <w:spacing w:after="0"/>
              <w:rPr>
                <w:sz w:val="20"/>
                <w:szCs w:val="20"/>
                <w:color w:val="auto"/>
              </w:rPr>
            </w:pPr>
            <w:r>
              <w:rPr>
                <w:rFonts w:ascii="Arial" w:cs="Arial" w:eastAsia="Arial" w:hAnsi="Arial"/>
                <w:sz w:val="16"/>
                <w:szCs w:val="16"/>
                <w:color w:val="202020"/>
              </w:rPr>
              <w:t>6/13/34</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1"/>
        </w:trPr>
        <w:tc>
          <w:tcPr>
            <w:tcW w:w="24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Sam Martin</w:t>
            </w:r>
            <w:r>
              <w:rPr>
                <w:rFonts w:ascii="Arial" w:cs="Arial" w:eastAsia="Arial" w:hAnsi="Arial"/>
                <w:sz w:val="19"/>
                <w:szCs w:val="19"/>
                <w:color w:val="202020"/>
                <w:vertAlign w:val="superscript"/>
              </w:rPr>
              <w:t>(1)</w:t>
            </w:r>
          </w:p>
        </w:tc>
        <w:tc>
          <w:tcPr>
            <w:tcW w:w="9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50,000</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30,000</w:t>
            </w:r>
          </w:p>
        </w:tc>
        <w:tc>
          <w:tcPr>
            <w:tcW w:w="940" w:type="dxa"/>
            <w:vAlign w:val="bottom"/>
            <w:shd w:val="clear" w:color="auto" w:fill="E9E9E9"/>
          </w:tcPr>
          <w:p>
            <w:pPr>
              <w:spacing w:after="0"/>
              <w:rPr>
                <w:sz w:val="23"/>
                <w:szCs w:val="23"/>
                <w:color w:val="auto"/>
              </w:rPr>
            </w:pPr>
          </w:p>
        </w:tc>
        <w:tc>
          <w:tcPr>
            <w:tcW w:w="6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36.87</w:t>
            </w:r>
          </w:p>
        </w:tc>
        <w:tc>
          <w:tcPr>
            <w:tcW w:w="8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6/15/33</w:t>
            </w:r>
          </w:p>
        </w:tc>
        <w:tc>
          <w:tcPr>
            <w:tcW w:w="840" w:type="dxa"/>
            <w:vAlign w:val="bottom"/>
            <w:shd w:val="clear" w:color="auto" w:fill="E9E9E9"/>
          </w:tcPr>
          <w:p>
            <w:pPr>
              <w:spacing w:after="0"/>
              <w:rPr>
                <w:sz w:val="23"/>
                <w:szCs w:val="23"/>
                <w:color w:val="auto"/>
              </w:rPr>
            </w:pPr>
          </w:p>
        </w:tc>
        <w:tc>
          <w:tcPr>
            <w:tcW w:w="780" w:type="dxa"/>
            <w:vAlign w:val="bottom"/>
            <w:shd w:val="clear" w:color="auto" w:fill="E9E9E9"/>
          </w:tcPr>
          <w:p>
            <w:pPr>
              <w:spacing w:after="0"/>
              <w:rPr>
                <w:sz w:val="23"/>
                <w:szCs w:val="23"/>
                <w:color w:val="auto"/>
              </w:rPr>
            </w:pPr>
          </w:p>
        </w:tc>
        <w:tc>
          <w:tcPr>
            <w:tcW w:w="840" w:type="dxa"/>
            <w:vAlign w:val="bottom"/>
            <w:shd w:val="clear" w:color="auto" w:fill="E9E9E9"/>
          </w:tcPr>
          <w:p>
            <w:pPr>
              <w:spacing w:after="0"/>
              <w:rPr>
                <w:sz w:val="23"/>
                <w:szCs w:val="23"/>
                <w:color w:val="auto"/>
              </w:rPr>
            </w:pPr>
          </w:p>
        </w:tc>
        <w:tc>
          <w:tcPr>
            <w:tcW w:w="800" w:type="dxa"/>
            <w:vAlign w:val="bottom"/>
            <w:shd w:val="clear" w:color="auto" w:fill="E9E9E9"/>
          </w:tcPr>
          <w:p>
            <w:pPr>
              <w:spacing w:after="0"/>
              <w:rPr>
                <w:sz w:val="23"/>
                <w:szCs w:val="23"/>
                <w:color w:val="auto"/>
              </w:rPr>
            </w:pPr>
          </w:p>
        </w:tc>
      </w:tr>
      <w:tr>
        <w:trPr>
          <w:trHeight w:val="271"/>
        </w:trPr>
        <w:tc>
          <w:tcPr>
            <w:tcW w:w="2460" w:type="dxa"/>
            <w:vAlign w:val="bottom"/>
          </w:tcPr>
          <w:p>
            <w:pPr>
              <w:ind w:left="60"/>
              <w:spacing w:after="0"/>
              <w:rPr>
                <w:sz w:val="20"/>
                <w:szCs w:val="20"/>
                <w:color w:val="auto"/>
              </w:rPr>
            </w:pPr>
            <w:r>
              <w:rPr>
                <w:rFonts w:ascii="Arial" w:cs="Arial" w:eastAsia="Arial" w:hAnsi="Arial"/>
                <w:sz w:val="16"/>
                <w:szCs w:val="16"/>
                <w:color w:val="202020"/>
              </w:rPr>
              <w:t>Sam Martin</w:t>
            </w:r>
            <w:r>
              <w:rPr>
                <w:rFonts w:ascii="Arial" w:cs="Arial" w:eastAsia="Arial" w:hAnsi="Arial"/>
                <w:sz w:val="19"/>
                <w:szCs w:val="19"/>
                <w:color w:val="202020"/>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202020"/>
              </w:rPr>
              <w:t>74,375</w:t>
            </w:r>
          </w:p>
        </w:tc>
        <w:tc>
          <w:tcPr>
            <w:tcW w:w="1060" w:type="dxa"/>
            <w:vAlign w:val="bottom"/>
          </w:tcPr>
          <w:p>
            <w:pPr>
              <w:jc w:val="right"/>
              <w:spacing w:after="0"/>
              <w:rPr>
                <w:sz w:val="20"/>
                <w:szCs w:val="20"/>
                <w:color w:val="auto"/>
              </w:rPr>
            </w:pPr>
            <w:r>
              <w:rPr>
                <w:rFonts w:ascii="Arial" w:cs="Arial" w:eastAsia="Arial" w:hAnsi="Arial"/>
                <w:sz w:val="16"/>
                <w:szCs w:val="16"/>
                <w:color w:val="202020"/>
              </w:rPr>
              <w:t>10,625</w:t>
            </w:r>
          </w:p>
        </w:tc>
        <w:tc>
          <w:tcPr>
            <w:tcW w:w="9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22.48</w:t>
            </w:r>
          </w:p>
        </w:tc>
        <w:tc>
          <w:tcPr>
            <w:tcW w:w="800" w:type="dxa"/>
            <w:vAlign w:val="bottom"/>
          </w:tcPr>
          <w:p>
            <w:pPr>
              <w:jc w:val="right"/>
              <w:spacing w:after="0"/>
              <w:rPr>
                <w:sz w:val="20"/>
                <w:szCs w:val="20"/>
                <w:color w:val="auto"/>
              </w:rPr>
            </w:pPr>
            <w:r>
              <w:rPr>
                <w:rFonts w:ascii="Arial" w:cs="Arial" w:eastAsia="Arial" w:hAnsi="Arial"/>
                <w:sz w:val="16"/>
                <w:szCs w:val="16"/>
                <w:color w:val="202020"/>
              </w:rPr>
              <w:t>6/16/32</w:t>
            </w: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85,000</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28.00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6/17/31</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Sam Martin</w:t>
            </w:r>
          </w:p>
        </w:tc>
        <w:tc>
          <w:tcPr>
            <w:tcW w:w="940" w:type="dxa"/>
            <w:vAlign w:val="bottom"/>
          </w:tcPr>
          <w:p>
            <w:pPr>
              <w:jc w:val="right"/>
              <w:spacing w:after="0"/>
              <w:rPr>
                <w:sz w:val="20"/>
                <w:szCs w:val="20"/>
                <w:color w:val="auto"/>
              </w:rPr>
            </w:pPr>
            <w:r>
              <w:rPr>
                <w:rFonts w:ascii="Arial" w:cs="Arial" w:eastAsia="Arial" w:hAnsi="Arial"/>
                <w:sz w:val="16"/>
                <w:szCs w:val="16"/>
                <w:color w:val="202020"/>
              </w:rPr>
              <w:t>63,632</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10.38</w:t>
            </w:r>
          </w:p>
        </w:tc>
        <w:tc>
          <w:tcPr>
            <w:tcW w:w="800" w:type="dxa"/>
            <w:vAlign w:val="bottom"/>
          </w:tcPr>
          <w:p>
            <w:pPr>
              <w:jc w:val="right"/>
              <w:spacing w:after="0"/>
              <w:rPr>
                <w:sz w:val="20"/>
                <w:szCs w:val="20"/>
                <w:color w:val="auto"/>
              </w:rPr>
            </w:pPr>
            <w:r>
              <w:rPr>
                <w:rFonts w:ascii="Arial" w:cs="Arial" w:eastAsia="Arial" w:hAnsi="Arial"/>
                <w:sz w:val="16"/>
                <w:szCs w:val="16"/>
                <w:color w:val="202020"/>
              </w:rPr>
              <w:t>6/18/30</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2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1"/>
        </w:trPr>
        <w:tc>
          <w:tcPr>
            <w:tcW w:w="246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9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4,332</w:t>
            </w:r>
          </w:p>
        </w:tc>
        <w:tc>
          <w:tcPr>
            <w:tcW w:w="10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940" w:type="dxa"/>
            <w:vAlign w:val="bottom"/>
            <w:tcBorders>
              <w:bottom w:val="single" w:sz="8" w:color="E9E9E9"/>
            </w:tcBorders>
            <w:shd w:val="clear" w:color="auto" w:fill="E9E9E9"/>
          </w:tcPr>
          <w:p>
            <w:pPr>
              <w:spacing w:after="0"/>
              <w:rPr>
                <w:sz w:val="21"/>
                <w:szCs w:val="21"/>
                <w:color w:val="auto"/>
              </w:rPr>
            </w:pPr>
          </w:p>
        </w:tc>
        <w:tc>
          <w:tcPr>
            <w:tcW w:w="6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34.80</w:t>
            </w:r>
          </w:p>
        </w:tc>
        <w:tc>
          <w:tcPr>
            <w:tcW w:w="8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6/15/27</w:t>
            </w:r>
          </w:p>
        </w:tc>
        <w:tc>
          <w:tcPr>
            <w:tcW w:w="840" w:type="dxa"/>
            <w:vAlign w:val="bottom"/>
            <w:tcBorders>
              <w:bottom w:val="single" w:sz="8" w:color="E9E9E9"/>
            </w:tcBorders>
            <w:shd w:val="clear" w:color="auto" w:fill="E9E9E9"/>
          </w:tcPr>
          <w:p>
            <w:pPr>
              <w:spacing w:after="0"/>
              <w:rPr>
                <w:sz w:val="21"/>
                <w:szCs w:val="21"/>
                <w:color w:val="auto"/>
              </w:rPr>
            </w:pPr>
          </w:p>
        </w:tc>
        <w:tc>
          <w:tcPr>
            <w:tcW w:w="780" w:type="dxa"/>
            <w:vAlign w:val="bottom"/>
            <w:tcBorders>
              <w:bottom w:val="single" w:sz="8" w:color="E9E9E9"/>
            </w:tcBorders>
            <w:shd w:val="clear" w:color="auto" w:fill="E9E9E9"/>
          </w:tcPr>
          <w:p>
            <w:pPr>
              <w:spacing w:after="0"/>
              <w:rPr>
                <w:sz w:val="21"/>
                <w:szCs w:val="21"/>
                <w:color w:val="auto"/>
              </w:rPr>
            </w:pPr>
          </w:p>
        </w:tc>
        <w:tc>
          <w:tcPr>
            <w:tcW w:w="840" w:type="dxa"/>
            <w:vAlign w:val="bottom"/>
            <w:tcBorders>
              <w:bottom w:val="single" w:sz="8" w:color="E9E9E9"/>
            </w:tcBorders>
            <w:shd w:val="clear" w:color="auto" w:fill="E9E9E9"/>
          </w:tcPr>
          <w:p>
            <w:pPr>
              <w:spacing w:after="0"/>
              <w:rPr>
                <w:sz w:val="21"/>
                <w:szCs w:val="21"/>
                <w:color w:val="auto"/>
              </w:rPr>
            </w:pPr>
          </w:p>
        </w:tc>
        <w:tc>
          <w:tcPr>
            <w:tcW w:w="800" w:type="dxa"/>
            <w:vAlign w:val="bottom"/>
            <w:tcBorders>
              <w:bottom w:val="single" w:sz="8" w:color="E9E9E9"/>
            </w:tcBorders>
            <w:shd w:val="clear" w:color="auto" w:fill="E9E9E9"/>
          </w:tcPr>
          <w:p>
            <w:pPr>
              <w:spacing w:after="0"/>
              <w:rPr>
                <w:sz w:val="21"/>
                <w:szCs w:val="2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202020"/>
              </w:rPr>
              <w:t>Sam Martin</w:t>
            </w:r>
          </w:p>
        </w:tc>
        <w:tc>
          <w:tcPr>
            <w:tcW w:w="940" w:type="dxa"/>
            <w:vAlign w:val="bottom"/>
          </w:tcPr>
          <w:p>
            <w:pPr>
              <w:jc w:val="right"/>
              <w:spacing w:after="0"/>
              <w:rPr>
                <w:sz w:val="20"/>
                <w:szCs w:val="20"/>
                <w:color w:val="auto"/>
              </w:rPr>
            </w:pPr>
            <w:r>
              <w:rPr>
                <w:rFonts w:ascii="Arial" w:cs="Arial" w:eastAsia="Arial" w:hAnsi="Arial"/>
                <w:sz w:val="16"/>
                <w:szCs w:val="16"/>
                <w:color w:val="202020"/>
              </w:rPr>
              <w:t>1,399</w:t>
            </w:r>
          </w:p>
        </w:tc>
        <w:tc>
          <w:tcPr>
            <w:tcW w:w="1060" w:type="dxa"/>
            <w:vAlign w:val="bottom"/>
          </w:tcPr>
          <w:p>
            <w:pPr>
              <w:jc w:val="right"/>
              <w:spacing w:after="0"/>
              <w:rPr>
                <w:sz w:val="20"/>
                <w:szCs w:val="20"/>
                <w:color w:val="auto"/>
              </w:rPr>
            </w:pPr>
            <w:r>
              <w:rPr>
                <w:rFonts w:ascii="Arial" w:cs="Arial" w:eastAsia="Arial" w:hAnsi="Arial"/>
                <w:sz w:val="16"/>
                <w:szCs w:val="16"/>
                <w:color w:val="202020"/>
              </w:rPr>
              <w:t>—</w:t>
            </w:r>
          </w:p>
        </w:tc>
        <w:tc>
          <w:tcPr>
            <w:tcW w:w="9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202020"/>
              </w:rPr>
              <w:t>70.80</w:t>
            </w:r>
          </w:p>
        </w:tc>
        <w:tc>
          <w:tcPr>
            <w:tcW w:w="800" w:type="dxa"/>
            <w:vAlign w:val="bottom"/>
          </w:tcPr>
          <w:p>
            <w:pPr>
              <w:jc w:val="right"/>
              <w:spacing w:after="0"/>
              <w:rPr>
                <w:sz w:val="20"/>
                <w:szCs w:val="20"/>
                <w:color w:val="auto"/>
              </w:rPr>
            </w:pPr>
            <w:r>
              <w:rPr>
                <w:rFonts w:ascii="Arial" w:cs="Arial" w:eastAsia="Arial" w:hAnsi="Arial"/>
                <w:sz w:val="16"/>
                <w:szCs w:val="16"/>
                <w:color w:val="202020"/>
              </w:rPr>
              <w:t>6/8/26</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31115</wp:posOffset>
                </wp:positionV>
                <wp:extent cx="642429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19011">
                          <a:solidFill>
                            <a:srgbClr val="20202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45pt" to="505.9pt,2.45pt" o:allowincell="f" strokecolor="#202020" strokeweight="1.4969pt"/>
            </w:pict>
          </mc:Fallback>
        </mc:AlternateContent>
      </w:r>
    </w:p>
    <w:p>
      <w:pPr>
        <w:spacing w:after="0" w:line="53" w:lineRule="exact"/>
        <w:rPr>
          <w:sz w:val="20"/>
          <w:szCs w:val="20"/>
          <w:color w:val="auto"/>
        </w:rPr>
      </w:pPr>
    </w:p>
    <w:p>
      <w:pPr>
        <w:ind w:left="400" w:right="340" w:hanging="399"/>
        <w:spacing w:after="0" w:line="302" w:lineRule="auto"/>
        <w:tabs>
          <w:tab w:leader="none" w:pos="400" w:val="left"/>
        </w:tabs>
        <w:numPr>
          <w:ilvl w:val="0"/>
          <w:numId w:val="25"/>
        </w:numPr>
        <w:rPr>
          <w:rFonts w:ascii="Arial" w:cs="Arial" w:eastAsia="Arial" w:hAnsi="Arial"/>
          <w:sz w:val="16"/>
          <w:szCs w:val="16"/>
          <w:color w:val="202020"/>
        </w:rPr>
      </w:pPr>
      <w:r>
        <w:rPr>
          <w:rFonts w:ascii="Arial" w:cs="Arial" w:eastAsia="Arial" w:hAnsi="Arial"/>
          <w:sz w:val="16"/>
          <w:szCs w:val="16"/>
          <w:color w:val="202020"/>
        </w:rPr>
        <w:t>25% of the options vest on the first anniversary of the grant date and the remainder vest quarterly (in equal amounts) over the subsequent 12 quarters.</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40 |</w:t>
        <w:tab/>
        <w:t>Celldex Therapeutics</w:t>
      </w:r>
    </w:p>
    <w:p>
      <w:pPr>
        <w:sectPr>
          <w:pgSz w:w="11880" w:h="15480" w:orient="portrait"/>
          <w:cols w:equalWidth="0" w:num="1">
            <w:col w:w="10120"/>
          </w:cols>
          <w:pgMar w:left="880" w:top="544" w:right="880" w:bottom="96" w:gutter="0" w:footer="0" w:header="0"/>
          <w:type w:val="continuous"/>
        </w:sectPr>
      </w:pPr>
    </w:p>
    <w:bookmarkStart w:id="44" w:name="page45"/>
    <w:bookmarkEnd w:id="44"/>
    <w:p>
      <w:pPr>
        <w:ind w:left="8300"/>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Option Exercises and Stock Vested</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8"/>
          <w:szCs w:val="18"/>
          <w:color w:val="202020"/>
        </w:rPr>
        <w:t>The following table sets forth certain information regarding the number of option exercises in fiscal 2025 and the number of shares of stock issued under the 2021 Incentive Plan and 2008 Plan that vested in fiscal 2025 and the corresponding amounts realized by our Named Executive Officers.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20" w:type="dxa"/>
            <w:vAlign w:val="bottom"/>
          </w:tcPr>
          <w:p>
            <w:pPr>
              <w:spacing w:after="0"/>
              <w:rPr>
                <w:sz w:val="20"/>
                <w:szCs w:val="20"/>
                <w:color w:val="auto"/>
              </w:rPr>
            </w:pPr>
          </w:p>
        </w:tc>
        <w:tc>
          <w:tcPr>
            <w:tcW w:w="3260" w:type="dxa"/>
            <w:vAlign w:val="bottom"/>
            <w:tcBorders>
              <w:bottom w:val="single" w:sz="8" w:color="202020"/>
            </w:tcBorders>
            <w:gridSpan w:val="2"/>
          </w:tcPr>
          <w:p>
            <w:pPr>
              <w:jc w:val="right"/>
              <w:ind w:right="965"/>
              <w:spacing w:after="0"/>
              <w:rPr>
                <w:sz w:val="20"/>
                <w:szCs w:val="20"/>
                <w:color w:val="auto"/>
              </w:rPr>
            </w:pPr>
            <w:r>
              <w:rPr>
                <w:rFonts w:ascii="Arial" w:cs="Arial" w:eastAsia="Arial" w:hAnsi="Arial"/>
                <w:sz w:val="16"/>
                <w:szCs w:val="16"/>
                <w:b w:val="1"/>
                <w:bCs w:val="1"/>
                <w:color w:val="202020"/>
              </w:rPr>
              <w:t>Option Awards</w:t>
            </w:r>
          </w:p>
        </w:tc>
        <w:tc>
          <w:tcPr>
            <w:tcW w:w="3140" w:type="dxa"/>
            <w:vAlign w:val="bottom"/>
            <w:tcBorders>
              <w:bottom w:val="single" w:sz="8" w:color="202020"/>
            </w:tcBorders>
            <w:gridSpan w:val="2"/>
          </w:tcPr>
          <w:p>
            <w:pPr>
              <w:jc w:val="right"/>
              <w:ind w:right="920"/>
              <w:spacing w:after="0"/>
              <w:rPr>
                <w:sz w:val="20"/>
                <w:szCs w:val="20"/>
                <w:color w:val="auto"/>
              </w:rPr>
            </w:pPr>
            <w:r>
              <w:rPr>
                <w:rFonts w:ascii="Arial" w:cs="Arial" w:eastAsia="Arial" w:hAnsi="Arial"/>
                <w:sz w:val="16"/>
                <w:szCs w:val="16"/>
                <w:b w:val="1"/>
                <w:bCs w:val="1"/>
                <w:color w:val="202020"/>
              </w:rPr>
              <w:t>Stock Awards</w:t>
            </w:r>
          </w:p>
        </w:tc>
      </w:tr>
      <w:tr>
        <w:trPr>
          <w:trHeight w:val="169"/>
        </w:trPr>
        <w:tc>
          <w:tcPr>
            <w:tcW w:w="3720" w:type="dxa"/>
            <w:vAlign w:val="bottom"/>
          </w:tcPr>
          <w:p>
            <w:pPr>
              <w:spacing w:after="0"/>
              <w:rPr>
                <w:sz w:val="14"/>
                <w:szCs w:val="14"/>
                <w:color w:val="auto"/>
              </w:rPr>
            </w:pPr>
          </w:p>
        </w:tc>
        <w:tc>
          <w:tcPr>
            <w:tcW w:w="1860" w:type="dxa"/>
            <w:vAlign w:val="bottom"/>
          </w:tcPr>
          <w:p>
            <w:pPr>
              <w:jc w:val="right"/>
              <w:ind w:right="140"/>
              <w:spacing w:after="0" w:line="169" w:lineRule="exact"/>
              <w:rPr>
                <w:sz w:val="20"/>
                <w:szCs w:val="20"/>
                <w:color w:val="auto"/>
              </w:rPr>
            </w:pPr>
            <w:r>
              <w:rPr>
                <w:rFonts w:ascii="Arial" w:cs="Arial" w:eastAsia="Arial" w:hAnsi="Arial"/>
                <w:sz w:val="16"/>
                <w:szCs w:val="16"/>
                <w:b w:val="1"/>
                <w:bCs w:val="1"/>
                <w:color w:val="202020"/>
              </w:rPr>
              <w:t>Number of Shares</w:t>
            </w:r>
          </w:p>
        </w:tc>
        <w:tc>
          <w:tcPr>
            <w:tcW w:w="1400" w:type="dxa"/>
            <w:vAlign w:val="bottom"/>
          </w:tcPr>
          <w:p>
            <w:pPr>
              <w:jc w:val="right"/>
              <w:ind w:right="45"/>
              <w:spacing w:after="0" w:line="169" w:lineRule="exact"/>
              <w:rPr>
                <w:sz w:val="20"/>
                <w:szCs w:val="20"/>
                <w:color w:val="auto"/>
              </w:rPr>
            </w:pPr>
            <w:r>
              <w:rPr>
                <w:rFonts w:ascii="Arial" w:cs="Arial" w:eastAsia="Arial" w:hAnsi="Arial"/>
                <w:sz w:val="16"/>
                <w:szCs w:val="16"/>
                <w:b w:val="1"/>
                <w:bCs w:val="1"/>
                <w:color w:val="202020"/>
              </w:rPr>
              <w:t>Value Realized</w:t>
            </w:r>
          </w:p>
        </w:tc>
        <w:tc>
          <w:tcPr>
            <w:tcW w:w="1800" w:type="dxa"/>
            <w:vAlign w:val="bottom"/>
          </w:tcPr>
          <w:p>
            <w:pPr>
              <w:jc w:val="right"/>
              <w:ind w:right="100"/>
              <w:spacing w:after="0" w:line="169" w:lineRule="exact"/>
              <w:rPr>
                <w:sz w:val="20"/>
                <w:szCs w:val="20"/>
                <w:color w:val="auto"/>
              </w:rPr>
            </w:pPr>
            <w:r>
              <w:rPr>
                <w:rFonts w:ascii="Arial" w:cs="Arial" w:eastAsia="Arial" w:hAnsi="Arial"/>
                <w:sz w:val="16"/>
                <w:szCs w:val="16"/>
                <w:b w:val="1"/>
                <w:bCs w:val="1"/>
                <w:color w:val="202020"/>
              </w:rPr>
              <w:t>Number of Shares</w:t>
            </w:r>
          </w:p>
        </w:tc>
        <w:tc>
          <w:tcPr>
            <w:tcW w:w="1340" w:type="dxa"/>
            <w:vAlign w:val="bottom"/>
          </w:tcPr>
          <w:p>
            <w:pPr>
              <w:jc w:val="right"/>
              <w:spacing w:after="0" w:line="169" w:lineRule="exact"/>
              <w:rPr>
                <w:sz w:val="20"/>
                <w:szCs w:val="20"/>
                <w:color w:val="auto"/>
              </w:rPr>
            </w:pPr>
            <w:r>
              <w:rPr>
                <w:rFonts w:ascii="Arial" w:cs="Arial" w:eastAsia="Arial" w:hAnsi="Arial"/>
                <w:sz w:val="16"/>
                <w:szCs w:val="16"/>
                <w:b w:val="1"/>
                <w:bCs w:val="1"/>
                <w:color w:val="202020"/>
              </w:rPr>
              <w:t>Value Realized</w:t>
            </w:r>
          </w:p>
        </w:tc>
      </w:tr>
      <w:tr>
        <w:trPr>
          <w:trHeight w:val="179"/>
        </w:trPr>
        <w:tc>
          <w:tcPr>
            <w:tcW w:w="3720" w:type="dxa"/>
            <w:vAlign w:val="bottom"/>
          </w:tcPr>
          <w:p>
            <w:pPr>
              <w:spacing w:after="0"/>
              <w:rPr>
                <w:sz w:val="15"/>
                <w:szCs w:val="15"/>
                <w:color w:val="auto"/>
              </w:rPr>
            </w:pPr>
          </w:p>
        </w:tc>
        <w:tc>
          <w:tcPr>
            <w:tcW w:w="1860" w:type="dxa"/>
            <w:vAlign w:val="bottom"/>
          </w:tcPr>
          <w:p>
            <w:pPr>
              <w:jc w:val="right"/>
              <w:ind w:right="40"/>
              <w:spacing w:after="0" w:line="179" w:lineRule="exact"/>
              <w:rPr>
                <w:sz w:val="20"/>
                <w:szCs w:val="20"/>
                <w:color w:val="auto"/>
              </w:rPr>
            </w:pPr>
            <w:r>
              <w:rPr>
                <w:rFonts w:ascii="Arial" w:cs="Arial" w:eastAsia="Arial" w:hAnsi="Arial"/>
                <w:sz w:val="16"/>
                <w:szCs w:val="16"/>
                <w:b w:val="1"/>
                <w:bCs w:val="1"/>
                <w:color w:val="202020"/>
              </w:rPr>
              <w:t>Acquired on Exercise</w:t>
            </w:r>
          </w:p>
        </w:tc>
        <w:tc>
          <w:tcPr>
            <w:tcW w:w="1400" w:type="dxa"/>
            <w:vAlign w:val="bottom"/>
          </w:tcPr>
          <w:p>
            <w:pPr>
              <w:jc w:val="right"/>
              <w:ind w:right="185"/>
              <w:spacing w:after="0" w:line="179" w:lineRule="exact"/>
              <w:rPr>
                <w:sz w:val="20"/>
                <w:szCs w:val="20"/>
                <w:color w:val="auto"/>
              </w:rPr>
            </w:pPr>
            <w:r>
              <w:rPr>
                <w:rFonts w:ascii="Arial" w:cs="Arial" w:eastAsia="Arial" w:hAnsi="Arial"/>
                <w:sz w:val="16"/>
                <w:szCs w:val="16"/>
                <w:b w:val="1"/>
                <w:bCs w:val="1"/>
                <w:color w:val="202020"/>
              </w:rPr>
              <w:t>on Exercise</w:t>
            </w:r>
          </w:p>
        </w:tc>
        <w:tc>
          <w:tcPr>
            <w:tcW w:w="1800" w:type="dxa"/>
            <w:vAlign w:val="bottom"/>
          </w:tcPr>
          <w:p>
            <w:pPr>
              <w:jc w:val="right"/>
              <w:ind w:right="40"/>
              <w:spacing w:after="0" w:line="179" w:lineRule="exact"/>
              <w:rPr>
                <w:sz w:val="20"/>
                <w:szCs w:val="20"/>
                <w:color w:val="auto"/>
              </w:rPr>
            </w:pPr>
            <w:r>
              <w:rPr>
                <w:rFonts w:ascii="Arial" w:cs="Arial" w:eastAsia="Arial" w:hAnsi="Arial"/>
                <w:sz w:val="16"/>
                <w:szCs w:val="16"/>
                <w:b w:val="1"/>
                <w:bCs w:val="1"/>
                <w:color w:val="202020"/>
              </w:rPr>
              <w:t>Acquired on Vesting</w:t>
            </w:r>
          </w:p>
        </w:tc>
        <w:tc>
          <w:tcPr>
            <w:tcW w:w="1340" w:type="dxa"/>
            <w:vAlign w:val="bottom"/>
          </w:tcPr>
          <w:p>
            <w:pPr>
              <w:jc w:val="right"/>
              <w:ind w:right="140"/>
              <w:spacing w:after="0" w:line="179" w:lineRule="exact"/>
              <w:rPr>
                <w:sz w:val="20"/>
                <w:szCs w:val="20"/>
                <w:color w:val="auto"/>
              </w:rPr>
            </w:pPr>
            <w:r>
              <w:rPr>
                <w:rFonts w:ascii="Arial" w:cs="Arial" w:eastAsia="Arial" w:hAnsi="Arial"/>
                <w:sz w:val="16"/>
                <w:szCs w:val="16"/>
                <w:b w:val="1"/>
                <w:bCs w:val="1"/>
                <w:color w:val="202020"/>
              </w:rPr>
              <w:t>on Vesting</w:t>
            </w:r>
          </w:p>
        </w:tc>
      </w:tr>
      <w:tr>
        <w:trPr>
          <w:trHeight w:val="241"/>
        </w:trPr>
        <w:tc>
          <w:tcPr>
            <w:tcW w:w="372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Name</w:t>
            </w:r>
          </w:p>
        </w:tc>
        <w:tc>
          <w:tcPr>
            <w:tcW w:w="1860" w:type="dxa"/>
            <w:vAlign w:val="bottom"/>
            <w:tcBorders>
              <w:bottom w:val="single" w:sz="8" w:color="202020"/>
            </w:tcBorders>
          </w:tcPr>
          <w:p>
            <w:pPr>
              <w:jc w:val="right"/>
              <w:ind w:right="740"/>
              <w:spacing w:after="0"/>
              <w:rPr>
                <w:sz w:val="20"/>
                <w:szCs w:val="20"/>
                <w:color w:val="auto"/>
              </w:rPr>
            </w:pPr>
            <w:r>
              <w:rPr>
                <w:rFonts w:ascii="Arial" w:cs="Arial" w:eastAsia="Arial" w:hAnsi="Arial"/>
                <w:sz w:val="16"/>
                <w:szCs w:val="16"/>
                <w:b w:val="1"/>
                <w:bCs w:val="1"/>
                <w:color w:val="202020"/>
              </w:rPr>
              <w:t>(#)</w:t>
            </w:r>
          </w:p>
        </w:tc>
        <w:tc>
          <w:tcPr>
            <w:tcW w:w="1400" w:type="dxa"/>
            <w:vAlign w:val="bottom"/>
            <w:tcBorders>
              <w:bottom w:val="single" w:sz="8" w:color="202020"/>
            </w:tcBorders>
          </w:tcPr>
          <w:p>
            <w:pPr>
              <w:jc w:val="right"/>
              <w:ind w:right="445"/>
              <w:spacing w:after="0" w:line="231" w:lineRule="exact"/>
              <w:rPr>
                <w:sz w:val="20"/>
                <w:szCs w:val="20"/>
                <w:color w:val="auto"/>
              </w:rPr>
            </w:pPr>
            <w:r>
              <w:rPr>
                <w:rFonts w:ascii="Arial" w:cs="Arial" w:eastAsia="Arial" w:hAnsi="Arial"/>
                <w:sz w:val="26"/>
                <w:szCs w:val="26"/>
                <w:b w:val="1"/>
                <w:bCs w:val="1"/>
                <w:color w:val="202020"/>
                <w:vertAlign w:val="subscript"/>
              </w:rPr>
              <w:t>($)</w:t>
            </w:r>
            <w:r>
              <w:rPr>
                <w:rFonts w:ascii="Arial" w:cs="Arial" w:eastAsia="Arial" w:hAnsi="Arial"/>
                <w:sz w:val="9"/>
                <w:szCs w:val="9"/>
                <w:b w:val="1"/>
                <w:bCs w:val="1"/>
                <w:color w:val="202020"/>
              </w:rPr>
              <w:t>(1)</w:t>
            </w:r>
          </w:p>
        </w:tc>
        <w:tc>
          <w:tcPr>
            <w:tcW w:w="1800" w:type="dxa"/>
            <w:vAlign w:val="bottom"/>
            <w:tcBorders>
              <w:bottom w:val="single" w:sz="8" w:color="202020"/>
            </w:tcBorders>
          </w:tcPr>
          <w:p>
            <w:pPr>
              <w:jc w:val="right"/>
              <w:ind w:right="720"/>
              <w:spacing w:after="0"/>
              <w:rPr>
                <w:sz w:val="20"/>
                <w:szCs w:val="20"/>
                <w:color w:val="auto"/>
              </w:rPr>
            </w:pPr>
            <w:r>
              <w:rPr>
                <w:rFonts w:ascii="Arial" w:cs="Arial" w:eastAsia="Arial" w:hAnsi="Arial"/>
                <w:sz w:val="16"/>
                <w:szCs w:val="16"/>
                <w:b w:val="1"/>
                <w:bCs w:val="1"/>
                <w:color w:val="202020"/>
              </w:rPr>
              <w:t>(#)</w:t>
            </w:r>
          </w:p>
        </w:tc>
        <w:tc>
          <w:tcPr>
            <w:tcW w:w="1340" w:type="dxa"/>
            <w:vAlign w:val="bottom"/>
            <w:tcBorders>
              <w:bottom w:val="single" w:sz="8" w:color="202020"/>
            </w:tcBorders>
          </w:tcPr>
          <w:p>
            <w:pPr>
              <w:jc w:val="right"/>
              <w:ind w:right="460"/>
              <w:spacing w:after="0"/>
              <w:rPr>
                <w:sz w:val="20"/>
                <w:szCs w:val="20"/>
                <w:color w:val="auto"/>
              </w:rPr>
            </w:pPr>
            <w:r>
              <w:rPr>
                <w:rFonts w:ascii="Arial" w:cs="Arial" w:eastAsia="Arial" w:hAnsi="Arial"/>
                <w:sz w:val="16"/>
                <w:szCs w:val="16"/>
                <w:b w:val="1"/>
                <w:bCs w:val="1"/>
                <w:color w:val="202020"/>
              </w:rPr>
              <w:t>($)</w:t>
            </w:r>
          </w:p>
        </w:tc>
      </w:tr>
      <w:tr>
        <w:trPr>
          <w:trHeight w:val="220"/>
        </w:trPr>
        <w:tc>
          <w:tcPr>
            <w:tcW w:w="372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Anthony S. Marucci</w:t>
            </w:r>
          </w:p>
        </w:tc>
        <w:tc>
          <w:tcPr>
            <w:tcW w:w="1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4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202020"/>
              </w:rPr>
              <w:t>—</w:t>
            </w:r>
          </w:p>
        </w:tc>
        <w:tc>
          <w:tcPr>
            <w:tcW w:w="18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r>
      <w:tr>
        <w:trPr>
          <w:trHeight w:val="218"/>
        </w:trPr>
        <w:tc>
          <w:tcPr>
            <w:tcW w:w="372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186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400" w:type="dxa"/>
            <w:vAlign w:val="bottom"/>
          </w:tcPr>
          <w:p>
            <w:pPr>
              <w:jc w:val="right"/>
              <w:ind w:right="45"/>
              <w:spacing w:after="0"/>
              <w:rPr>
                <w:sz w:val="20"/>
                <w:szCs w:val="20"/>
                <w:color w:val="auto"/>
              </w:rPr>
            </w:pPr>
            <w:r>
              <w:rPr>
                <w:rFonts w:ascii="Arial" w:cs="Arial" w:eastAsia="Arial" w:hAnsi="Arial"/>
                <w:sz w:val="16"/>
                <w:szCs w:val="16"/>
                <w:color w:val="202020"/>
              </w:rPr>
              <w:t>—</w:t>
            </w:r>
          </w:p>
        </w:tc>
        <w:tc>
          <w:tcPr>
            <w:tcW w:w="180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340" w:type="dxa"/>
            <w:vAlign w:val="bottom"/>
          </w:tcPr>
          <w:p>
            <w:pPr>
              <w:jc w:val="right"/>
              <w:spacing w:after="0"/>
              <w:rPr>
                <w:sz w:val="20"/>
                <w:szCs w:val="20"/>
                <w:color w:val="auto"/>
              </w:rPr>
            </w:pPr>
            <w:r>
              <w:rPr>
                <w:rFonts w:ascii="Arial" w:cs="Arial" w:eastAsia="Arial" w:hAnsi="Arial"/>
                <w:sz w:val="16"/>
                <w:szCs w:val="16"/>
                <w:color w:val="202020"/>
              </w:rPr>
              <w:t>—</w:t>
            </w:r>
          </w:p>
        </w:tc>
      </w:tr>
      <w:tr>
        <w:trPr>
          <w:trHeight w:val="221"/>
        </w:trPr>
        <w:tc>
          <w:tcPr>
            <w:tcW w:w="372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Elizabeth Crowley</w:t>
            </w:r>
          </w:p>
        </w:tc>
        <w:tc>
          <w:tcPr>
            <w:tcW w:w="186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400" w:type="dxa"/>
            <w:vAlign w:val="bottom"/>
            <w:shd w:val="clear" w:color="auto" w:fill="E9E9E9"/>
          </w:tcPr>
          <w:p>
            <w:pPr>
              <w:jc w:val="right"/>
              <w:ind w:right="45"/>
              <w:spacing w:after="0"/>
              <w:rPr>
                <w:sz w:val="20"/>
                <w:szCs w:val="20"/>
                <w:color w:val="auto"/>
              </w:rPr>
            </w:pPr>
            <w:r>
              <w:rPr>
                <w:rFonts w:ascii="Arial" w:cs="Arial" w:eastAsia="Arial" w:hAnsi="Arial"/>
                <w:sz w:val="16"/>
                <w:szCs w:val="16"/>
                <w:color w:val="202020"/>
              </w:rPr>
              <w:t>—</w:t>
            </w:r>
          </w:p>
        </w:tc>
        <w:tc>
          <w:tcPr>
            <w:tcW w:w="18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3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r>
      <w:tr>
        <w:trPr>
          <w:trHeight w:val="218"/>
        </w:trPr>
        <w:tc>
          <w:tcPr>
            <w:tcW w:w="372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186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400" w:type="dxa"/>
            <w:vAlign w:val="bottom"/>
          </w:tcPr>
          <w:p>
            <w:pPr>
              <w:jc w:val="right"/>
              <w:ind w:right="45"/>
              <w:spacing w:after="0"/>
              <w:rPr>
                <w:sz w:val="20"/>
                <w:szCs w:val="20"/>
                <w:color w:val="auto"/>
              </w:rPr>
            </w:pPr>
            <w:r>
              <w:rPr>
                <w:rFonts w:ascii="Arial" w:cs="Arial" w:eastAsia="Arial" w:hAnsi="Arial"/>
                <w:sz w:val="16"/>
                <w:szCs w:val="16"/>
                <w:color w:val="202020"/>
              </w:rPr>
              <w:t>—</w:t>
            </w:r>
          </w:p>
        </w:tc>
        <w:tc>
          <w:tcPr>
            <w:tcW w:w="180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340" w:type="dxa"/>
            <w:vAlign w:val="bottom"/>
          </w:tcPr>
          <w:p>
            <w:pPr>
              <w:jc w:val="right"/>
              <w:spacing w:after="0"/>
              <w:rPr>
                <w:sz w:val="20"/>
                <w:szCs w:val="20"/>
                <w:color w:val="auto"/>
              </w:rPr>
            </w:pPr>
            <w:r>
              <w:rPr>
                <w:rFonts w:ascii="Arial" w:cs="Arial" w:eastAsia="Arial" w:hAnsi="Arial"/>
                <w:sz w:val="16"/>
                <w:szCs w:val="16"/>
                <w:color w:val="202020"/>
              </w:rPr>
              <w:t>—</w:t>
            </w:r>
          </w:p>
        </w:tc>
      </w:tr>
      <w:tr>
        <w:trPr>
          <w:trHeight w:val="221"/>
        </w:trPr>
        <w:tc>
          <w:tcPr>
            <w:tcW w:w="37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186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400" w:type="dxa"/>
            <w:vAlign w:val="bottom"/>
            <w:tcBorders>
              <w:bottom w:val="single" w:sz="8" w:color="E9E9E9"/>
            </w:tcBorders>
            <w:shd w:val="clear" w:color="auto" w:fill="E9E9E9"/>
          </w:tcPr>
          <w:p>
            <w:pPr>
              <w:jc w:val="right"/>
              <w:ind w:right="45"/>
              <w:spacing w:after="0"/>
              <w:rPr>
                <w:sz w:val="20"/>
                <w:szCs w:val="20"/>
                <w:color w:val="auto"/>
              </w:rPr>
            </w:pPr>
            <w:r>
              <w:rPr>
                <w:rFonts w:ascii="Arial" w:cs="Arial" w:eastAsia="Arial" w:hAnsi="Arial"/>
                <w:sz w:val="16"/>
                <w:szCs w:val="16"/>
                <w:color w:val="202020"/>
              </w:rPr>
              <w:t>—</w:t>
            </w:r>
          </w:p>
        </w:tc>
        <w:tc>
          <w:tcPr>
            <w:tcW w:w="1800" w:type="dxa"/>
            <w:vAlign w:val="bottom"/>
            <w:tcBorders>
              <w:bottom w:val="single" w:sz="8" w:color="E9E9E9"/>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3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w:t>
            </w:r>
          </w:p>
        </w:tc>
      </w:tr>
      <w:tr>
        <w:trPr>
          <w:trHeight w:val="30"/>
        </w:trPr>
        <w:tc>
          <w:tcPr>
            <w:tcW w:w="3720" w:type="dxa"/>
            <w:vAlign w:val="bottom"/>
            <w:shd w:val="clear" w:color="auto" w:fill="202020"/>
          </w:tcPr>
          <w:p>
            <w:pPr>
              <w:spacing w:after="0"/>
              <w:rPr>
                <w:sz w:val="2"/>
                <w:szCs w:val="2"/>
                <w:color w:val="auto"/>
              </w:rPr>
            </w:pPr>
          </w:p>
        </w:tc>
        <w:tc>
          <w:tcPr>
            <w:tcW w:w="1860" w:type="dxa"/>
            <w:vAlign w:val="bottom"/>
            <w:shd w:val="clear" w:color="auto" w:fill="202020"/>
          </w:tcPr>
          <w:p>
            <w:pPr>
              <w:spacing w:after="0"/>
              <w:rPr>
                <w:sz w:val="2"/>
                <w:szCs w:val="2"/>
                <w:color w:val="auto"/>
              </w:rPr>
            </w:pPr>
          </w:p>
        </w:tc>
        <w:tc>
          <w:tcPr>
            <w:tcW w:w="1400" w:type="dxa"/>
            <w:vAlign w:val="bottom"/>
            <w:shd w:val="clear" w:color="auto" w:fill="202020"/>
          </w:tcPr>
          <w:p>
            <w:pPr>
              <w:spacing w:after="0"/>
              <w:rPr>
                <w:sz w:val="2"/>
                <w:szCs w:val="2"/>
                <w:color w:val="auto"/>
              </w:rPr>
            </w:pPr>
          </w:p>
        </w:tc>
        <w:tc>
          <w:tcPr>
            <w:tcW w:w="1800" w:type="dxa"/>
            <w:vAlign w:val="bottom"/>
            <w:shd w:val="clear" w:color="auto" w:fill="202020"/>
          </w:tcPr>
          <w:p>
            <w:pPr>
              <w:spacing w:after="0"/>
              <w:rPr>
                <w:sz w:val="2"/>
                <w:szCs w:val="2"/>
                <w:color w:val="auto"/>
              </w:rPr>
            </w:pPr>
          </w:p>
        </w:tc>
        <w:tc>
          <w:tcPr>
            <w:tcW w:w="1340" w:type="dxa"/>
            <w:vAlign w:val="bottom"/>
            <w:shd w:val="clear" w:color="auto" w:fill="202020"/>
          </w:tcPr>
          <w:p>
            <w:pPr>
              <w:spacing w:after="0"/>
              <w:rPr>
                <w:sz w:val="2"/>
                <w:szCs w:val="2"/>
                <w:color w:val="auto"/>
              </w:rPr>
            </w:pPr>
          </w:p>
        </w:tc>
      </w:tr>
    </w:tbl>
    <w:p>
      <w:pPr>
        <w:spacing w:after="0" w:line="21" w:lineRule="exact"/>
        <w:rPr>
          <w:sz w:val="20"/>
          <w:szCs w:val="20"/>
          <w:color w:val="auto"/>
        </w:rPr>
      </w:pPr>
    </w:p>
    <w:p>
      <w:pPr>
        <w:ind w:left="400" w:right="540" w:hanging="399"/>
        <w:spacing w:after="0" w:line="318" w:lineRule="auto"/>
        <w:tabs>
          <w:tab w:leader="none" w:pos="400" w:val="left"/>
        </w:tabs>
        <w:numPr>
          <w:ilvl w:val="0"/>
          <w:numId w:val="26"/>
        </w:numPr>
        <w:rPr>
          <w:rFonts w:ascii="Arial" w:cs="Arial" w:eastAsia="Arial" w:hAnsi="Arial"/>
          <w:sz w:val="16"/>
          <w:szCs w:val="16"/>
          <w:color w:val="202020"/>
        </w:rPr>
      </w:pPr>
      <w:r>
        <w:rPr>
          <w:rFonts w:ascii="Arial" w:cs="Arial" w:eastAsia="Arial" w:hAnsi="Arial"/>
          <w:sz w:val="16"/>
          <w:szCs w:val="16"/>
          <w:color w:val="202020"/>
        </w:rPr>
        <w:t>Value realized on exercise represents difference between sale price and exercise price for shares sold or difference between closing price on day of exercise and exercise price for shares held and not sold.</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Employment Agreements</w:t>
      </w:r>
    </w:p>
    <w:p>
      <w:pPr>
        <w:spacing w:after="0" w:line="180" w:lineRule="exact"/>
        <w:rPr>
          <w:sz w:val="20"/>
          <w:szCs w:val="20"/>
          <w:color w:val="auto"/>
        </w:rPr>
      </w:pPr>
    </w:p>
    <w:p>
      <w:pPr>
        <w:spacing w:after="0" w:line="288" w:lineRule="auto"/>
        <w:rPr>
          <w:sz w:val="20"/>
          <w:szCs w:val="20"/>
          <w:color w:val="auto"/>
        </w:rPr>
      </w:pPr>
      <w:r>
        <w:rPr>
          <w:rFonts w:ascii="Arial" w:cs="Arial" w:eastAsia="Arial" w:hAnsi="Arial"/>
          <w:sz w:val="18"/>
          <w:szCs w:val="18"/>
          <w:color w:val="202020"/>
        </w:rPr>
        <w:t>The terms and conditions of the employment agreements of Mr. Marucci, Dr. Keler, Ms. Crowley, Dr. Heath-Chiozzi and Mr. Martin are governed by written employment contracts which became effective on December 8, 2025. The employment agreements provide, among other things, for:</w:t>
      </w:r>
    </w:p>
    <w:p>
      <w:pPr>
        <w:spacing w:after="0" w:line="65" w:lineRule="exact"/>
        <w:rPr>
          <w:sz w:val="20"/>
          <w:szCs w:val="20"/>
          <w:color w:val="auto"/>
        </w:rPr>
      </w:pPr>
    </w:p>
    <w:p>
      <w:pPr>
        <w:ind w:left="160" w:hanging="159"/>
        <w:spacing w:after="0" w:line="280" w:lineRule="auto"/>
        <w:tabs>
          <w:tab w:leader="none" w:pos="160" w:val="left"/>
        </w:tabs>
        <w:numPr>
          <w:ilvl w:val="0"/>
          <w:numId w:val="27"/>
        </w:numPr>
        <w:rPr>
          <w:rFonts w:ascii="Arial" w:cs="Arial" w:eastAsia="Arial" w:hAnsi="Arial"/>
          <w:sz w:val="18"/>
          <w:szCs w:val="18"/>
          <w:color w:val="202020"/>
        </w:rPr>
      </w:pPr>
      <w:r>
        <w:rPr>
          <w:rFonts w:ascii="Arial" w:cs="Arial" w:eastAsia="Arial" w:hAnsi="Arial"/>
          <w:sz w:val="18"/>
          <w:szCs w:val="18"/>
          <w:color w:val="202020"/>
        </w:rPr>
        <w:t>current annual base salary ($822,000 in the case of Mr. Marucci, $574,276 in the case of Dr. Keler, $498,000 in the case of Ms. Crowley, $501,000 in the case of Dr. Heath-Chiozzi and $529,000 in the case of Mr. Martin) or such greater amount as may from time to time be determined by the Board of Directors or the Compensation and Organization Development Committee thereof;</w:t>
      </w:r>
    </w:p>
    <w:p>
      <w:pPr>
        <w:spacing w:after="0" w:line="71" w:lineRule="exact"/>
        <w:rPr>
          <w:rFonts w:ascii="Arial" w:cs="Arial" w:eastAsia="Arial" w:hAnsi="Arial"/>
          <w:sz w:val="18"/>
          <w:szCs w:val="18"/>
          <w:color w:val="202020"/>
        </w:rPr>
      </w:pPr>
    </w:p>
    <w:p>
      <w:pPr>
        <w:ind w:left="160" w:right="200" w:hanging="159"/>
        <w:spacing w:after="0" w:line="308" w:lineRule="auto"/>
        <w:tabs>
          <w:tab w:leader="none" w:pos="160" w:val="left"/>
        </w:tabs>
        <w:numPr>
          <w:ilvl w:val="0"/>
          <w:numId w:val="27"/>
        </w:numPr>
        <w:rPr>
          <w:rFonts w:ascii="Arial" w:cs="Arial" w:eastAsia="Arial" w:hAnsi="Arial"/>
          <w:sz w:val="18"/>
          <w:szCs w:val="18"/>
          <w:color w:val="202020"/>
        </w:rPr>
      </w:pPr>
      <w:r>
        <w:rPr>
          <w:rFonts w:ascii="Arial" w:cs="Arial" w:eastAsia="Arial" w:hAnsi="Arial"/>
          <w:sz w:val="18"/>
          <w:szCs w:val="18"/>
          <w:color w:val="202020"/>
        </w:rPr>
        <w:t>eligibility for an annual bonus with a current bonus target (65% of base salary in the case of Mr. Marucci, 53% of base salary in the case of Dr. Keler and 45% of base salary in the case of Ms. Crowley, Dr. Heath-Chiozzi and Mr. Martin);</w:t>
      </w:r>
    </w:p>
    <w:p>
      <w:pPr>
        <w:spacing w:after="0" w:line="47" w:lineRule="exact"/>
        <w:rPr>
          <w:rFonts w:ascii="Arial" w:cs="Arial" w:eastAsia="Arial" w:hAnsi="Arial"/>
          <w:sz w:val="18"/>
          <w:szCs w:val="18"/>
          <w:color w:val="202020"/>
        </w:rPr>
      </w:pPr>
    </w:p>
    <w:p>
      <w:pPr>
        <w:ind w:left="160" w:hanging="159"/>
        <w:spacing w:after="0" w:line="280" w:lineRule="auto"/>
        <w:tabs>
          <w:tab w:leader="none" w:pos="160" w:val="left"/>
        </w:tabs>
        <w:numPr>
          <w:ilvl w:val="0"/>
          <w:numId w:val="27"/>
        </w:numPr>
        <w:rPr>
          <w:rFonts w:ascii="Arial" w:cs="Arial" w:eastAsia="Arial" w:hAnsi="Arial"/>
          <w:sz w:val="18"/>
          <w:szCs w:val="18"/>
          <w:color w:val="202020"/>
        </w:rPr>
      </w:pPr>
      <w:r>
        <w:rPr>
          <w:rFonts w:ascii="Arial" w:cs="Arial" w:eastAsia="Arial" w:hAnsi="Arial"/>
          <w:sz w:val="18"/>
          <w:szCs w:val="18"/>
          <w:color w:val="202020"/>
        </w:rPr>
        <w:t>a lump sum severance payment equal to 100% (200% in the case of Mr. Marucci only) of the executive’s then-existing annual base salary in the event that the executive’s employment is terminated without cause or the executive resigns “for good reason” (as defined in the employment agreement) and 25% accelerated vesting of any unvested equity awards (in the case of Mr. Marucci, Dr. Keler and Ms. Crowley); and</w:t>
      </w:r>
    </w:p>
    <w:p>
      <w:pPr>
        <w:spacing w:after="0" w:line="71" w:lineRule="exact"/>
        <w:rPr>
          <w:rFonts w:ascii="Arial" w:cs="Arial" w:eastAsia="Arial" w:hAnsi="Arial"/>
          <w:sz w:val="18"/>
          <w:szCs w:val="18"/>
          <w:color w:val="202020"/>
        </w:rPr>
      </w:pPr>
    </w:p>
    <w:p>
      <w:pPr>
        <w:ind w:left="160" w:hanging="159"/>
        <w:spacing w:after="0" w:line="274" w:lineRule="auto"/>
        <w:tabs>
          <w:tab w:leader="none" w:pos="160" w:val="left"/>
        </w:tabs>
        <w:numPr>
          <w:ilvl w:val="0"/>
          <w:numId w:val="27"/>
        </w:numPr>
        <w:rPr>
          <w:rFonts w:ascii="Arial" w:cs="Arial" w:eastAsia="Arial" w:hAnsi="Arial"/>
          <w:sz w:val="18"/>
          <w:szCs w:val="18"/>
          <w:color w:val="202020"/>
        </w:rPr>
      </w:pPr>
      <w:r>
        <w:rPr>
          <w:rFonts w:ascii="Arial" w:cs="Arial" w:eastAsia="Arial" w:hAnsi="Arial"/>
          <w:sz w:val="18"/>
          <w:szCs w:val="18"/>
          <w:color w:val="202020"/>
        </w:rPr>
        <w:t>accelerated vesting of any unvested equity awards (as defined in the employment agreement) and a lump sum cash payment equal to twenty-four (24) times the executive’s highest monthly base compensation (not including bonus) during the twenty-four month period preceding the date of termination plus 150% (200% in the case of Mr. Marucci only) of the highest one-year annual bonus actually received by the executive during the two full fiscal years preceding the date of termination in the event of termination without cause or resignation “for good reason” by the executive within one year immediately following a change in control (as defined in the employment agreement).</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202020"/>
        </w:rPr>
        <w:t>Payment of cash severance and certain supplemental benefits is conditioned upon the executive executing and delivering to us a release within 55 days of termination of employment. The employment arrangements are also conditioned upon each executive entering into an employee non-disclosure invention assignment agreement which includes confidentiality, assignment of inventions, non-competition, non-solicitation and non-disparagement restrictions. The assignment of inventions provision applies to inventions created while employed. The confidentiality and non-disparagement provisions apply during and after employment. The non-competition and non-solicitation provisions apply during employment and for 12 months thereafter, except do not apply in case of a termination without cause or for good reason within one year following a change in control. Waiver of a breach by the executive of the employee non-disclosure invention assignment agreement would require our written agreement.</w:t>
      </w:r>
    </w:p>
    <w:p>
      <w:pPr>
        <w:spacing w:after="0" w:line="122" w:lineRule="exact"/>
        <w:rPr>
          <w:sz w:val="20"/>
          <w:szCs w:val="20"/>
          <w:color w:val="auto"/>
        </w:rPr>
      </w:pPr>
    </w:p>
    <w:p>
      <w:pPr>
        <w:spacing w:after="0" w:line="280" w:lineRule="auto"/>
        <w:rPr>
          <w:sz w:val="20"/>
          <w:szCs w:val="20"/>
          <w:color w:val="auto"/>
        </w:rPr>
      </w:pPr>
      <w:r>
        <w:rPr>
          <w:rFonts w:ascii="Arial" w:cs="Arial" w:eastAsia="Arial" w:hAnsi="Arial"/>
          <w:sz w:val="18"/>
          <w:szCs w:val="18"/>
          <w:color w:val="202020"/>
        </w:rPr>
        <w:t>The employment agreements had an initial term through December 31, 2026 and shall automatically renew for additional one year terms unless either party gives ninety (90) days prior written notice of its intent not to renew. The Company may terminate the employment agreements without cause, on 90-days’ prior notice, or for cause, subject to a 30-day cure period in certain circumstances.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Pension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02020"/>
        </w:rPr>
        <w:t>None of our Named Executive Officers participate in qualified or nonqualified defined benefit plans sponsored by us.</w:t>
      </w:r>
    </w:p>
    <w:p>
      <w:pPr>
        <w:spacing w:after="0" w:line="232"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41</w:t>
      </w:r>
    </w:p>
    <w:p>
      <w:pPr>
        <w:sectPr>
          <w:pgSz w:w="11880" w:h="15480" w:orient="portrait"/>
          <w:cols w:equalWidth="0" w:num="1">
            <w:col w:w="10120"/>
          </w:cols>
          <w:pgMar w:left="880" w:top="544" w:right="880" w:bottom="96" w:gutter="0" w:footer="0" w:header="0"/>
        </w:sectPr>
      </w:pPr>
    </w:p>
    <w:bookmarkStart w:id="45" w:name="page46"/>
    <w:bookmarkEnd w:id="45"/>
    <w:p>
      <w:pPr>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Nonqualified Deferred Compensation</w:t>
      </w:r>
    </w:p>
    <w:p>
      <w:pPr>
        <w:spacing w:after="0" w:line="120"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202020"/>
        </w:rPr>
        <w:t>None of our Named Executive Officers are covered by a defined contribution or other plan that provides for the deferral of compensation on a basis that is not tax-qualified.</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Potential Payments Upon Termination of Employment or Change in Control</w:t>
      </w:r>
    </w:p>
    <w:p>
      <w:pPr>
        <w:spacing w:after="0" w:line="12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202020"/>
        </w:rPr>
        <w:t>Our Named Executive Officers have provisions in their employment agreements regarding severance upon certain termination events or acceleration of stock options in the event of our change of control or termination following a change of control. These severance and acceleration provisions are described in “Employment Agreements,” and certain estimates of these change of control benefits are provided in the tables below.</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8"/>
          <w:szCs w:val="18"/>
          <w:color w:val="202020"/>
        </w:rPr>
        <w:t>Payment of cash severance and certain supplemental benefits is conditioned upon the Named Executive Officer executing and delivering to us a release within 55 days of termination of employment. The employment arrangements are also conditioned upon each Named Executive Officer entering into an employee non-disclosure invention assignment agreement which includes confidentiality, assignment of inventions, non-competition, non-solicitation and non-disparagement restrictions. The assignment of inventions provision applies to inventions created while employed. The confidentiality and non-disparagement provisions apply during and after employment. The non-competition and non-solicitation provisions apply during employment and for 12 months thereafter, except do not apply in case of a termination without cause or for good reason within one year following a change in control. Waiver of a breach by the executive of the employee non-disclosure invention assignment agreement would require our written agreement.</w:t>
      </w:r>
    </w:p>
    <w:p>
      <w:pPr>
        <w:spacing w:after="0" w:line="65"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color w:val="202020"/>
        </w:rPr>
        <w:t>The following table describes the potential payments and benefits upon employment termination for our Named Executive Officers as if their employment had terminated as of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2"/>
          </w:tcPr>
          <w:p>
            <w:pPr>
              <w:jc w:val="center"/>
              <w:spacing w:after="0"/>
              <w:rPr>
                <w:sz w:val="20"/>
                <w:szCs w:val="20"/>
                <w:color w:val="auto"/>
              </w:rPr>
            </w:pPr>
            <w:r>
              <w:rPr>
                <w:rFonts w:ascii="Arial" w:cs="Arial" w:eastAsia="Arial" w:hAnsi="Arial"/>
                <w:sz w:val="16"/>
                <w:szCs w:val="16"/>
                <w:b w:val="1"/>
                <w:bCs w:val="1"/>
                <w:color w:val="202020"/>
              </w:rPr>
              <w:t>Voluntary termination</w:t>
            </w:r>
          </w:p>
        </w:tc>
      </w:tr>
      <w:tr>
        <w:trPr>
          <w:trHeight w:val="180"/>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by the executive</w:t>
            </w:r>
          </w:p>
        </w:tc>
      </w:tr>
      <w:tr>
        <w:trPr>
          <w:trHeight w:val="180"/>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for good reason</w:t>
            </w:r>
          </w:p>
        </w:tc>
      </w:tr>
      <w:tr>
        <w:trPr>
          <w:trHeight w:val="180"/>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or termination by</w:t>
            </w:r>
          </w:p>
        </w:tc>
      </w:tr>
      <w:tr>
        <w:trPr>
          <w:trHeight w:val="180"/>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Arial" w:cs="Arial" w:eastAsia="Arial" w:hAnsi="Arial"/>
                <w:sz w:val="16"/>
                <w:szCs w:val="16"/>
                <w:b w:val="1"/>
                <w:bCs w:val="1"/>
                <w:color w:val="202020"/>
              </w:rPr>
              <w:t>Voluntary</w:t>
            </w:r>
          </w:p>
        </w:tc>
        <w:tc>
          <w:tcPr>
            <w:tcW w:w="114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Voluntary</w:t>
            </w:r>
          </w:p>
        </w:tc>
        <w:tc>
          <w:tcPr>
            <w:tcW w:w="122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202020"/>
              </w:rPr>
              <w:t>Termination</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Celldex without</w:t>
            </w:r>
          </w:p>
        </w:tc>
      </w:tr>
      <w:tr>
        <w:trPr>
          <w:trHeight w:val="180"/>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gridSpan w:val="2"/>
          </w:tcPr>
          <w:p>
            <w:pPr>
              <w:jc w:val="right"/>
              <w:ind w:right="60"/>
              <w:spacing w:after="0" w:line="180" w:lineRule="exact"/>
              <w:rPr>
                <w:sz w:val="20"/>
                <w:szCs w:val="20"/>
                <w:color w:val="auto"/>
              </w:rPr>
            </w:pPr>
            <w:r>
              <w:rPr>
                <w:rFonts w:ascii="Arial" w:cs="Arial" w:eastAsia="Arial" w:hAnsi="Arial"/>
                <w:sz w:val="16"/>
                <w:szCs w:val="16"/>
                <w:b w:val="1"/>
                <w:bCs w:val="1"/>
                <w:color w:val="202020"/>
              </w:rPr>
              <w:t>resignation</w:t>
            </w:r>
          </w:p>
        </w:tc>
        <w:tc>
          <w:tcPr>
            <w:tcW w:w="114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resignation</w:t>
            </w:r>
          </w:p>
        </w:tc>
        <w:tc>
          <w:tcPr>
            <w:tcW w:w="1220" w:type="dxa"/>
            <w:vAlign w:val="bottom"/>
            <w:gridSpan w:val="2"/>
          </w:tcPr>
          <w:p>
            <w:pPr>
              <w:jc w:val="right"/>
              <w:ind w:right="140"/>
              <w:spacing w:after="0" w:line="180" w:lineRule="exact"/>
              <w:rPr>
                <w:sz w:val="20"/>
                <w:szCs w:val="20"/>
                <w:color w:val="auto"/>
              </w:rPr>
            </w:pPr>
            <w:r>
              <w:rPr>
                <w:rFonts w:ascii="Arial" w:cs="Arial" w:eastAsia="Arial" w:hAnsi="Arial"/>
                <w:sz w:val="16"/>
                <w:szCs w:val="16"/>
                <w:b w:val="1"/>
                <w:bCs w:val="1"/>
                <w:color w:val="202020"/>
              </w:rPr>
              <w:t>by Celldex</w:t>
            </w:r>
          </w:p>
        </w:tc>
        <w:tc>
          <w:tcPr>
            <w:tcW w:w="1200" w:type="dxa"/>
            <w:vAlign w:val="bottom"/>
            <w:gridSpan w:val="2"/>
          </w:tcPr>
          <w:p>
            <w:pPr>
              <w:jc w:val="right"/>
              <w:ind w:right="40"/>
              <w:spacing w:after="0" w:line="180" w:lineRule="exact"/>
              <w:rPr>
                <w:sz w:val="20"/>
                <w:szCs w:val="20"/>
                <w:color w:val="auto"/>
              </w:rPr>
            </w:pPr>
            <w:r>
              <w:rPr>
                <w:rFonts w:ascii="Arial" w:cs="Arial" w:eastAsia="Arial" w:hAnsi="Arial"/>
                <w:sz w:val="16"/>
                <w:szCs w:val="16"/>
                <w:b w:val="1"/>
                <w:bCs w:val="1"/>
                <w:color w:val="202020"/>
              </w:rPr>
              <w:t>Termination</w:t>
            </w:r>
          </w:p>
        </w:tc>
        <w:tc>
          <w:tcPr>
            <w:tcW w:w="1980" w:type="dxa"/>
            <w:vAlign w:val="bottom"/>
            <w:gridSpan w:val="2"/>
          </w:tcPr>
          <w:p>
            <w:pPr>
              <w:jc w:val="center"/>
              <w:spacing w:after="0" w:line="180" w:lineRule="exact"/>
              <w:rPr>
                <w:sz w:val="20"/>
                <w:szCs w:val="20"/>
                <w:color w:val="auto"/>
              </w:rPr>
            </w:pPr>
            <w:r>
              <w:rPr>
                <w:rFonts w:ascii="Arial" w:cs="Arial" w:eastAsia="Arial" w:hAnsi="Arial"/>
                <w:sz w:val="16"/>
                <w:szCs w:val="16"/>
                <w:b w:val="1"/>
                <w:bCs w:val="1"/>
                <w:color w:val="202020"/>
              </w:rPr>
              <w:t>cause in connection</w:t>
            </w:r>
          </w:p>
        </w:tc>
      </w:tr>
      <w:tr>
        <w:trPr>
          <w:trHeight w:val="179"/>
        </w:trPr>
        <w:tc>
          <w:tcPr>
            <w:tcW w:w="60" w:type="dxa"/>
            <w:vAlign w:val="bottom"/>
          </w:tcPr>
          <w:p>
            <w:pPr>
              <w:spacing w:after="0"/>
              <w:rPr>
                <w:sz w:val="15"/>
                <w:szCs w:val="15"/>
                <w:color w:val="auto"/>
              </w:rPr>
            </w:pPr>
          </w:p>
        </w:tc>
        <w:tc>
          <w:tcPr>
            <w:tcW w:w="3360" w:type="dxa"/>
            <w:vAlign w:val="bottom"/>
            <w:gridSpan w:val="6"/>
          </w:tcPr>
          <w:p>
            <w:pPr>
              <w:spacing w:after="0" w:line="179" w:lineRule="exact"/>
              <w:rPr>
                <w:sz w:val="20"/>
                <w:szCs w:val="20"/>
                <w:color w:val="auto"/>
              </w:rPr>
            </w:pPr>
            <w:r>
              <w:rPr>
                <w:rFonts w:ascii="Arial" w:cs="Arial" w:eastAsia="Arial" w:hAnsi="Arial"/>
                <w:sz w:val="16"/>
                <w:szCs w:val="16"/>
                <w:b w:val="1"/>
                <w:bCs w:val="1"/>
                <w:color w:val="202020"/>
              </w:rPr>
              <w:t>Executive benefits and payments</w:t>
            </w:r>
          </w:p>
        </w:tc>
        <w:tc>
          <w:tcPr>
            <w:tcW w:w="1160" w:type="dxa"/>
            <w:vAlign w:val="bottom"/>
            <w:gridSpan w:val="2"/>
          </w:tcPr>
          <w:p>
            <w:pPr>
              <w:jc w:val="right"/>
              <w:ind w:right="40"/>
              <w:spacing w:after="0" w:line="179" w:lineRule="exact"/>
              <w:rPr>
                <w:sz w:val="20"/>
                <w:szCs w:val="20"/>
                <w:color w:val="auto"/>
              </w:rPr>
            </w:pPr>
            <w:r>
              <w:rPr>
                <w:rFonts w:ascii="Arial" w:cs="Arial" w:eastAsia="Arial" w:hAnsi="Arial"/>
                <w:sz w:val="16"/>
                <w:szCs w:val="16"/>
                <w:b w:val="1"/>
                <w:bCs w:val="1"/>
                <w:color w:val="202020"/>
              </w:rPr>
              <w:t>for no good</w:t>
            </w:r>
          </w:p>
        </w:tc>
        <w:tc>
          <w:tcPr>
            <w:tcW w:w="1140" w:type="dxa"/>
            <w:vAlign w:val="bottom"/>
            <w:gridSpan w:val="2"/>
          </w:tcPr>
          <w:p>
            <w:pPr>
              <w:jc w:val="center"/>
              <w:spacing w:after="0" w:line="179" w:lineRule="exact"/>
              <w:rPr>
                <w:sz w:val="20"/>
                <w:szCs w:val="20"/>
                <w:color w:val="auto"/>
              </w:rPr>
            </w:pPr>
            <w:r>
              <w:rPr>
                <w:rFonts w:ascii="Arial" w:cs="Arial" w:eastAsia="Arial" w:hAnsi="Arial"/>
                <w:sz w:val="16"/>
                <w:szCs w:val="16"/>
                <w:b w:val="1"/>
                <w:bCs w:val="1"/>
                <w:color w:val="202020"/>
              </w:rPr>
              <w:t>for good</w:t>
            </w:r>
          </w:p>
        </w:tc>
        <w:tc>
          <w:tcPr>
            <w:tcW w:w="1220" w:type="dxa"/>
            <w:vAlign w:val="bottom"/>
            <w:gridSpan w:val="2"/>
          </w:tcPr>
          <w:p>
            <w:pPr>
              <w:ind w:left="280"/>
              <w:spacing w:after="0" w:line="179" w:lineRule="exact"/>
              <w:rPr>
                <w:sz w:val="20"/>
                <w:szCs w:val="20"/>
                <w:color w:val="auto"/>
              </w:rPr>
            </w:pPr>
            <w:r>
              <w:rPr>
                <w:rFonts w:ascii="Arial" w:cs="Arial" w:eastAsia="Arial" w:hAnsi="Arial"/>
                <w:sz w:val="16"/>
                <w:szCs w:val="16"/>
                <w:b w:val="1"/>
                <w:bCs w:val="1"/>
                <w:color w:val="202020"/>
              </w:rPr>
              <w:t>without</w:t>
            </w:r>
          </w:p>
        </w:tc>
        <w:tc>
          <w:tcPr>
            <w:tcW w:w="1200" w:type="dxa"/>
            <w:vAlign w:val="bottom"/>
            <w:gridSpan w:val="2"/>
          </w:tcPr>
          <w:p>
            <w:pPr>
              <w:jc w:val="right"/>
              <w:ind w:right="120"/>
              <w:spacing w:after="0" w:line="179" w:lineRule="exact"/>
              <w:rPr>
                <w:sz w:val="20"/>
                <w:szCs w:val="20"/>
                <w:color w:val="auto"/>
              </w:rPr>
            </w:pPr>
            <w:r>
              <w:rPr>
                <w:rFonts w:ascii="Arial" w:cs="Arial" w:eastAsia="Arial" w:hAnsi="Arial"/>
                <w:sz w:val="16"/>
                <w:szCs w:val="16"/>
                <w:b w:val="1"/>
                <w:bCs w:val="1"/>
                <w:color w:val="202020"/>
              </w:rPr>
              <w:t>by Celldex</w:t>
            </w:r>
          </w:p>
        </w:tc>
        <w:tc>
          <w:tcPr>
            <w:tcW w:w="1980" w:type="dxa"/>
            <w:vAlign w:val="bottom"/>
            <w:gridSpan w:val="2"/>
          </w:tcPr>
          <w:p>
            <w:pPr>
              <w:jc w:val="center"/>
              <w:spacing w:after="0" w:line="179" w:lineRule="exact"/>
              <w:rPr>
                <w:sz w:val="20"/>
                <w:szCs w:val="20"/>
                <w:color w:val="auto"/>
              </w:rPr>
            </w:pPr>
            <w:r>
              <w:rPr>
                <w:rFonts w:ascii="Arial" w:cs="Arial" w:eastAsia="Arial" w:hAnsi="Arial"/>
                <w:sz w:val="16"/>
                <w:szCs w:val="16"/>
                <w:b w:val="1"/>
                <w:bCs w:val="1"/>
                <w:color w:val="202020"/>
              </w:rPr>
              <w:t>with or following</w:t>
            </w:r>
          </w:p>
        </w:tc>
      </w:tr>
      <w:tr>
        <w:trPr>
          <w:trHeight w:val="241"/>
        </w:trPr>
        <w:tc>
          <w:tcPr>
            <w:tcW w:w="60" w:type="dxa"/>
            <w:vAlign w:val="bottom"/>
            <w:tcBorders>
              <w:bottom w:val="single" w:sz="8" w:color="202020"/>
            </w:tcBorders>
          </w:tcPr>
          <w:p>
            <w:pPr>
              <w:spacing w:after="0"/>
              <w:rPr>
                <w:sz w:val="20"/>
                <w:szCs w:val="20"/>
                <w:color w:val="auto"/>
              </w:rPr>
            </w:pPr>
          </w:p>
        </w:tc>
        <w:tc>
          <w:tcPr>
            <w:tcW w:w="3360" w:type="dxa"/>
            <w:vAlign w:val="bottom"/>
            <w:tcBorders>
              <w:bottom w:val="single" w:sz="8" w:color="202020"/>
            </w:tcBorders>
            <w:gridSpan w:val="6"/>
          </w:tcPr>
          <w:p>
            <w:pPr>
              <w:spacing w:after="0"/>
              <w:rPr>
                <w:sz w:val="20"/>
                <w:szCs w:val="20"/>
                <w:color w:val="auto"/>
              </w:rPr>
            </w:pPr>
            <w:r>
              <w:rPr>
                <w:rFonts w:ascii="Arial" w:cs="Arial" w:eastAsia="Arial" w:hAnsi="Arial"/>
                <w:sz w:val="16"/>
                <w:szCs w:val="16"/>
                <w:b w:val="1"/>
                <w:bCs w:val="1"/>
                <w:color w:val="202020"/>
              </w:rPr>
              <w:t>upon termination</w:t>
            </w:r>
          </w:p>
        </w:tc>
        <w:tc>
          <w:tcPr>
            <w:tcW w:w="860" w:type="dxa"/>
            <w:vAlign w:val="bottom"/>
            <w:tcBorders>
              <w:bottom w:val="single" w:sz="8" w:color="202020"/>
            </w:tcBorders>
          </w:tcPr>
          <w:p>
            <w:pPr>
              <w:jc w:val="right"/>
              <w:spacing w:after="0"/>
              <w:rPr>
                <w:sz w:val="20"/>
                <w:szCs w:val="20"/>
                <w:color w:val="auto"/>
              </w:rPr>
            </w:pPr>
            <w:r>
              <w:rPr>
                <w:rFonts w:ascii="Arial" w:cs="Arial" w:eastAsia="Arial" w:hAnsi="Arial"/>
                <w:sz w:val="16"/>
                <w:szCs w:val="16"/>
                <w:b w:val="1"/>
                <w:bCs w:val="1"/>
                <w:color w:val="202020"/>
              </w:rPr>
              <w:t>reason</w:t>
            </w:r>
          </w:p>
        </w:tc>
        <w:tc>
          <w:tcPr>
            <w:tcW w:w="300" w:type="dxa"/>
            <w:vAlign w:val="bottom"/>
            <w:tcBorders>
              <w:bottom w:val="single" w:sz="8" w:color="202020"/>
            </w:tcBorders>
          </w:tcPr>
          <w:p>
            <w:pPr>
              <w:spacing w:after="0"/>
              <w:rPr>
                <w:sz w:val="20"/>
                <w:szCs w:val="20"/>
                <w:color w:val="auto"/>
              </w:rPr>
            </w:pPr>
          </w:p>
        </w:tc>
        <w:tc>
          <w:tcPr>
            <w:tcW w:w="1140" w:type="dxa"/>
            <w:vAlign w:val="bottom"/>
            <w:tcBorders>
              <w:bottom w:val="single" w:sz="8" w:color="202020"/>
            </w:tcBorders>
            <w:gridSpan w:val="2"/>
          </w:tcPr>
          <w:p>
            <w:pPr>
              <w:ind w:left="220"/>
              <w:spacing w:after="0"/>
              <w:rPr>
                <w:sz w:val="20"/>
                <w:szCs w:val="20"/>
                <w:color w:val="auto"/>
              </w:rPr>
            </w:pPr>
            <w:r>
              <w:rPr>
                <w:rFonts w:ascii="Arial" w:cs="Arial" w:eastAsia="Arial" w:hAnsi="Arial"/>
                <w:sz w:val="16"/>
                <w:szCs w:val="16"/>
                <w:b w:val="1"/>
                <w:bCs w:val="1"/>
                <w:color w:val="202020"/>
              </w:rPr>
              <w:t>reason</w:t>
            </w:r>
            <w:r>
              <w:rPr>
                <w:rFonts w:ascii="Arial" w:cs="Arial" w:eastAsia="Arial" w:hAnsi="Arial"/>
                <w:sz w:val="19"/>
                <w:szCs w:val="19"/>
                <w:b w:val="1"/>
                <w:bCs w:val="1"/>
                <w:color w:val="202020"/>
                <w:vertAlign w:val="superscript"/>
              </w:rPr>
              <w:t>(1)</w:t>
            </w:r>
          </w:p>
        </w:tc>
        <w:tc>
          <w:tcPr>
            <w:tcW w:w="1220" w:type="dxa"/>
            <w:vAlign w:val="bottom"/>
            <w:tcBorders>
              <w:bottom w:val="single" w:sz="8" w:color="202020"/>
            </w:tcBorders>
            <w:gridSpan w:val="2"/>
          </w:tcPr>
          <w:p>
            <w:pPr>
              <w:ind w:left="300"/>
              <w:spacing w:after="0"/>
              <w:rPr>
                <w:sz w:val="20"/>
                <w:szCs w:val="20"/>
                <w:color w:val="auto"/>
              </w:rPr>
            </w:pPr>
            <w:r>
              <w:rPr>
                <w:rFonts w:ascii="Arial" w:cs="Arial" w:eastAsia="Arial" w:hAnsi="Arial"/>
                <w:sz w:val="16"/>
                <w:szCs w:val="16"/>
                <w:b w:val="1"/>
                <w:bCs w:val="1"/>
                <w:color w:val="202020"/>
              </w:rPr>
              <w:t>cause</w:t>
            </w:r>
            <w:r>
              <w:rPr>
                <w:rFonts w:ascii="Arial" w:cs="Arial" w:eastAsia="Arial" w:hAnsi="Arial"/>
                <w:sz w:val="19"/>
                <w:szCs w:val="19"/>
                <w:b w:val="1"/>
                <w:bCs w:val="1"/>
                <w:color w:val="202020"/>
                <w:vertAlign w:val="superscript"/>
              </w:rPr>
              <w:t>(1)</w:t>
            </w:r>
          </w:p>
        </w:tc>
        <w:tc>
          <w:tcPr>
            <w:tcW w:w="1200" w:type="dxa"/>
            <w:vAlign w:val="bottom"/>
            <w:tcBorders>
              <w:bottom w:val="single" w:sz="8" w:color="202020"/>
            </w:tcBorders>
            <w:gridSpan w:val="2"/>
          </w:tcPr>
          <w:p>
            <w:pPr>
              <w:jc w:val="right"/>
              <w:ind w:right="160"/>
              <w:spacing w:after="0"/>
              <w:rPr>
                <w:sz w:val="20"/>
                <w:szCs w:val="20"/>
                <w:color w:val="auto"/>
              </w:rPr>
            </w:pPr>
            <w:r>
              <w:rPr>
                <w:rFonts w:ascii="Arial" w:cs="Arial" w:eastAsia="Arial" w:hAnsi="Arial"/>
                <w:sz w:val="16"/>
                <w:szCs w:val="16"/>
                <w:b w:val="1"/>
                <w:bCs w:val="1"/>
                <w:color w:val="202020"/>
              </w:rPr>
              <w:t>for cause</w:t>
            </w:r>
          </w:p>
        </w:tc>
        <w:tc>
          <w:tcPr>
            <w:tcW w:w="1980" w:type="dxa"/>
            <w:vAlign w:val="bottom"/>
            <w:tcBorders>
              <w:bottom w:val="single" w:sz="8" w:color="202020"/>
            </w:tcBorders>
            <w:gridSpan w:val="2"/>
          </w:tcPr>
          <w:p>
            <w:pPr>
              <w:jc w:val="center"/>
              <w:spacing w:after="0"/>
              <w:rPr>
                <w:sz w:val="20"/>
                <w:szCs w:val="20"/>
                <w:color w:val="auto"/>
              </w:rPr>
            </w:pPr>
            <w:r>
              <w:rPr>
                <w:rFonts w:ascii="Arial" w:cs="Arial" w:eastAsia="Arial" w:hAnsi="Arial"/>
                <w:sz w:val="16"/>
                <w:szCs w:val="16"/>
                <w:b w:val="1"/>
                <w:bCs w:val="1"/>
                <w:color w:val="202020"/>
              </w:rPr>
              <w:t>change of control</w:t>
            </w:r>
            <w:r>
              <w:rPr>
                <w:rFonts w:ascii="Arial" w:cs="Arial" w:eastAsia="Arial" w:hAnsi="Arial"/>
                <w:sz w:val="19"/>
                <w:szCs w:val="19"/>
                <w:b w:val="1"/>
                <w:bCs w:val="1"/>
                <w:color w:val="202020"/>
                <w:vertAlign w:val="superscript"/>
              </w:rPr>
              <w:t>(2)</w:t>
            </w:r>
          </w:p>
        </w:tc>
      </w:tr>
      <w:tr>
        <w:trPr>
          <w:trHeight w:val="200"/>
        </w:trPr>
        <w:tc>
          <w:tcPr>
            <w:tcW w:w="60" w:type="dxa"/>
            <w:vAlign w:val="bottom"/>
            <w:shd w:val="clear" w:color="auto" w:fill="E9E9E9"/>
          </w:tcPr>
          <w:p>
            <w:pPr>
              <w:spacing w:after="0"/>
              <w:rPr>
                <w:sz w:val="17"/>
                <w:szCs w:val="17"/>
                <w:color w:val="auto"/>
              </w:rPr>
            </w:pPr>
          </w:p>
        </w:tc>
        <w:tc>
          <w:tcPr>
            <w:tcW w:w="3360" w:type="dxa"/>
            <w:vAlign w:val="bottom"/>
            <w:gridSpan w:val="6"/>
            <w:shd w:val="clear" w:color="auto" w:fill="E9E9E9"/>
          </w:tcPr>
          <w:p>
            <w:pPr>
              <w:spacing w:after="0" w:line="180" w:lineRule="exact"/>
              <w:rPr>
                <w:sz w:val="20"/>
                <w:szCs w:val="20"/>
                <w:color w:val="auto"/>
              </w:rPr>
            </w:pPr>
            <w:r>
              <w:rPr>
                <w:rFonts w:ascii="Arial" w:cs="Arial" w:eastAsia="Arial" w:hAnsi="Arial"/>
                <w:sz w:val="16"/>
                <w:szCs w:val="16"/>
                <w:b w:val="1"/>
                <w:bCs w:val="1"/>
                <w:color w:val="202020"/>
              </w:rPr>
              <w:t>Anthony S. Marucci</w:t>
            </w:r>
          </w:p>
        </w:tc>
        <w:tc>
          <w:tcPr>
            <w:tcW w:w="86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3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1200" w:type="dxa"/>
            <w:vAlign w:val="bottom"/>
            <w:shd w:val="clear" w:color="auto" w:fill="E9E9E9"/>
          </w:tcPr>
          <w:p>
            <w:pPr>
              <w:spacing w:after="0"/>
              <w:rPr>
                <w:sz w:val="17"/>
                <w:szCs w:val="17"/>
                <w:color w:val="auto"/>
              </w:rPr>
            </w:pPr>
          </w:p>
        </w:tc>
        <w:tc>
          <w:tcPr>
            <w:tcW w:w="780" w:type="dxa"/>
            <w:vAlign w:val="bottom"/>
            <w:shd w:val="clear" w:color="auto" w:fill="E9E9E9"/>
          </w:tcPr>
          <w:p>
            <w:pPr>
              <w:spacing w:after="0"/>
              <w:rPr>
                <w:sz w:val="17"/>
                <w:szCs w:val="17"/>
                <w:color w:val="auto"/>
              </w:rPr>
            </w:pPr>
          </w:p>
        </w:tc>
      </w:tr>
      <w:tr>
        <w:trPr>
          <w:trHeight w:val="218"/>
        </w:trPr>
        <w:tc>
          <w:tcPr>
            <w:tcW w:w="60" w:type="dxa"/>
            <w:vAlign w:val="bottom"/>
            <w:tcBorders>
              <w:top w:val="single" w:sz="8" w:color="E9E9E9"/>
            </w:tcBorders>
          </w:tcPr>
          <w:p>
            <w:pPr>
              <w:spacing w:after="0"/>
              <w:rPr>
                <w:sz w:val="18"/>
                <w:szCs w:val="18"/>
                <w:color w:val="auto"/>
              </w:rPr>
            </w:pPr>
          </w:p>
        </w:tc>
        <w:tc>
          <w:tcPr>
            <w:tcW w:w="1520" w:type="dxa"/>
            <w:vAlign w:val="bottom"/>
            <w:tcBorders>
              <w:top w:val="single" w:sz="8" w:color="202020"/>
            </w:tcBorders>
            <w:gridSpan w:val="4"/>
          </w:tcPr>
          <w:p>
            <w:pPr>
              <w:ind w:left="160"/>
              <w:spacing w:after="0"/>
              <w:rPr>
                <w:sz w:val="20"/>
                <w:szCs w:val="20"/>
                <w:color w:val="auto"/>
              </w:rPr>
            </w:pPr>
            <w:r>
              <w:rPr>
                <w:rFonts w:ascii="Arial" w:cs="Arial" w:eastAsia="Arial" w:hAnsi="Arial"/>
                <w:sz w:val="16"/>
                <w:szCs w:val="16"/>
                <w:color w:val="202020"/>
              </w:rPr>
              <w:t>Base Salary</w:t>
            </w:r>
          </w:p>
        </w:tc>
        <w:tc>
          <w:tcPr>
            <w:tcW w:w="1840" w:type="dxa"/>
            <w:vAlign w:val="bottom"/>
            <w:tcBorders>
              <w:top w:val="single" w:sz="8" w:color="E9E9E9"/>
            </w:tcBorders>
            <w:gridSpan w:val="2"/>
          </w:tcPr>
          <w:p>
            <w:pPr>
              <w:spacing w:after="0"/>
              <w:rPr>
                <w:sz w:val="18"/>
                <w:szCs w:val="18"/>
                <w:color w:val="auto"/>
              </w:rPr>
            </w:pPr>
          </w:p>
        </w:tc>
        <w:tc>
          <w:tcPr>
            <w:tcW w:w="86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top w:val="single" w:sz="8" w:color="E9E9E9"/>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w w:val="98"/>
              </w:rPr>
              <w:t>1,644,000</w:t>
            </w:r>
          </w:p>
        </w:tc>
        <w:tc>
          <w:tcPr>
            <w:tcW w:w="380" w:type="dxa"/>
            <w:vAlign w:val="bottom"/>
            <w:tcBorders>
              <w:top w:val="single" w:sz="8" w:color="E9E9E9"/>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w w:val="98"/>
              </w:rPr>
              <w:t>1,644,000</w:t>
            </w:r>
          </w:p>
        </w:tc>
        <w:tc>
          <w:tcPr>
            <w:tcW w:w="88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w w:val="98"/>
              </w:rPr>
              <w:t>1,644,000</w:t>
            </w:r>
          </w:p>
        </w:tc>
      </w:tr>
      <w:tr>
        <w:trPr>
          <w:trHeight w:val="221"/>
        </w:trPr>
        <w:tc>
          <w:tcPr>
            <w:tcW w:w="60" w:type="dxa"/>
            <w:vAlign w:val="bottom"/>
            <w:shd w:val="clear" w:color="auto" w:fill="E9E9E9"/>
          </w:tcPr>
          <w:p>
            <w:pPr>
              <w:spacing w:after="0"/>
              <w:rPr>
                <w:sz w:val="19"/>
                <w:szCs w:val="19"/>
                <w:color w:val="auto"/>
              </w:rPr>
            </w:pPr>
          </w:p>
        </w:tc>
        <w:tc>
          <w:tcPr>
            <w:tcW w:w="3360" w:type="dxa"/>
            <w:vAlign w:val="bottom"/>
            <w:gridSpan w:val="6"/>
            <w:shd w:val="clear" w:color="auto" w:fill="E9E9E9"/>
          </w:tcPr>
          <w:p>
            <w:pPr>
              <w:ind w:left="160"/>
              <w:spacing w:after="0"/>
              <w:rPr>
                <w:sz w:val="20"/>
                <w:szCs w:val="20"/>
                <w:color w:val="auto"/>
              </w:rPr>
            </w:pPr>
            <w:r>
              <w:rPr>
                <w:rFonts w:ascii="Arial" w:cs="Arial" w:eastAsia="Arial" w:hAnsi="Arial"/>
                <w:sz w:val="16"/>
                <w:szCs w:val="16"/>
                <w:color w:val="202020"/>
              </w:rPr>
              <w:t>Bonus</w:t>
            </w:r>
          </w:p>
        </w:tc>
        <w:tc>
          <w:tcPr>
            <w:tcW w:w="860" w:type="dxa"/>
            <w:vAlign w:val="bottom"/>
            <w:shd w:val="clear" w:color="auto" w:fill="E9E9E9"/>
          </w:tcPr>
          <w:p>
            <w:pPr>
              <w:spacing w:after="0"/>
              <w:rPr>
                <w:sz w:val="19"/>
                <w:szCs w:val="19"/>
                <w:color w:val="auto"/>
              </w:rPr>
            </w:pPr>
          </w:p>
        </w:tc>
        <w:tc>
          <w:tcPr>
            <w:tcW w:w="3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shd w:val="clear" w:color="auto" w:fill="E9E9E9"/>
          </w:tcPr>
          <w:p>
            <w:pPr>
              <w:spacing w:after="0"/>
              <w:rPr>
                <w:sz w:val="19"/>
                <w:szCs w:val="19"/>
                <w:color w:val="auto"/>
              </w:rPr>
            </w:pPr>
          </w:p>
        </w:tc>
        <w:tc>
          <w:tcPr>
            <w:tcW w:w="3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shd w:val="clear" w:color="auto" w:fill="E9E9E9"/>
          </w:tcPr>
          <w:p>
            <w:pPr>
              <w:spacing w:after="0"/>
              <w:rPr>
                <w:sz w:val="19"/>
                <w:szCs w:val="19"/>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202020"/>
                <w:w w:val="98"/>
              </w:rPr>
              <w:t>1,108,000</w:t>
            </w:r>
          </w:p>
        </w:tc>
      </w:tr>
      <w:tr>
        <w:trPr>
          <w:trHeight w:val="220"/>
        </w:trPr>
        <w:tc>
          <w:tcPr>
            <w:tcW w:w="60" w:type="dxa"/>
            <w:vAlign w:val="bottom"/>
          </w:tcPr>
          <w:p>
            <w:pPr>
              <w:spacing w:after="0"/>
              <w:rPr>
                <w:sz w:val="19"/>
                <w:szCs w:val="19"/>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Equity Awards Acceleration</w:t>
            </w:r>
            <w:r>
              <w:rPr>
                <w:rFonts w:ascii="Arial" w:cs="Arial" w:eastAsia="Arial" w:hAnsi="Arial"/>
                <w:sz w:val="19"/>
                <w:szCs w:val="19"/>
                <w:color w:val="202020"/>
                <w:vertAlign w:val="superscript"/>
              </w:rPr>
              <w:t>(3)</w:t>
            </w:r>
          </w:p>
        </w:tc>
        <w:tc>
          <w:tcPr>
            <w:tcW w:w="860" w:type="dxa"/>
            <w:vAlign w:val="bottom"/>
          </w:tcPr>
          <w:p>
            <w:pPr>
              <w:spacing w:after="0"/>
              <w:rPr>
                <w:sz w:val="19"/>
                <w:szCs w:val="19"/>
                <w:color w:val="auto"/>
              </w:rPr>
            </w:pP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608,813</w:t>
            </w:r>
          </w:p>
        </w:tc>
        <w:tc>
          <w:tcPr>
            <w:tcW w:w="38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608,813</w:t>
            </w:r>
          </w:p>
        </w:tc>
        <w:tc>
          <w:tcPr>
            <w:tcW w:w="880" w:type="dxa"/>
            <w:vAlign w:val="bottom"/>
          </w:tcPr>
          <w:p>
            <w:pPr>
              <w:spacing w:after="0"/>
              <w:rPr>
                <w:sz w:val="19"/>
                <w:szCs w:val="19"/>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02020"/>
                <w:w w:val="98"/>
              </w:rPr>
              <w:t>2,435,250</w:t>
            </w:r>
          </w:p>
        </w:tc>
      </w:tr>
      <w:tr>
        <w:trPr>
          <w:trHeight w:val="238"/>
        </w:trPr>
        <w:tc>
          <w:tcPr>
            <w:tcW w:w="60" w:type="dxa"/>
            <w:vAlign w:val="bottom"/>
            <w:tcBorders>
              <w:bottom w:val="single" w:sz="8" w:color="E9E9E9"/>
            </w:tcBorders>
            <w:shd w:val="clear" w:color="auto" w:fill="E9E9E9"/>
          </w:tcPr>
          <w:p>
            <w:pPr>
              <w:spacing w:after="0"/>
              <w:rPr>
                <w:sz w:val="20"/>
                <w:szCs w:val="20"/>
                <w:color w:val="auto"/>
              </w:rPr>
            </w:pPr>
          </w:p>
        </w:tc>
        <w:tc>
          <w:tcPr>
            <w:tcW w:w="3360" w:type="dxa"/>
            <w:vAlign w:val="bottom"/>
            <w:tcBorders>
              <w:bottom w:val="single" w:sz="8" w:color="E9E9E9"/>
            </w:tcBorders>
            <w:gridSpan w:val="6"/>
            <w:shd w:val="clear" w:color="auto" w:fill="E9E9E9"/>
          </w:tcPr>
          <w:p>
            <w:pPr>
              <w:ind w:left="160"/>
              <w:spacing w:after="0"/>
              <w:rPr>
                <w:sz w:val="20"/>
                <w:szCs w:val="20"/>
                <w:color w:val="auto"/>
              </w:rPr>
            </w:pPr>
            <w:r>
              <w:rPr>
                <w:rFonts w:ascii="Arial" w:cs="Arial" w:eastAsia="Arial" w:hAnsi="Arial"/>
                <w:sz w:val="16"/>
                <w:szCs w:val="16"/>
                <w:color w:val="202020"/>
              </w:rPr>
              <w:t>Continuation of Health Benefits</w:t>
            </w:r>
          </w:p>
        </w:tc>
        <w:tc>
          <w:tcPr>
            <w:tcW w:w="860" w:type="dxa"/>
            <w:vAlign w:val="bottom"/>
            <w:tcBorders>
              <w:bottom w:val="single" w:sz="8" w:color="202020"/>
            </w:tcBorders>
            <w:shd w:val="clear" w:color="auto" w:fill="E9E9E9"/>
          </w:tcPr>
          <w:p>
            <w:pPr>
              <w:spacing w:after="0"/>
              <w:rPr>
                <w:sz w:val="20"/>
                <w:szCs w:val="20"/>
                <w:color w:val="auto"/>
              </w:rPr>
            </w:pPr>
          </w:p>
        </w:tc>
        <w:tc>
          <w:tcPr>
            <w:tcW w:w="30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62,406</w:t>
            </w:r>
          </w:p>
        </w:tc>
        <w:tc>
          <w:tcPr>
            <w:tcW w:w="38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62,406</w:t>
            </w:r>
          </w:p>
        </w:tc>
        <w:tc>
          <w:tcPr>
            <w:tcW w:w="880" w:type="dxa"/>
            <w:vAlign w:val="bottom"/>
            <w:tcBorders>
              <w:bottom w:val="single" w:sz="8" w:color="202020"/>
            </w:tcBorders>
            <w:shd w:val="clear" w:color="auto" w:fill="E9E9E9"/>
          </w:tcPr>
          <w:p>
            <w:pPr>
              <w:spacing w:after="0"/>
              <w:rPr>
                <w:sz w:val="20"/>
                <w:szCs w:val="20"/>
                <w:color w:val="auto"/>
              </w:rPr>
            </w:pPr>
          </w:p>
        </w:tc>
        <w:tc>
          <w:tcPr>
            <w:tcW w:w="32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shd w:val="clear" w:color="auto" w:fill="E9E9E9"/>
          </w:tcPr>
          <w:p>
            <w:pPr>
              <w:spacing w:after="0"/>
              <w:rPr>
                <w:sz w:val="20"/>
                <w:szCs w:val="20"/>
                <w:color w:val="auto"/>
              </w:rPr>
            </w:pPr>
          </w:p>
        </w:tc>
        <w:tc>
          <w:tcPr>
            <w:tcW w:w="7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62,406</w:t>
            </w:r>
          </w:p>
        </w:tc>
      </w:tr>
      <w:tr>
        <w:trPr>
          <w:trHeight w:val="221"/>
        </w:trPr>
        <w:tc>
          <w:tcPr>
            <w:tcW w:w="60" w:type="dxa"/>
            <w:vAlign w:val="bottom"/>
            <w:tcBorders>
              <w:bottom w:val="single" w:sz="8" w:color="E9E9E9"/>
            </w:tcBorders>
          </w:tcPr>
          <w:p>
            <w:pPr>
              <w:spacing w:after="0"/>
              <w:rPr>
                <w:sz w:val="19"/>
                <w:szCs w:val="19"/>
                <w:color w:val="auto"/>
              </w:rPr>
            </w:pPr>
          </w:p>
        </w:tc>
        <w:tc>
          <w:tcPr>
            <w:tcW w:w="3360" w:type="dxa"/>
            <w:vAlign w:val="bottom"/>
            <w:tcBorders>
              <w:bottom w:val="single" w:sz="8" w:color="E9E9E9"/>
            </w:tcBorders>
            <w:gridSpan w:val="6"/>
          </w:tcPr>
          <w:p>
            <w:pPr>
              <w:ind w:left="160"/>
              <w:spacing w:after="0"/>
              <w:rPr>
                <w:sz w:val="20"/>
                <w:szCs w:val="20"/>
                <w:color w:val="auto"/>
              </w:rPr>
            </w:pPr>
            <w:r>
              <w:rPr>
                <w:rFonts w:ascii="Arial" w:cs="Arial" w:eastAsia="Arial" w:hAnsi="Arial"/>
                <w:sz w:val="16"/>
                <w:szCs w:val="16"/>
                <w:color w:val="202020"/>
              </w:rPr>
              <w:t>Total</w:t>
            </w:r>
          </w:p>
        </w:tc>
        <w:tc>
          <w:tcPr>
            <w:tcW w:w="86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8"/>
              </w:rPr>
              <w:t>2,315,219</w:t>
            </w:r>
          </w:p>
        </w:tc>
        <w:tc>
          <w:tcPr>
            <w:tcW w:w="380" w:type="dxa"/>
            <w:vAlign w:val="bottom"/>
            <w:tcBorders>
              <w:bottom w:val="single" w:sz="8" w:color="202020"/>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8"/>
              </w:rPr>
              <w:t>2,315,219</w:t>
            </w:r>
          </w:p>
        </w:tc>
        <w:tc>
          <w:tcPr>
            <w:tcW w:w="8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w w:val="98"/>
              </w:rPr>
              <w:t>5,249,656</w:t>
            </w:r>
          </w:p>
        </w:tc>
      </w:tr>
      <w:tr>
        <w:trPr>
          <w:trHeight w:val="200"/>
        </w:trPr>
        <w:tc>
          <w:tcPr>
            <w:tcW w:w="60" w:type="dxa"/>
            <w:vAlign w:val="bottom"/>
            <w:shd w:val="clear" w:color="auto" w:fill="E9E9E9"/>
          </w:tcPr>
          <w:p>
            <w:pPr>
              <w:spacing w:after="0"/>
              <w:rPr>
                <w:sz w:val="17"/>
                <w:szCs w:val="17"/>
                <w:color w:val="auto"/>
              </w:rPr>
            </w:pPr>
          </w:p>
        </w:tc>
        <w:tc>
          <w:tcPr>
            <w:tcW w:w="3360" w:type="dxa"/>
            <w:vAlign w:val="bottom"/>
            <w:gridSpan w:val="6"/>
            <w:shd w:val="clear" w:color="auto" w:fill="E9E9E9"/>
          </w:tcPr>
          <w:p>
            <w:pPr>
              <w:spacing w:after="0" w:line="180" w:lineRule="exact"/>
              <w:rPr>
                <w:sz w:val="20"/>
                <w:szCs w:val="20"/>
                <w:color w:val="auto"/>
              </w:rPr>
            </w:pPr>
            <w:r>
              <w:rPr>
                <w:rFonts w:ascii="Arial" w:cs="Arial" w:eastAsia="Arial" w:hAnsi="Arial"/>
                <w:sz w:val="16"/>
                <w:szCs w:val="16"/>
                <w:b w:val="1"/>
                <w:bCs w:val="1"/>
                <w:color w:val="202020"/>
              </w:rPr>
              <w:t>Tibor Keler, Ph.D.</w:t>
            </w:r>
          </w:p>
        </w:tc>
        <w:tc>
          <w:tcPr>
            <w:tcW w:w="86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3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1200" w:type="dxa"/>
            <w:vAlign w:val="bottom"/>
            <w:shd w:val="clear" w:color="auto" w:fill="E9E9E9"/>
          </w:tcPr>
          <w:p>
            <w:pPr>
              <w:spacing w:after="0"/>
              <w:rPr>
                <w:sz w:val="17"/>
                <w:szCs w:val="17"/>
                <w:color w:val="auto"/>
              </w:rPr>
            </w:pPr>
          </w:p>
        </w:tc>
        <w:tc>
          <w:tcPr>
            <w:tcW w:w="780" w:type="dxa"/>
            <w:vAlign w:val="bottom"/>
            <w:shd w:val="clear" w:color="auto" w:fill="E9E9E9"/>
          </w:tcPr>
          <w:p>
            <w:pPr>
              <w:spacing w:after="0"/>
              <w:rPr>
                <w:sz w:val="17"/>
                <w:szCs w:val="17"/>
                <w:color w:val="auto"/>
              </w:rPr>
            </w:pPr>
          </w:p>
        </w:tc>
      </w:tr>
      <w:tr>
        <w:trPr>
          <w:trHeight w:val="218"/>
        </w:trPr>
        <w:tc>
          <w:tcPr>
            <w:tcW w:w="60" w:type="dxa"/>
            <w:vAlign w:val="bottom"/>
            <w:tcBorders>
              <w:top w:val="single" w:sz="8" w:color="E9E9E9"/>
            </w:tcBorders>
          </w:tcPr>
          <w:p>
            <w:pPr>
              <w:spacing w:after="0"/>
              <w:rPr>
                <w:sz w:val="18"/>
                <w:szCs w:val="18"/>
                <w:color w:val="auto"/>
              </w:rPr>
            </w:pPr>
          </w:p>
        </w:tc>
        <w:tc>
          <w:tcPr>
            <w:tcW w:w="1360" w:type="dxa"/>
            <w:vAlign w:val="bottom"/>
            <w:tcBorders>
              <w:top w:val="single" w:sz="8" w:color="202020"/>
            </w:tcBorders>
            <w:gridSpan w:val="2"/>
          </w:tcPr>
          <w:p>
            <w:pPr>
              <w:ind w:left="160"/>
              <w:spacing w:after="0"/>
              <w:rPr>
                <w:sz w:val="20"/>
                <w:szCs w:val="20"/>
                <w:color w:val="auto"/>
              </w:rPr>
            </w:pPr>
            <w:r>
              <w:rPr>
                <w:rFonts w:ascii="Arial" w:cs="Arial" w:eastAsia="Arial" w:hAnsi="Arial"/>
                <w:sz w:val="16"/>
                <w:szCs w:val="16"/>
                <w:color w:val="202020"/>
              </w:rPr>
              <w:t>Base Salary</w:t>
            </w:r>
          </w:p>
        </w:tc>
        <w:tc>
          <w:tcPr>
            <w:tcW w:w="2000" w:type="dxa"/>
            <w:vAlign w:val="bottom"/>
            <w:tcBorders>
              <w:top w:val="single" w:sz="8" w:color="E9E9E9"/>
            </w:tcBorders>
            <w:gridSpan w:val="4"/>
          </w:tcPr>
          <w:p>
            <w:pPr>
              <w:spacing w:after="0"/>
              <w:rPr>
                <w:sz w:val="18"/>
                <w:szCs w:val="18"/>
                <w:color w:val="auto"/>
              </w:rPr>
            </w:pPr>
          </w:p>
        </w:tc>
        <w:tc>
          <w:tcPr>
            <w:tcW w:w="86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top w:val="single" w:sz="8" w:color="E9E9E9"/>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574,276</w:t>
            </w:r>
          </w:p>
        </w:tc>
        <w:tc>
          <w:tcPr>
            <w:tcW w:w="380" w:type="dxa"/>
            <w:vAlign w:val="bottom"/>
            <w:tcBorders>
              <w:top w:val="single" w:sz="8" w:color="E9E9E9"/>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574,276</w:t>
            </w:r>
          </w:p>
        </w:tc>
        <w:tc>
          <w:tcPr>
            <w:tcW w:w="88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w w:val="98"/>
              </w:rPr>
              <w:t>1,148,552</w:t>
            </w:r>
          </w:p>
        </w:tc>
      </w:tr>
      <w:tr>
        <w:trPr>
          <w:trHeight w:val="221"/>
        </w:trPr>
        <w:tc>
          <w:tcPr>
            <w:tcW w:w="60" w:type="dxa"/>
            <w:vAlign w:val="bottom"/>
            <w:shd w:val="clear" w:color="auto" w:fill="E9E9E9"/>
          </w:tcPr>
          <w:p>
            <w:pPr>
              <w:spacing w:after="0"/>
              <w:rPr>
                <w:sz w:val="19"/>
                <w:szCs w:val="19"/>
                <w:color w:val="auto"/>
              </w:rPr>
            </w:pPr>
          </w:p>
        </w:tc>
        <w:tc>
          <w:tcPr>
            <w:tcW w:w="3360" w:type="dxa"/>
            <w:vAlign w:val="bottom"/>
            <w:gridSpan w:val="6"/>
            <w:shd w:val="clear" w:color="auto" w:fill="E9E9E9"/>
          </w:tcPr>
          <w:p>
            <w:pPr>
              <w:ind w:left="160"/>
              <w:spacing w:after="0"/>
              <w:rPr>
                <w:sz w:val="20"/>
                <w:szCs w:val="20"/>
                <w:color w:val="auto"/>
              </w:rPr>
            </w:pPr>
            <w:r>
              <w:rPr>
                <w:rFonts w:ascii="Arial" w:cs="Arial" w:eastAsia="Arial" w:hAnsi="Arial"/>
                <w:sz w:val="16"/>
                <w:szCs w:val="16"/>
                <w:color w:val="202020"/>
              </w:rPr>
              <w:t>Bonus</w:t>
            </w:r>
          </w:p>
        </w:tc>
        <w:tc>
          <w:tcPr>
            <w:tcW w:w="860" w:type="dxa"/>
            <w:vAlign w:val="bottom"/>
            <w:shd w:val="clear" w:color="auto" w:fill="E9E9E9"/>
          </w:tcPr>
          <w:p>
            <w:pPr>
              <w:spacing w:after="0"/>
              <w:rPr>
                <w:sz w:val="19"/>
                <w:szCs w:val="19"/>
                <w:color w:val="auto"/>
              </w:rPr>
            </w:pPr>
          </w:p>
        </w:tc>
        <w:tc>
          <w:tcPr>
            <w:tcW w:w="3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shd w:val="clear" w:color="auto" w:fill="E9E9E9"/>
          </w:tcPr>
          <w:p>
            <w:pPr>
              <w:spacing w:after="0"/>
              <w:rPr>
                <w:sz w:val="19"/>
                <w:szCs w:val="19"/>
                <w:color w:val="auto"/>
              </w:rPr>
            </w:pPr>
          </w:p>
        </w:tc>
        <w:tc>
          <w:tcPr>
            <w:tcW w:w="3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shd w:val="clear" w:color="auto" w:fill="E9E9E9"/>
          </w:tcPr>
          <w:p>
            <w:pPr>
              <w:spacing w:after="0"/>
              <w:rPr>
                <w:sz w:val="19"/>
                <w:szCs w:val="19"/>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456,549</w:t>
            </w:r>
          </w:p>
        </w:tc>
      </w:tr>
      <w:tr>
        <w:trPr>
          <w:trHeight w:val="220"/>
        </w:trPr>
        <w:tc>
          <w:tcPr>
            <w:tcW w:w="60" w:type="dxa"/>
            <w:vAlign w:val="bottom"/>
          </w:tcPr>
          <w:p>
            <w:pPr>
              <w:spacing w:after="0"/>
              <w:rPr>
                <w:sz w:val="19"/>
                <w:szCs w:val="19"/>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Equity Awards Acceleration</w:t>
            </w:r>
            <w:r>
              <w:rPr>
                <w:rFonts w:ascii="Arial" w:cs="Arial" w:eastAsia="Arial" w:hAnsi="Arial"/>
                <w:sz w:val="19"/>
                <w:szCs w:val="19"/>
                <w:color w:val="202020"/>
                <w:vertAlign w:val="superscript"/>
              </w:rPr>
              <w:t>(3)</w:t>
            </w:r>
          </w:p>
        </w:tc>
        <w:tc>
          <w:tcPr>
            <w:tcW w:w="860" w:type="dxa"/>
            <w:vAlign w:val="bottom"/>
          </w:tcPr>
          <w:p>
            <w:pPr>
              <w:spacing w:after="0"/>
              <w:rPr>
                <w:sz w:val="19"/>
                <w:szCs w:val="19"/>
                <w:color w:val="auto"/>
              </w:rPr>
            </w:pP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190,707</w:t>
            </w:r>
          </w:p>
        </w:tc>
        <w:tc>
          <w:tcPr>
            <w:tcW w:w="38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190,707</w:t>
            </w:r>
          </w:p>
        </w:tc>
        <w:tc>
          <w:tcPr>
            <w:tcW w:w="880" w:type="dxa"/>
            <w:vAlign w:val="bottom"/>
          </w:tcPr>
          <w:p>
            <w:pPr>
              <w:spacing w:after="0"/>
              <w:rPr>
                <w:sz w:val="19"/>
                <w:szCs w:val="19"/>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02020"/>
              </w:rPr>
              <w:t>762,825</w:t>
            </w:r>
          </w:p>
        </w:tc>
      </w:tr>
      <w:tr>
        <w:trPr>
          <w:trHeight w:val="238"/>
        </w:trPr>
        <w:tc>
          <w:tcPr>
            <w:tcW w:w="60" w:type="dxa"/>
            <w:vAlign w:val="bottom"/>
            <w:tcBorders>
              <w:bottom w:val="single" w:sz="8" w:color="E9E9E9"/>
            </w:tcBorders>
            <w:shd w:val="clear" w:color="auto" w:fill="E9E9E9"/>
          </w:tcPr>
          <w:p>
            <w:pPr>
              <w:spacing w:after="0"/>
              <w:rPr>
                <w:sz w:val="20"/>
                <w:szCs w:val="20"/>
                <w:color w:val="auto"/>
              </w:rPr>
            </w:pPr>
          </w:p>
        </w:tc>
        <w:tc>
          <w:tcPr>
            <w:tcW w:w="3360" w:type="dxa"/>
            <w:vAlign w:val="bottom"/>
            <w:tcBorders>
              <w:bottom w:val="single" w:sz="8" w:color="E9E9E9"/>
            </w:tcBorders>
            <w:gridSpan w:val="6"/>
            <w:shd w:val="clear" w:color="auto" w:fill="E9E9E9"/>
          </w:tcPr>
          <w:p>
            <w:pPr>
              <w:ind w:left="160"/>
              <w:spacing w:after="0"/>
              <w:rPr>
                <w:sz w:val="20"/>
                <w:szCs w:val="20"/>
                <w:color w:val="auto"/>
              </w:rPr>
            </w:pPr>
            <w:r>
              <w:rPr>
                <w:rFonts w:ascii="Arial" w:cs="Arial" w:eastAsia="Arial" w:hAnsi="Arial"/>
                <w:sz w:val="16"/>
                <w:szCs w:val="16"/>
                <w:color w:val="202020"/>
              </w:rPr>
              <w:t>Continuation of Health Benefits</w:t>
            </w:r>
          </w:p>
        </w:tc>
        <w:tc>
          <w:tcPr>
            <w:tcW w:w="860" w:type="dxa"/>
            <w:vAlign w:val="bottom"/>
            <w:tcBorders>
              <w:bottom w:val="single" w:sz="8" w:color="202020"/>
            </w:tcBorders>
            <w:shd w:val="clear" w:color="auto" w:fill="E9E9E9"/>
          </w:tcPr>
          <w:p>
            <w:pPr>
              <w:spacing w:after="0"/>
              <w:rPr>
                <w:sz w:val="20"/>
                <w:szCs w:val="20"/>
                <w:color w:val="auto"/>
              </w:rPr>
            </w:pPr>
          </w:p>
        </w:tc>
        <w:tc>
          <w:tcPr>
            <w:tcW w:w="30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45,648</w:t>
            </w:r>
          </w:p>
        </w:tc>
        <w:tc>
          <w:tcPr>
            <w:tcW w:w="38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45,648</w:t>
            </w:r>
          </w:p>
        </w:tc>
        <w:tc>
          <w:tcPr>
            <w:tcW w:w="880" w:type="dxa"/>
            <w:vAlign w:val="bottom"/>
            <w:tcBorders>
              <w:bottom w:val="single" w:sz="8" w:color="202020"/>
            </w:tcBorders>
            <w:shd w:val="clear" w:color="auto" w:fill="E9E9E9"/>
          </w:tcPr>
          <w:p>
            <w:pPr>
              <w:spacing w:after="0"/>
              <w:rPr>
                <w:sz w:val="20"/>
                <w:szCs w:val="20"/>
                <w:color w:val="auto"/>
              </w:rPr>
            </w:pPr>
          </w:p>
        </w:tc>
        <w:tc>
          <w:tcPr>
            <w:tcW w:w="32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shd w:val="clear" w:color="auto" w:fill="E9E9E9"/>
          </w:tcPr>
          <w:p>
            <w:pPr>
              <w:spacing w:after="0"/>
              <w:rPr>
                <w:sz w:val="20"/>
                <w:szCs w:val="20"/>
                <w:color w:val="auto"/>
              </w:rPr>
            </w:pPr>
          </w:p>
        </w:tc>
        <w:tc>
          <w:tcPr>
            <w:tcW w:w="7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45,648</w:t>
            </w:r>
          </w:p>
        </w:tc>
      </w:tr>
      <w:tr>
        <w:trPr>
          <w:trHeight w:val="221"/>
        </w:trPr>
        <w:tc>
          <w:tcPr>
            <w:tcW w:w="60" w:type="dxa"/>
            <w:vAlign w:val="bottom"/>
            <w:tcBorders>
              <w:bottom w:val="single" w:sz="8" w:color="E9E9E9"/>
            </w:tcBorders>
          </w:tcPr>
          <w:p>
            <w:pPr>
              <w:spacing w:after="0"/>
              <w:rPr>
                <w:sz w:val="19"/>
                <w:szCs w:val="19"/>
                <w:color w:val="auto"/>
              </w:rPr>
            </w:pPr>
          </w:p>
        </w:tc>
        <w:tc>
          <w:tcPr>
            <w:tcW w:w="3360" w:type="dxa"/>
            <w:vAlign w:val="bottom"/>
            <w:tcBorders>
              <w:bottom w:val="single" w:sz="8" w:color="E9E9E9"/>
            </w:tcBorders>
            <w:gridSpan w:val="6"/>
          </w:tcPr>
          <w:p>
            <w:pPr>
              <w:ind w:left="160"/>
              <w:spacing w:after="0"/>
              <w:rPr>
                <w:sz w:val="20"/>
                <w:szCs w:val="20"/>
                <w:color w:val="auto"/>
              </w:rPr>
            </w:pPr>
            <w:r>
              <w:rPr>
                <w:rFonts w:ascii="Arial" w:cs="Arial" w:eastAsia="Arial" w:hAnsi="Arial"/>
                <w:sz w:val="16"/>
                <w:szCs w:val="16"/>
                <w:color w:val="202020"/>
              </w:rPr>
              <w:t>Total</w:t>
            </w:r>
          </w:p>
        </w:tc>
        <w:tc>
          <w:tcPr>
            <w:tcW w:w="86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810,631</w:t>
            </w:r>
          </w:p>
        </w:tc>
        <w:tc>
          <w:tcPr>
            <w:tcW w:w="380" w:type="dxa"/>
            <w:vAlign w:val="bottom"/>
            <w:tcBorders>
              <w:bottom w:val="single" w:sz="8" w:color="202020"/>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810,631</w:t>
            </w:r>
          </w:p>
        </w:tc>
        <w:tc>
          <w:tcPr>
            <w:tcW w:w="8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w w:val="98"/>
              </w:rPr>
              <w:t>2,413,574</w:t>
            </w:r>
          </w:p>
        </w:tc>
      </w:tr>
      <w:tr>
        <w:trPr>
          <w:trHeight w:val="200"/>
        </w:trPr>
        <w:tc>
          <w:tcPr>
            <w:tcW w:w="60" w:type="dxa"/>
            <w:vAlign w:val="bottom"/>
            <w:tcBorders>
              <w:bottom w:val="single" w:sz="8" w:color="E9E9E9"/>
            </w:tcBorders>
            <w:shd w:val="clear" w:color="auto" w:fill="E9E9E9"/>
          </w:tcPr>
          <w:p>
            <w:pPr>
              <w:spacing w:after="0"/>
              <w:rPr>
                <w:sz w:val="17"/>
                <w:szCs w:val="17"/>
                <w:color w:val="auto"/>
              </w:rPr>
            </w:pPr>
          </w:p>
        </w:tc>
        <w:tc>
          <w:tcPr>
            <w:tcW w:w="1400" w:type="dxa"/>
            <w:vAlign w:val="bottom"/>
            <w:tcBorders>
              <w:bottom w:val="single" w:sz="8" w:color="202020"/>
            </w:tcBorders>
            <w:gridSpan w:val="3"/>
            <w:shd w:val="clear" w:color="auto" w:fill="E9E9E9"/>
          </w:tcPr>
          <w:p>
            <w:pPr>
              <w:spacing w:after="0" w:line="180" w:lineRule="exact"/>
              <w:rPr>
                <w:sz w:val="20"/>
                <w:szCs w:val="20"/>
                <w:color w:val="auto"/>
              </w:rPr>
            </w:pPr>
            <w:r>
              <w:rPr>
                <w:rFonts w:ascii="Arial" w:cs="Arial" w:eastAsia="Arial" w:hAnsi="Arial"/>
                <w:sz w:val="16"/>
                <w:szCs w:val="16"/>
                <w:b w:val="1"/>
                <w:bCs w:val="1"/>
                <w:color w:val="202020"/>
              </w:rPr>
              <w:t>Elizabeth Crowley</w:t>
            </w:r>
          </w:p>
        </w:tc>
        <w:tc>
          <w:tcPr>
            <w:tcW w:w="1960" w:type="dxa"/>
            <w:vAlign w:val="bottom"/>
            <w:tcBorders>
              <w:bottom w:val="single" w:sz="8" w:color="E9E9E9"/>
            </w:tcBorders>
            <w:gridSpan w:val="3"/>
            <w:shd w:val="clear" w:color="auto" w:fill="E9E9E9"/>
          </w:tcPr>
          <w:p>
            <w:pPr>
              <w:spacing w:after="0"/>
              <w:rPr>
                <w:sz w:val="17"/>
                <w:szCs w:val="17"/>
                <w:color w:val="auto"/>
              </w:rPr>
            </w:pPr>
          </w:p>
        </w:tc>
        <w:tc>
          <w:tcPr>
            <w:tcW w:w="860" w:type="dxa"/>
            <w:vAlign w:val="bottom"/>
            <w:tcBorders>
              <w:bottom w:val="single" w:sz="8" w:color="E9E9E9"/>
            </w:tcBorders>
            <w:shd w:val="clear" w:color="auto" w:fill="E9E9E9"/>
          </w:tcPr>
          <w:p>
            <w:pPr>
              <w:spacing w:after="0"/>
              <w:rPr>
                <w:sz w:val="17"/>
                <w:szCs w:val="17"/>
                <w:color w:val="auto"/>
              </w:rPr>
            </w:pPr>
          </w:p>
        </w:tc>
        <w:tc>
          <w:tcPr>
            <w:tcW w:w="300" w:type="dxa"/>
            <w:vAlign w:val="bottom"/>
            <w:tcBorders>
              <w:bottom w:val="single" w:sz="8" w:color="E9E9E9"/>
            </w:tcBorders>
            <w:shd w:val="clear" w:color="auto" w:fill="E9E9E9"/>
          </w:tcPr>
          <w:p>
            <w:pPr>
              <w:spacing w:after="0"/>
              <w:rPr>
                <w:sz w:val="17"/>
                <w:szCs w:val="17"/>
                <w:color w:val="auto"/>
              </w:rPr>
            </w:pPr>
          </w:p>
        </w:tc>
        <w:tc>
          <w:tcPr>
            <w:tcW w:w="300" w:type="dxa"/>
            <w:vAlign w:val="bottom"/>
            <w:tcBorders>
              <w:bottom w:val="single" w:sz="8" w:color="E9E9E9"/>
            </w:tcBorders>
            <w:shd w:val="clear" w:color="auto" w:fill="E9E9E9"/>
          </w:tcPr>
          <w:p>
            <w:pPr>
              <w:spacing w:after="0"/>
              <w:rPr>
                <w:sz w:val="17"/>
                <w:szCs w:val="17"/>
                <w:color w:val="auto"/>
              </w:rPr>
            </w:pPr>
          </w:p>
        </w:tc>
        <w:tc>
          <w:tcPr>
            <w:tcW w:w="840" w:type="dxa"/>
            <w:vAlign w:val="bottom"/>
            <w:tcBorders>
              <w:bottom w:val="single" w:sz="8" w:color="E9E9E9"/>
            </w:tcBorders>
            <w:shd w:val="clear" w:color="auto" w:fill="E9E9E9"/>
          </w:tcPr>
          <w:p>
            <w:pPr>
              <w:spacing w:after="0"/>
              <w:rPr>
                <w:sz w:val="17"/>
                <w:szCs w:val="17"/>
                <w:color w:val="auto"/>
              </w:rPr>
            </w:pPr>
          </w:p>
        </w:tc>
        <w:tc>
          <w:tcPr>
            <w:tcW w:w="380" w:type="dxa"/>
            <w:vAlign w:val="bottom"/>
            <w:tcBorders>
              <w:bottom w:val="single" w:sz="8" w:color="E9E9E9"/>
            </w:tcBorders>
            <w:shd w:val="clear" w:color="auto" w:fill="E9E9E9"/>
          </w:tcPr>
          <w:p>
            <w:pPr>
              <w:spacing w:after="0"/>
              <w:rPr>
                <w:sz w:val="17"/>
                <w:szCs w:val="17"/>
                <w:color w:val="auto"/>
              </w:rPr>
            </w:pPr>
          </w:p>
        </w:tc>
        <w:tc>
          <w:tcPr>
            <w:tcW w:w="840" w:type="dxa"/>
            <w:vAlign w:val="bottom"/>
            <w:tcBorders>
              <w:bottom w:val="single" w:sz="8" w:color="E9E9E9"/>
            </w:tcBorders>
            <w:shd w:val="clear" w:color="auto" w:fill="E9E9E9"/>
          </w:tcPr>
          <w:p>
            <w:pPr>
              <w:spacing w:after="0"/>
              <w:rPr>
                <w:sz w:val="17"/>
                <w:szCs w:val="17"/>
                <w:color w:val="auto"/>
              </w:rPr>
            </w:pPr>
          </w:p>
        </w:tc>
        <w:tc>
          <w:tcPr>
            <w:tcW w:w="880" w:type="dxa"/>
            <w:vAlign w:val="bottom"/>
            <w:tcBorders>
              <w:bottom w:val="single" w:sz="8" w:color="E9E9E9"/>
            </w:tcBorders>
            <w:shd w:val="clear" w:color="auto" w:fill="E9E9E9"/>
          </w:tcPr>
          <w:p>
            <w:pPr>
              <w:spacing w:after="0"/>
              <w:rPr>
                <w:sz w:val="17"/>
                <w:szCs w:val="17"/>
                <w:color w:val="auto"/>
              </w:rPr>
            </w:pPr>
          </w:p>
        </w:tc>
        <w:tc>
          <w:tcPr>
            <w:tcW w:w="320" w:type="dxa"/>
            <w:vAlign w:val="bottom"/>
            <w:tcBorders>
              <w:bottom w:val="single" w:sz="8" w:color="E9E9E9"/>
            </w:tcBorders>
            <w:shd w:val="clear" w:color="auto" w:fill="E9E9E9"/>
          </w:tcPr>
          <w:p>
            <w:pPr>
              <w:spacing w:after="0"/>
              <w:rPr>
                <w:sz w:val="17"/>
                <w:szCs w:val="17"/>
                <w:color w:val="auto"/>
              </w:rPr>
            </w:pPr>
          </w:p>
        </w:tc>
        <w:tc>
          <w:tcPr>
            <w:tcW w:w="1200" w:type="dxa"/>
            <w:vAlign w:val="bottom"/>
            <w:tcBorders>
              <w:bottom w:val="single" w:sz="8" w:color="E9E9E9"/>
            </w:tcBorders>
            <w:shd w:val="clear" w:color="auto" w:fill="E9E9E9"/>
          </w:tcPr>
          <w:p>
            <w:pPr>
              <w:spacing w:after="0"/>
              <w:rPr>
                <w:sz w:val="17"/>
                <w:szCs w:val="17"/>
                <w:color w:val="auto"/>
              </w:rPr>
            </w:pPr>
          </w:p>
        </w:tc>
        <w:tc>
          <w:tcPr>
            <w:tcW w:w="780" w:type="dxa"/>
            <w:vAlign w:val="bottom"/>
            <w:tcBorders>
              <w:bottom w:val="single" w:sz="8" w:color="E9E9E9"/>
            </w:tcBorders>
            <w:shd w:val="clear" w:color="auto" w:fill="E9E9E9"/>
          </w:tcPr>
          <w:p>
            <w:pPr>
              <w:spacing w:after="0"/>
              <w:rPr>
                <w:sz w:val="17"/>
                <w:szCs w:val="17"/>
                <w:color w:val="auto"/>
              </w:rPr>
            </w:pPr>
          </w:p>
        </w:tc>
      </w:tr>
      <w:tr>
        <w:trPr>
          <w:trHeight w:val="218"/>
        </w:trPr>
        <w:tc>
          <w:tcPr>
            <w:tcW w:w="60" w:type="dxa"/>
            <w:vAlign w:val="bottom"/>
          </w:tcPr>
          <w:p>
            <w:pPr>
              <w:spacing w:after="0"/>
              <w:rPr>
                <w:sz w:val="18"/>
                <w:szCs w:val="18"/>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Base Salary</w:t>
            </w:r>
          </w:p>
        </w:tc>
        <w:tc>
          <w:tcPr>
            <w:tcW w:w="860" w:type="dxa"/>
            <w:vAlign w:val="bottom"/>
          </w:tcPr>
          <w:p>
            <w:pPr>
              <w:jc w:val="right"/>
              <w:spacing w:after="0"/>
              <w:rPr>
                <w:sz w:val="20"/>
                <w:szCs w:val="20"/>
                <w:color w:val="auto"/>
              </w:rPr>
            </w:pPr>
            <w:r>
              <w:rPr>
                <w:rFonts w:ascii="Arial" w:cs="Arial" w:eastAsia="Arial" w:hAnsi="Arial"/>
                <w:sz w:val="16"/>
                <w:szCs w:val="16"/>
                <w:color w:val="202020"/>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498,000</w:t>
            </w:r>
          </w:p>
        </w:tc>
        <w:tc>
          <w:tcPr>
            <w:tcW w:w="380" w:type="dxa"/>
            <w:vAlign w:val="bottom"/>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498,000</w:t>
            </w:r>
          </w:p>
        </w:tc>
        <w:tc>
          <w:tcPr>
            <w:tcW w:w="880" w:type="dxa"/>
            <w:vAlign w:val="bottom"/>
          </w:tcPr>
          <w:p>
            <w:pPr>
              <w:jc w:val="right"/>
              <w:spacing w:after="0"/>
              <w:rPr>
                <w:sz w:val="20"/>
                <w:szCs w:val="20"/>
                <w:color w:val="auto"/>
              </w:rPr>
            </w:pPr>
            <w:r>
              <w:rPr>
                <w:rFonts w:ascii="Arial" w:cs="Arial" w:eastAsia="Arial" w:hAnsi="Arial"/>
                <w:sz w:val="16"/>
                <w:szCs w:val="16"/>
                <w:color w:val="202020"/>
              </w:rPr>
              <w:t>$</w:t>
            </w: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jc w:val="right"/>
              <w:spacing w:after="0"/>
              <w:rPr>
                <w:sz w:val="20"/>
                <w:szCs w:val="20"/>
                <w:color w:val="auto"/>
              </w:rPr>
            </w:pPr>
            <w:r>
              <w:rPr>
                <w:rFonts w:ascii="Arial" w:cs="Arial" w:eastAsia="Arial" w:hAnsi="Arial"/>
                <w:sz w:val="16"/>
                <w:szCs w:val="16"/>
                <w:color w:val="202020"/>
              </w:rPr>
              <w:t>$</w:t>
            </w:r>
          </w:p>
        </w:tc>
        <w:tc>
          <w:tcPr>
            <w:tcW w:w="780" w:type="dxa"/>
            <w:vAlign w:val="bottom"/>
          </w:tcPr>
          <w:p>
            <w:pPr>
              <w:jc w:val="right"/>
              <w:spacing w:after="0"/>
              <w:rPr>
                <w:sz w:val="20"/>
                <w:szCs w:val="20"/>
                <w:color w:val="auto"/>
              </w:rPr>
            </w:pPr>
            <w:r>
              <w:rPr>
                <w:rFonts w:ascii="Arial" w:cs="Arial" w:eastAsia="Arial" w:hAnsi="Arial"/>
                <w:sz w:val="16"/>
                <w:szCs w:val="16"/>
                <w:color w:val="202020"/>
              </w:rPr>
              <w:t>996,000</w:t>
            </w:r>
          </w:p>
        </w:tc>
      </w:tr>
      <w:tr>
        <w:trPr>
          <w:trHeight w:val="221"/>
        </w:trPr>
        <w:tc>
          <w:tcPr>
            <w:tcW w:w="60" w:type="dxa"/>
            <w:vAlign w:val="bottom"/>
            <w:shd w:val="clear" w:color="auto" w:fill="E9E9E9"/>
          </w:tcPr>
          <w:p>
            <w:pPr>
              <w:spacing w:after="0"/>
              <w:rPr>
                <w:sz w:val="19"/>
                <w:szCs w:val="19"/>
                <w:color w:val="auto"/>
              </w:rPr>
            </w:pPr>
          </w:p>
        </w:tc>
        <w:tc>
          <w:tcPr>
            <w:tcW w:w="3360" w:type="dxa"/>
            <w:vAlign w:val="bottom"/>
            <w:gridSpan w:val="6"/>
            <w:shd w:val="clear" w:color="auto" w:fill="E9E9E9"/>
          </w:tcPr>
          <w:p>
            <w:pPr>
              <w:ind w:left="160"/>
              <w:spacing w:after="0"/>
              <w:rPr>
                <w:sz w:val="20"/>
                <w:szCs w:val="20"/>
                <w:color w:val="auto"/>
              </w:rPr>
            </w:pPr>
            <w:r>
              <w:rPr>
                <w:rFonts w:ascii="Arial" w:cs="Arial" w:eastAsia="Arial" w:hAnsi="Arial"/>
                <w:sz w:val="16"/>
                <w:szCs w:val="16"/>
                <w:color w:val="202020"/>
              </w:rPr>
              <w:t>Bonus</w:t>
            </w:r>
          </w:p>
        </w:tc>
        <w:tc>
          <w:tcPr>
            <w:tcW w:w="860" w:type="dxa"/>
            <w:vAlign w:val="bottom"/>
            <w:shd w:val="clear" w:color="auto" w:fill="E9E9E9"/>
          </w:tcPr>
          <w:p>
            <w:pPr>
              <w:spacing w:after="0"/>
              <w:rPr>
                <w:sz w:val="19"/>
                <w:szCs w:val="19"/>
                <w:color w:val="auto"/>
              </w:rPr>
            </w:pPr>
          </w:p>
        </w:tc>
        <w:tc>
          <w:tcPr>
            <w:tcW w:w="3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shd w:val="clear" w:color="auto" w:fill="E9E9E9"/>
          </w:tcPr>
          <w:p>
            <w:pPr>
              <w:spacing w:after="0"/>
              <w:rPr>
                <w:sz w:val="19"/>
                <w:szCs w:val="19"/>
                <w:color w:val="auto"/>
              </w:rPr>
            </w:pPr>
          </w:p>
        </w:tc>
        <w:tc>
          <w:tcPr>
            <w:tcW w:w="3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shd w:val="clear" w:color="auto" w:fill="E9E9E9"/>
          </w:tcPr>
          <w:p>
            <w:pPr>
              <w:spacing w:after="0"/>
              <w:rPr>
                <w:sz w:val="19"/>
                <w:szCs w:val="19"/>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390,000</w:t>
            </w:r>
          </w:p>
        </w:tc>
      </w:tr>
      <w:tr>
        <w:trPr>
          <w:trHeight w:val="220"/>
        </w:trPr>
        <w:tc>
          <w:tcPr>
            <w:tcW w:w="60" w:type="dxa"/>
            <w:vAlign w:val="bottom"/>
          </w:tcPr>
          <w:p>
            <w:pPr>
              <w:spacing w:after="0"/>
              <w:rPr>
                <w:sz w:val="19"/>
                <w:szCs w:val="19"/>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Equity Awards Acceleration</w:t>
            </w:r>
            <w:r>
              <w:rPr>
                <w:rFonts w:ascii="Arial" w:cs="Arial" w:eastAsia="Arial" w:hAnsi="Arial"/>
                <w:sz w:val="19"/>
                <w:szCs w:val="19"/>
                <w:color w:val="202020"/>
                <w:vertAlign w:val="superscript"/>
              </w:rPr>
              <w:t>(3)</w:t>
            </w:r>
          </w:p>
        </w:tc>
        <w:tc>
          <w:tcPr>
            <w:tcW w:w="860" w:type="dxa"/>
            <w:vAlign w:val="bottom"/>
          </w:tcPr>
          <w:p>
            <w:pPr>
              <w:spacing w:after="0"/>
              <w:rPr>
                <w:sz w:val="19"/>
                <w:szCs w:val="19"/>
                <w:color w:val="auto"/>
              </w:rPr>
            </w:pP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173,399</w:t>
            </w:r>
          </w:p>
        </w:tc>
        <w:tc>
          <w:tcPr>
            <w:tcW w:w="38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173,399</w:t>
            </w:r>
          </w:p>
        </w:tc>
        <w:tc>
          <w:tcPr>
            <w:tcW w:w="880" w:type="dxa"/>
            <w:vAlign w:val="bottom"/>
          </w:tcPr>
          <w:p>
            <w:pPr>
              <w:spacing w:after="0"/>
              <w:rPr>
                <w:sz w:val="19"/>
                <w:szCs w:val="19"/>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02020"/>
              </w:rPr>
              <w:t>693,595</w:t>
            </w:r>
          </w:p>
        </w:tc>
      </w:tr>
      <w:tr>
        <w:trPr>
          <w:trHeight w:val="238"/>
        </w:trPr>
        <w:tc>
          <w:tcPr>
            <w:tcW w:w="60" w:type="dxa"/>
            <w:vAlign w:val="bottom"/>
            <w:tcBorders>
              <w:bottom w:val="single" w:sz="8" w:color="E9E9E9"/>
            </w:tcBorders>
            <w:shd w:val="clear" w:color="auto" w:fill="E9E9E9"/>
          </w:tcPr>
          <w:p>
            <w:pPr>
              <w:spacing w:after="0"/>
              <w:rPr>
                <w:sz w:val="20"/>
                <w:szCs w:val="20"/>
                <w:color w:val="auto"/>
              </w:rPr>
            </w:pPr>
          </w:p>
        </w:tc>
        <w:tc>
          <w:tcPr>
            <w:tcW w:w="3360" w:type="dxa"/>
            <w:vAlign w:val="bottom"/>
            <w:tcBorders>
              <w:bottom w:val="single" w:sz="8" w:color="E9E9E9"/>
            </w:tcBorders>
            <w:gridSpan w:val="6"/>
            <w:shd w:val="clear" w:color="auto" w:fill="E9E9E9"/>
          </w:tcPr>
          <w:p>
            <w:pPr>
              <w:ind w:left="160"/>
              <w:spacing w:after="0"/>
              <w:rPr>
                <w:sz w:val="20"/>
                <w:szCs w:val="20"/>
                <w:color w:val="auto"/>
              </w:rPr>
            </w:pPr>
            <w:r>
              <w:rPr>
                <w:rFonts w:ascii="Arial" w:cs="Arial" w:eastAsia="Arial" w:hAnsi="Arial"/>
                <w:sz w:val="16"/>
                <w:szCs w:val="16"/>
                <w:color w:val="202020"/>
              </w:rPr>
              <w:t>Continuation of Health Benefits</w:t>
            </w:r>
          </w:p>
        </w:tc>
        <w:tc>
          <w:tcPr>
            <w:tcW w:w="860" w:type="dxa"/>
            <w:vAlign w:val="bottom"/>
            <w:tcBorders>
              <w:bottom w:val="single" w:sz="8" w:color="202020"/>
            </w:tcBorders>
            <w:shd w:val="clear" w:color="auto" w:fill="E9E9E9"/>
          </w:tcPr>
          <w:p>
            <w:pPr>
              <w:spacing w:after="0"/>
              <w:rPr>
                <w:sz w:val="20"/>
                <w:szCs w:val="20"/>
                <w:color w:val="auto"/>
              </w:rPr>
            </w:pPr>
          </w:p>
        </w:tc>
        <w:tc>
          <w:tcPr>
            <w:tcW w:w="30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tcBorders>
              <w:bottom w:val="single" w:sz="8" w:color="202020"/>
            </w:tcBorders>
            <w:shd w:val="clear" w:color="auto" w:fill="E9E9E9"/>
          </w:tcPr>
          <w:p>
            <w:pPr>
              <w:spacing w:after="0"/>
              <w:rPr>
                <w:sz w:val="20"/>
                <w:szCs w:val="20"/>
                <w:color w:val="auto"/>
              </w:rPr>
            </w:pPr>
          </w:p>
        </w:tc>
        <w:tc>
          <w:tcPr>
            <w:tcW w:w="32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shd w:val="clear" w:color="auto" w:fill="E9E9E9"/>
          </w:tcPr>
          <w:p>
            <w:pPr>
              <w:spacing w:after="0"/>
              <w:rPr>
                <w:sz w:val="20"/>
                <w:szCs w:val="20"/>
                <w:color w:val="auto"/>
              </w:rPr>
            </w:pPr>
          </w:p>
        </w:tc>
        <w:tc>
          <w:tcPr>
            <w:tcW w:w="7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w:t>
            </w:r>
          </w:p>
        </w:tc>
      </w:tr>
      <w:tr>
        <w:trPr>
          <w:trHeight w:val="221"/>
        </w:trPr>
        <w:tc>
          <w:tcPr>
            <w:tcW w:w="60" w:type="dxa"/>
            <w:vAlign w:val="bottom"/>
            <w:tcBorders>
              <w:bottom w:val="single" w:sz="8" w:color="E9E9E9"/>
            </w:tcBorders>
          </w:tcPr>
          <w:p>
            <w:pPr>
              <w:spacing w:after="0"/>
              <w:rPr>
                <w:sz w:val="19"/>
                <w:szCs w:val="19"/>
                <w:color w:val="auto"/>
              </w:rPr>
            </w:pPr>
          </w:p>
        </w:tc>
        <w:tc>
          <w:tcPr>
            <w:tcW w:w="3360" w:type="dxa"/>
            <w:vAlign w:val="bottom"/>
            <w:tcBorders>
              <w:bottom w:val="single" w:sz="8" w:color="E9E9E9"/>
            </w:tcBorders>
            <w:gridSpan w:val="6"/>
          </w:tcPr>
          <w:p>
            <w:pPr>
              <w:ind w:left="160"/>
              <w:spacing w:after="0"/>
              <w:rPr>
                <w:sz w:val="20"/>
                <w:szCs w:val="20"/>
                <w:color w:val="auto"/>
              </w:rPr>
            </w:pPr>
            <w:r>
              <w:rPr>
                <w:rFonts w:ascii="Arial" w:cs="Arial" w:eastAsia="Arial" w:hAnsi="Arial"/>
                <w:sz w:val="16"/>
                <w:szCs w:val="16"/>
                <w:color w:val="202020"/>
              </w:rPr>
              <w:t>Total</w:t>
            </w:r>
          </w:p>
        </w:tc>
        <w:tc>
          <w:tcPr>
            <w:tcW w:w="86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671,399</w:t>
            </w:r>
          </w:p>
        </w:tc>
        <w:tc>
          <w:tcPr>
            <w:tcW w:w="380" w:type="dxa"/>
            <w:vAlign w:val="bottom"/>
            <w:tcBorders>
              <w:bottom w:val="single" w:sz="8" w:color="202020"/>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671,399</w:t>
            </w:r>
          </w:p>
        </w:tc>
        <w:tc>
          <w:tcPr>
            <w:tcW w:w="8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w w:val="98"/>
              </w:rPr>
              <w:t>2,079,595</w:t>
            </w:r>
          </w:p>
        </w:tc>
      </w:tr>
      <w:tr>
        <w:trPr>
          <w:trHeight w:val="200"/>
        </w:trPr>
        <w:tc>
          <w:tcPr>
            <w:tcW w:w="60" w:type="dxa"/>
            <w:vAlign w:val="bottom"/>
            <w:shd w:val="clear" w:color="auto" w:fill="E9E9E9"/>
          </w:tcPr>
          <w:p>
            <w:pPr>
              <w:spacing w:after="0"/>
              <w:rPr>
                <w:sz w:val="17"/>
                <w:szCs w:val="17"/>
                <w:color w:val="auto"/>
              </w:rPr>
            </w:pPr>
          </w:p>
        </w:tc>
        <w:tc>
          <w:tcPr>
            <w:tcW w:w="3360" w:type="dxa"/>
            <w:vAlign w:val="bottom"/>
            <w:gridSpan w:val="6"/>
            <w:shd w:val="clear" w:color="auto" w:fill="E9E9E9"/>
          </w:tcPr>
          <w:p>
            <w:pPr>
              <w:spacing w:after="0" w:line="180" w:lineRule="exact"/>
              <w:rPr>
                <w:sz w:val="20"/>
                <w:szCs w:val="20"/>
                <w:color w:val="auto"/>
              </w:rPr>
            </w:pPr>
            <w:r>
              <w:rPr>
                <w:rFonts w:ascii="Arial" w:cs="Arial" w:eastAsia="Arial" w:hAnsi="Arial"/>
                <w:sz w:val="16"/>
                <w:szCs w:val="16"/>
                <w:b w:val="1"/>
                <w:bCs w:val="1"/>
                <w:color w:val="202020"/>
              </w:rPr>
              <w:t>Margo Heath-Chiozzi, M.D</w:t>
            </w:r>
          </w:p>
        </w:tc>
        <w:tc>
          <w:tcPr>
            <w:tcW w:w="86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30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380" w:type="dxa"/>
            <w:vAlign w:val="bottom"/>
            <w:shd w:val="clear" w:color="auto" w:fill="E9E9E9"/>
          </w:tcPr>
          <w:p>
            <w:pPr>
              <w:spacing w:after="0"/>
              <w:rPr>
                <w:sz w:val="17"/>
                <w:szCs w:val="17"/>
                <w:color w:val="auto"/>
              </w:rPr>
            </w:pPr>
          </w:p>
        </w:tc>
        <w:tc>
          <w:tcPr>
            <w:tcW w:w="840" w:type="dxa"/>
            <w:vAlign w:val="bottom"/>
            <w:shd w:val="clear" w:color="auto" w:fill="E9E9E9"/>
          </w:tcPr>
          <w:p>
            <w:pPr>
              <w:spacing w:after="0"/>
              <w:rPr>
                <w:sz w:val="17"/>
                <w:szCs w:val="17"/>
                <w:color w:val="auto"/>
              </w:rPr>
            </w:pPr>
          </w:p>
        </w:tc>
        <w:tc>
          <w:tcPr>
            <w:tcW w:w="880" w:type="dxa"/>
            <w:vAlign w:val="bottom"/>
            <w:shd w:val="clear" w:color="auto" w:fill="E9E9E9"/>
          </w:tcPr>
          <w:p>
            <w:pPr>
              <w:spacing w:after="0"/>
              <w:rPr>
                <w:sz w:val="17"/>
                <w:szCs w:val="17"/>
                <w:color w:val="auto"/>
              </w:rPr>
            </w:pPr>
          </w:p>
        </w:tc>
        <w:tc>
          <w:tcPr>
            <w:tcW w:w="320" w:type="dxa"/>
            <w:vAlign w:val="bottom"/>
            <w:shd w:val="clear" w:color="auto" w:fill="E9E9E9"/>
          </w:tcPr>
          <w:p>
            <w:pPr>
              <w:spacing w:after="0"/>
              <w:rPr>
                <w:sz w:val="17"/>
                <w:szCs w:val="17"/>
                <w:color w:val="auto"/>
              </w:rPr>
            </w:pPr>
          </w:p>
        </w:tc>
        <w:tc>
          <w:tcPr>
            <w:tcW w:w="1200" w:type="dxa"/>
            <w:vAlign w:val="bottom"/>
            <w:shd w:val="clear" w:color="auto" w:fill="E9E9E9"/>
          </w:tcPr>
          <w:p>
            <w:pPr>
              <w:spacing w:after="0"/>
              <w:rPr>
                <w:sz w:val="17"/>
                <w:szCs w:val="17"/>
                <w:color w:val="auto"/>
              </w:rPr>
            </w:pPr>
          </w:p>
        </w:tc>
        <w:tc>
          <w:tcPr>
            <w:tcW w:w="780" w:type="dxa"/>
            <w:vAlign w:val="bottom"/>
            <w:shd w:val="clear" w:color="auto" w:fill="E9E9E9"/>
          </w:tcPr>
          <w:p>
            <w:pPr>
              <w:spacing w:after="0"/>
              <w:rPr>
                <w:sz w:val="17"/>
                <w:szCs w:val="17"/>
                <w:color w:val="auto"/>
              </w:rPr>
            </w:pPr>
          </w:p>
        </w:tc>
      </w:tr>
      <w:tr>
        <w:trPr>
          <w:trHeight w:val="218"/>
        </w:trPr>
        <w:tc>
          <w:tcPr>
            <w:tcW w:w="60" w:type="dxa"/>
            <w:vAlign w:val="bottom"/>
            <w:tcBorders>
              <w:top w:val="single" w:sz="8" w:color="E9E9E9"/>
            </w:tcBorders>
          </w:tcPr>
          <w:p>
            <w:pPr>
              <w:spacing w:after="0"/>
              <w:rPr>
                <w:sz w:val="18"/>
                <w:szCs w:val="18"/>
                <w:color w:val="auto"/>
              </w:rPr>
            </w:pPr>
          </w:p>
        </w:tc>
        <w:tc>
          <w:tcPr>
            <w:tcW w:w="2040" w:type="dxa"/>
            <w:vAlign w:val="bottom"/>
            <w:tcBorders>
              <w:top w:val="single" w:sz="8" w:color="202020"/>
            </w:tcBorders>
            <w:gridSpan w:val="5"/>
          </w:tcPr>
          <w:p>
            <w:pPr>
              <w:ind w:left="160"/>
              <w:spacing w:after="0"/>
              <w:rPr>
                <w:sz w:val="20"/>
                <w:szCs w:val="20"/>
                <w:color w:val="auto"/>
              </w:rPr>
            </w:pPr>
            <w:r>
              <w:rPr>
                <w:rFonts w:ascii="Arial" w:cs="Arial" w:eastAsia="Arial" w:hAnsi="Arial"/>
                <w:sz w:val="16"/>
                <w:szCs w:val="16"/>
                <w:color w:val="202020"/>
              </w:rPr>
              <w:t>Base Salary</w:t>
            </w:r>
          </w:p>
        </w:tc>
        <w:tc>
          <w:tcPr>
            <w:tcW w:w="1320" w:type="dxa"/>
            <w:vAlign w:val="bottom"/>
            <w:tcBorders>
              <w:top w:val="single" w:sz="8" w:color="E9E9E9"/>
            </w:tcBorders>
          </w:tcPr>
          <w:p>
            <w:pPr>
              <w:spacing w:after="0"/>
              <w:rPr>
                <w:sz w:val="18"/>
                <w:szCs w:val="18"/>
                <w:color w:val="auto"/>
              </w:rPr>
            </w:pPr>
          </w:p>
        </w:tc>
        <w:tc>
          <w:tcPr>
            <w:tcW w:w="86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top w:val="single" w:sz="8" w:color="E9E9E9"/>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501,000</w:t>
            </w:r>
          </w:p>
        </w:tc>
        <w:tc>
          <w:tcPr>
            <w:tcW w:w="380" w:type="dxa"/>
            <w:vAlign w:val="bottom"/>
            <w:tcBorders>
              <w:top w:val="single" w:sz="8" w:color="E9E9E9"/>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501,000</w:t>
            </w:r>
          </w:p>
        </w:tc>
        <w:tc>
          <w:tcPr>
            <w:tcW w:w="88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top w:val="single" w:sz="8" w:color="E9E9E9"/>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top w:val="single" w:sz="8" w:color="E9E9E9"/>
            </w:tcBorders>
          </w:tcPr>
          <w:p>
            <w:pPr>
              <w:jc w:val="right"/>
              <w:spacing w:after="0"/>
              <w:rPr>
                <w:sz w:val="20"/>
                <w:szCs w:val="20"/>
                <w:color w:val="auto"/>
              </w:rPr>
            </w:pPr>
            <w:r>
              <w:rPr>
                <w:rFonts w:ascii="Arial" w:cs="Arial" w:eastAsia="Arial" w:hAnsi="Arial"/>
                <w:sz w:val="16"/>
                <w:szCs w:val="16"/>
                <w:color w:val="202020"/>
                <w:w w:val="98"/>
              </w:rPr>
              <w:t>1,002,000</w:t>
            </w:r>
          </w:p>
        </w:tc>
      </w:tr>
      <w:tr>
        <w:trPr>
          <w:trHeight w:val="221"/>
        </w:trPr>
        <w:tc>
          <w:tcPr>
            <w:tcW w:w="60" w:type="dxa"/>
            <w:vAlign w:val="bottom"/>
            <w:shd w:val="clear" w:color="auto" w:fill="E9E9E9"/>
          </w:tcPr>
          <w:p>
            <w:pPr>
              <w:spacing w:after="0"/>
              <w:rPr>
                <w:sz w:val="19"/>
                <w:szCs w:val="19"/>
                <w:color w:val="auto"/>
              </w:rPr>
            </w:pPr>
          </w:p>
        </w:tc>
        <w:tc>
          <w:tcPr>
            <w:tcW w:w="3360" w:type="dxa"/>
            <w:vAlign w:val="bottom"/>
            <w:gridSpan w:val="6"/>
            <w:shd w:val="clear" w:color="auto" w:fill="E9E9E9"/>
          </w:tcPr>
          <w:p>
            <w:pPr>
              <w:ind w:left="160"/>
              <w:spacing w:after="0"/>
              <w:rPr>
                <w:sz w:val="20"/>
                <w:szCs w:val="20"/>
                <w:color w:val="auto"/>
              </w:rPr>
            </w:pPr>
            <w:r>
              <w:rPr>
                <w:rFonts w:ascii="Arial" w:cs="Arial" w:eastAsia="Arial" w:hAnsi="Arial"/>
                <w:sz w:val="16"/>
                <w:szCs w:val="16"/>
                <w:color w:val="202020"/>
              </w:rPr>
              <w:t>Bonus</w:t>
            </w:r>
          </w:p>
        </w:tc>
        <w:tc>
          <w:tcPr>
            <w:tcW w:w="860" w:type="dxa"/>
            <w:vAlign w:val="bottom"/>
            <w:shd w:val="clear" w:color="auto" w:fill="E9E9E9"/>
          </w:tcPr>
          <w:p>
            <w:pPr>
              <w:spacing w:after="0"/>
              <w:rPr>
                <w:sz w:val="19"/>
                <w:szCs w:val="19"/>
                <w:color w:val="auto"/>
              </w:rPr>
            </w:pPr>
          </w:p>
        </w:tc>
        <w:tc>
          <w:tcPr>
            <w:tcW w:w="3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shd w:val="clear" w:color="auto" w:fill="E9E9E9"/>
          </w:tcPr>
          <w:p>
            <w:pPr>
              <w:spacing w:after="0"/>
              <w:rPr>
                <w:sz w:val="19"/>
                <w:szCs w:val="19"/>
                <w:color w:val="auto"/>
              </w:rPr>
            </w:pPr>
          </w:p>
        </w:tc>
        <w:tc>
          <w:tcPr>
            <w:tcW w:w="3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shd w:val="clear" w:color="auto" w:fill="E9E9E9"/>
          </w:tcPr>
          <w:p>
            <w:pPr>
              <w:spacing w:after="0"/>
              <w:rPr>
                <w:sz w:val="19"/>
                <w:szCs w:val="19"/>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342,051</w:t>
            </w:r>
          </w:p>
        </w:tc>
      </w:tr>
      <w:tr>
        <w:trPr>
          <w:trHeight w:val="209"/>
        </w:trPr>
        <w:tc>
          <w:tcPr>
            <w:tcW w:w="60" w:type="dxa"/>
            <w:vAlign w:val="bottom"/>
          </w:tcPr>
          <w:p>
            <w:pPr>
              <w:spacing w:after="0"/>
              <w:rPr>
                <w:sz w:val="18"/>
                <w:szCs w:val="18"/>
                <w:color w:val="auto"/>
              </w:rPr>
            </w:pPr>
          </w:p>
        </w:tc>
        <w:tc>
          <w:tcPr>
            <w:tcW w:w="3360" w:type="dxa"/>
            <w:vAlign w:val="bottom"/>
            <w:gridSpan w:val="6"/>
          </w:tcPr>
          <w:p>
            <w:pPr>
              <w:ind w:left="160"/>
              <w:spacing w:after="0" w:line="209" w:lineRule="exact"/>
              <w:rPr>
                <w:sz w:val="20"/>
                <w:szCs w:val="20"/>
                <w:color w:val="auto"/>
              </w:rPr>
            </w:pPr>
            <w:r>
              <w:rPr>
                <w:rFonts w:ascii="Arial" w:cs="Arial" w:eastAsia="Arial" w:hAnsi="Arial"/>
                <w:sz w:val="16"/>
                <w:szCs w:val="16"/>
                <w:color w:val="202020"/>
              </w:rPr>
              <w:t>Equity Awards Acceleration</w:t>
            </w:r>
            <w:r>
              <w:rPr>
                <w:rFonts w:ascii="Arial" w:cs="Arial" w:eastAsia="Arial" w:hAnsi="Arial"/>
                <w:sz w:val="19"/>
                <w:szCs w:val="19"/>
                <w:color w:val="202020"/>
                <w:vertAlign w:val="superscript"/>
              </w:rPr>
              <w:t>(3)</w:t>
            </w:r>
          </w:p>
        </w:tc>
        <w:tc>
          <w:tcPr>
            <w:tcW w:w="860" w:type="dxa"/>
            <w:vAlign w:val="bottom"/>
          </w:tcPr>
          <w:p>
            <w:pPr>
              <w:spacing w:after="0"/>
              <w:rPr>
                <w:sz w:val="18"/>
                <w:szCs w:val="18"/>
                <w:color w:val="auto"/>
              </w:rPr>
            </w:pP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tcPr>
          <w:p>
            <w:pPr>
              <w:spacing w:after="0"/>
              <w:rPr>
                <w:sz w:val="18"/>
                <w:szCs w:val="18"/>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02020"/>
              </w:rPr>
              <w:t>670,705</w:t>
            </w:r>
          </w:p>
        </w:tc>
      </w:tr>
      <w:tr>
        <w:trPr>
          <w:trHeight w:val="240"/>
        </w:trPr>
        <w:tc>
          <w:tcPr>
            <w:tcW w:w="60" w:type="dxa"/>
            <w:vAlign w:val="bottom"/>
          </w:tcPr>
          <w:p>
            <w:pPr>
              <w:spacing w:after="0"/>
              <w:rPr>
                <w:sz w:val="20"/>
                <w:szCs w:val="20"/>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Continuation of Health Benefits</w:t>
            </w:r>
          </w:p>
        </w:tc>
        <w:tc>
          <w:tcPr>
            <w:tcW w:w="860" w:type="dxa"/>
            <w:vAlign w:val="bottom"/>
            <w:tcBorders>
              <w:bottom w:val="single" w:sz="8" w:color="202020"/>
            </w:tcBorders>
          </w:tcPr>
          <w:p>
            <w:pPr>
              <w:spacing w:after="0"/>
              <w:rPr>
                <w:sz w:val="20"/>
                <w:szCs w:val="20"/>
                <w:color w:val="auto"/>
              </w:rPr>
            </w:pPr>
          </w:p>
        </w:tc>
        <w:tc>
          <w:tcPr>
            <w:tcW w:w="30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tcPr>
          <w:p>
            <w:pPr>
              <w:spacing w:after="0"/>
              <w:rPr>
                <w:sz w:val="20"/>
                <w:szCs w:val="20"/>
                <w:color w:val="auto"/>
              </w:rPr>
            </w:pP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45,648</w:t>
            </w:r>
          </w:p>
        </w:tc>
        <w:tc>
          <w:tcPr>
            <w:tcW w:w="380" w:type="dxa"/>
            <w:vAlign w:val="bottom"/>
            <w:tcBorders>
              <w:bottom w:val="single" w:sz="8" w:color="202020"/>
            </w:tcBorders>
          </w:tcPr>
          <w:p>
            <w:pPr>
              <w:spacing w:after="0"/>
              <w:rPr>
                <w:sz w:val="20"/>
                <w:szCs w:val="20"/>
                <w:color w:val="auto"/>
              </w:rPr>
            </w:pP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45,648</w:t>
            </w:r>
          </w:p>
        </w:tc>
        <w:tc>
          <w:tcPr>
            <w:tcW w:w="880" w:type="dxa"/>
            <w:vAlign w:val="bottom"/>
            <w:tcBorders>
              <w:bottom w:val="single" w:sz="8" w:color="202020"/>
            </w:tcBorders>
          </w:tcPr>
          <w:p>
            <w:pPr>
              <w:spacing w:after="0"/>
              <w:rPr>
                <w:sz w:val="20"/>
                <w:szCs w:val="20"/>
                <w:color w:val="auto"/>
              </w:rPr>
            </w:pPr>
          </w:p>
        </w:tc>
        <w:tc>
          <w:tcPr>
            <w:tcW w:w="32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tcPr>
          <w:p>
            <w:pPr>
              <w:spacing w:after="0"/>
              <w:rPr>
                <w:sz w:val="20"/>
                <w:szCs w:val="20"/>
                <w:color w:val="auto"/>
              </w:rPr>
            </w:pPr>
          </w:p>
        </w:tc>
        <w:tc>
          <w:tcPr>
            <w:tcW w:w="7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45,648</w:t>
            </w:r>
          </w:p>
        </w:tc>
      </w:tr>
      <w:tr>
        <w:trPr>
          <w:trHeight w:val="229"/>
        </w:trPr>
        <w:tc>
          <w:tcPr>
            <w:tcW w:w="60" w:type="dxa"/>
            <w:vAlign w:val="bottom"/>
            <w:tcBorders>
              <w:bottom w:val="single" w:sz="8" w:color="E9E9E9"/>
            </w:tcBorders>
          </w:tcPr>
          <w:p>
            <w:pPr>
              <w:spacing w:after="0"/>
              <w:rPr>
                <w:sz w:val="19"/>
                <w:szCs w:val="19"/>
                <w:color w:val="auto"/>
              </w:rPr>
            </w:pPr>
          </w:p>
        </w:tc>
        <w:tc>
          <w:tcPr>
            <w:tcW w:w="3360" w:type="dxa"/>
            <w:vAlign w:val="bottom"/>
            <w:tcBorders>
              <w:bottom w:val="single" w:sz="8" w:color="E9E9E9"/>
            </w:tcBorders>
            <w:gridSpan w:val="6"/>
          </w:tcPr>
          <w:p>
            <w:pPr>
              <w:ind w:left="160"/>
              <w:spacing w:after="0"/>
              <w:rPr>
                <w:sz w:val="20"/>
                <w:szCs w:val="20"/>
                <w:color w:val="auto"/>
              </w:rPr>
            </w:pPr>
            <w:r>
              <w:rPr>
                <w:rFonts w:ascii="Arial" w:cs="Arial" w:eastAsia="Arial" w:hAnsi="Arial"/>
                <w:sz w:val="16"/>
                <w:szCs w:val="16"/>
                <w:color w:val="202020"/>
              </w:rPr>
              <w:t>Total</w:t>
            </w:r>
          </w:p>
        </w:tc>
        <w:tc>
          <w:tcPr>
            <w:tcW w:w="86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0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546,648</w:t>
            </w:r>
          </w:p>
        </w:tc>
        <w:tc>
          <w:tcPr>
            <w:tcW w:w="380" w:type="dxa"/>
            <w:vAlign w:val="bottom"/>
            <w:tcBorders>
              <w:bottom w:val="single" w:sz="8" w:color="202020"/>
            </w:tcBorders>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546,648</w:t>
            </w:r>
          </w:p>
        </w:tc>
        <w:tc>
          <w:tcPr>
            <w:tcW w:w="8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320" w:type="dxa"/>
            <w:vAlign w:val="bottom"/>
            <w:tcBorders>
              <w:bottom w:val="single" w:sz="8" w:color="202020"/>
            </w:tcBorders>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02020"/>
                <w:w w:val="98"/>
              </w:rPr>
              <w:t>2,060,404</w:t>
            </w:r>
          </w:p>
        </w:tc>
      </w:tr>
      <w:tr>
        <w:trPr>
          <w:trHeight w:val="200"/>
        </w:trPr>
        <w:tc>
          <w:tcPr>
            <w:tcW w:w="60" w:type="dxa"/>
            <w:vAlign w:val="bottom"/>
            <w:tcBorders>
              <w:bottom w:val="single" w:sz="8" w:color="E9E9E9"/>
            </w:tcBorders>
            <w:shd w:val="clear" w:color="auto" w:fill="E9E9E9"/>
          </w:tcPr>
          <w:p>
            <w:pPr>
              <w:spacing w:after="0"/>
              <w:rPr>
                <w:sz w:val="17"/>
                <w:szCs w:val="17"/>
                <w:color w:val="auto"/>
              </w:rPr>
            </w:pPr>
          </w:p>
        </w:tc>
        <w:tc>
          <w:tcPr>
            <w:tcW w:w="920" w:type="dxa"/>
            <w:vAlign w:val="bottom"/>
            <w:tcBorders>
              <w:bottom w:val="single" w:sz="8" w:color="202020"/>
            </w:tcBorders>
            <w:shd w:val="clear" w:color="auto" w:fill="E9E9E9"/>
          </w:tcPr>
          <w:p>
            <w:pPr>
              <w:spacing w:after="0" w:line="180" w:lineRule="exact"/>
              <w:rPr>
                <w:sz w:val="20"/>
                <w:szCs w:val="20"/>
                <w:color w:val="auto"/>
              </w:rPr>
            </w:pPr>
            <w:r>
              <w:rPr>
                <w:rFonts w:ascii="Arial" w:cs="Arial" w:eastAsia="Arial" w:hAnsi="Arial"/>
                <w:sz w:val="16"/>
                <w:szCs w:val="16"/>
                <w:b w:val="1"/>
                <w:bCs w:val="1"/>
                <w:color w:val="202020"/>
              </w:rPr>
              <w:t>Sam Martin</w:t>
            </w:r>
          </w:p>
        </w:tc>
        <w:tc>
          <w:tcPr>
            <w:tcW w:w="2440" w:type="dxa"/>
            <w:vAlign w:val="bottom"/>
            <w:tcBorders>
              <w:bottom w:val="single" w:sz="8" w:color="E9E9E9"/>
            </w:tcBorders>
            <w:gridSpan w:val="5"/>
            <w:shd w:val="clear" w:color="auto" w:fill="E9E9E9"/>
          </w:tcPr>
          <w:p>
            <w:pPr>
              <w:spacing w:after="0"/>
              <w:rPr>
                <w:sz w:val="17"/>
                <w:szCs w:val="17"/>
                <w:color w:val="auto"/>
              </w:rPr>
            </w:pPr>
          </w:p>
        </w:tc>
        <w:tc>
          <w:tcPr>
            <w:tcW w:w="860" w:type="dxa"/>
            <w:vAlign w:val="bottom"/>
            <w:tcBorders>
              <w:bottom w:val="single" w:sz="8" w:color="E9E9E9"/>
            </w:tcBorders>
            <w:shd w:val="clear" w:color="auto" w:fill="E9E9E9"/>
          </w:tcPr>
          <w:p>
            <w:pPr>
              <w:spacing w:after="0"/>
              <w:rPr>
                <w:sz w:val="17"/>
                <w:szCs w:val="17"/>
                <w:color w:val="auto"/>
              </w:rPr>
            </w:pPr>
          </w:p>
        </w:tc>
        <w:tc>
          <w:tcPr>
            <w:tcW w:w="300" w:type="dxa"/>
            <w:vAlign w:val="bottom"/>
            <w:tcBorders>
              <w:bottom w:val="single" w:sz="8" w:color="E9E9E9"/>
            </w:tcBorders>
            <w:shd w:val="clear" w:color="auto" w:fill="E9E9E9"/>
          </w:tcPr>
          <w:p>
            <w:pPr>
              <w:spacing w:after="0"/>
              <w:rPr>
                <w:sz w:val="17"/>
                <w:szCs w:val="17"/>
                <w:color w:val="auto"/>
              </w:rPr>
            </w:pPr>
          </w:p>
        </w:tc>
        <w:tc>
          <w:tcPr>
            <w:tcW w:w="300" w:type="dxa"/>
            <w:vAlign w:val="bottom"/>
            <w:tcBorders>
              <w:bottom w:val="single" w:sz="8" w:color="E9E9E9"/>
            </w:tcBorders>
            <w:shd w:val="clear" w:color="auto" w:fill="E9E9E9"/>
          </w:tcPr>
          <w:p>
            <w:pPr>
              <w:spacing w:after="0"/>
              <w:rPr>
                <w:sz w:val="17"/>
                <w:szCs w:val="17"/>
                <w:color w:val="auto"/>
              </w:rPr>
            </w:pPr>
          </w:p>
        </w:tc>
        <w:tc>
          <w:tcPr>
            <w:tcW w:w="840" w:type="dxa"/>
            <w:vAlign w:val="bottom"/>
            <w:tcBorders>
              <w:bottom w:val="single" w:sz="8" w:color="E9E9E9"/>
            </w:tcBorders>
            <w:shd w:val="clear" w:color="auto" w:fill="E9E9E9"/>
          </w:tcPr>
          <w:p>
            <w:pPr>
              <w:spacing w:after="0"/>
              <w:rPr>
                <w:sz w:val="17"/>
                <w:szCs w:val="17"/>
                <w:color w:val="auto"/>
              </w:rPr>
            </w:pPr>
          </w:p>
        </w:tc>
        <w:tc>
          <w:tcPr>
            <w:tcW w:w="380" w:type="dxa"/>
            <w:vAlign w:val="bottom"/>
            <w:tcBorders>
              <w:bottom w:val="single" w:sz="8" w:color="E9E9E9"/>
            </w:tcBorders>
            <w:shd w:val="clear" w:color="auto" w:fill="E9E9E9"/>
          </w:tcPr>
          <w:p>
            <w:pPr>
              <w:spacing w:after="0"/>
              <w:rPr>
                <w:sz w:val="17"/>
                <w:szCs w:val="17"/>
                <w:color w:val="auto"/>
              </w:rPr>
            </w:pPr>
          </w:p>
        </w:tc>
        <w:tc>
          <w:tcPr>
            <w:tcW w:w="840" w:type="dxa"/>
            <w:vAlign w:val="bottom"/>
            <w:tcBorders>
              <w:bottom w:val="single" w:sz="8" w:color="E9E9E9"/>
            </w:tcBorders>
            <w:shd w:val="clear" w:color="auto" w:fill="E9E9E9"/>
          </w:tcPr>
          <w:p>
            <w:pPr>
              <w:spacing w:after="0"/>
              <w:rPr>
                <w:sz w:val="17"/>
                <w:szCs w:val="17"/>
                <w:color w:val="auto"/>
              </w:rPr>
            </w:pPr>
          </w:p>
        </w:tc>
        <w:tc>
          <w:tcPr>
            <w:tcW w:w="880" w:type="dxa"/>
            <w:vAlign w:val="bottom"/>
            <w:tcBorders>
              <w:bottom w:val="single" w:sz="8" w:color="E9E9E9"/>
            </w:tcBorders>
            <w:shd w:val="clear" w:color="auto" w:fill="E9E9E9"/>
          </w:tcPr>
          <w:p>
            <w:pPr>
              <w:spacing w:after="0"/>
              <w:rPr>
                <w:sz w:val="17"/>
                <w:szCs w:val="17"/>
                <w:color w:val="auto"/>
              </w:rPr>
            </w:pPr>
          </w:p>
        </w:tc>
        <w:tc>
          <w:tcPr>
            <w:tcW w:w="320" w:type="dxa"/>
            <w:vAlign w:val="bottom"/>
            <w:tcBorders>
              <w:bottom w:val="single" w:sz="8" w:color="E9E9E9"/>
            </w:tcBorders>
            <w:shd w:val="clear" w:color="auto" w:fill="E9E9E9"/>
          </w:tcPr>
          <w:p>
            <w:pPr>
              <w:spacing w:after="0"/>
              <w:rPr>
                <w:sz w:val="17"/>
                <w:szCs w:val="17"/>
                <w:color w:val="auto"/>
              </w:rPr>
            </w:pPr>
          </w:p>
        </w:tc>
        <w:tc>
          <w:tcPr>
            <w:tcW w:w="1200" w:type="dxa"/>
            <w:vAlign w:val="bottom"/>
            <w:tcBorders>
              <w:bottom w:val="single" w:sz="8" w:color="E9E9E9"/>
            </w:tcBorders>
            <w:shd w:val="clear" w:color="auto" w:fill="E9E9E9"/>
          </w:tcPr>
          <w:p>
            <w:pPr>
              <w:spacing w:after="0"/>
              <w:rPr>
                <w:sz w:val="17"/>
                <w:szCs w:val="17"/>
                <w:color w:val="auto"/>
              </w:rPr>
            </w:pPr>
          </w:p>
        </w:tc>
        <w:tc>
          <w:tcPr>
            <w:tcW w:w="780" w:type="dxa"/>
            <w:vAlign w:val="bottom"/>
            <w:tcBorders>
              <w:bottom w:val="single" w:sz="8" w:color="E9E9E9"/>
            </w:tcBorders>
            <w:shd w:val="clear" w:color="auto" w:fill="E9E9E9"/>
          </w:tcPr>
          <w:p>
            <w:pPr>
              <w:spacing w:after="0"/>
              <w:rPr>
                <w:sz w:val="17"/>
                <w:szCs w:val="17"/>
                <w:color w:val="auto"/>
              </w:rPr>
            </w:pPr>
          </w:p>
        </w:tc>
      </w:tr>
      <w:tr>
        <w:trPr>
          <w:trHeight w:val="218"/>
        </w:trPr>
        <w:tc>
          <w:tcPr>
            <w:tcW w:w="60" w:type="dxa"/>
            <w:vAlign w:val="bottom"/>
          </w:tcPr>
          <w:p>
            <w:pPr>
              <w:spacing w:after="0"/>
              <w:rPr>
                <w:sz w:val="18"/>
                <w:szCs w:val="18"/>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Base Salary</w:t>
            </w:r>
          </w:p>
        </w:tc>
        <w:tc>
          <w:tcPr>
            <w:tcW w:w="860" w:type="dxa"/>
            <w:vAlign w:val="bottom"/>
          </w:tcPr>
          <w:p>
            <w:pPr>
              <w:jc w:val="right"/>
              <w:spacing w:after="0"/>
              <w:rPr>
                <w:sz w:val="20"/>
                <w:szCs w:val="20"/>
                <w:color w:val="auto"/>
              </w:rPr>
            </w:pPr>
            <w:r>
              <w:rPr>
                <w:rFonts w:ascii="Arial" w:cs="Arial" w:eastAsia="Arial" w:hAnsi="Arial"/>
                <w:sz w:val="16"/>
                <w:szCs w:val="16"/>
                <w:color w:val="202020"/>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529,000</w:t>
            </w:r>
          </w:p>
        </w:tc>
        <w:tc>
          <w:tcPr>
            <w:tcW w:w="380" w:type="dxa"/>
            <w:vAlign w:val="bottom"/>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529,000</w:t>
            </w:r>
          </w:p>
        </w:tc>
        <w:tc>
          <w:tcPr>
            <w:tcW w:w="880" w:type="dxa"/>
            <w:vAlign w:val="bottom"/>
          </w:tcPr>
          <w:p>
            <w:pPr>
              <w:jc w:val="right"/>
              <w:spacing w:after="0"/>
              <w:rPr>
                <w:sz w:val="20"/>
                <w:szCs w:val="20"/>
                <w:color w:val="auto"/>
              </w:rPr>
            </w:pPr>
            <w:r>
              <w:rPr>
                <w:rFonts w:ascii="Arial" w:cs="Arial" w:eastAsia="Arial" w:hAnsi="Arial"/>
                <w:sz w:val="16"/>
                <w:szCs w:val="16"/>
                <w:color w:val="202020"/>
              </w:rPr>
              <w:t>$</w:t>
            </w: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jc w:val="right"/>
              <w:spacing w:after="0"/>
              <w:rPr>
                <w:sz w:val="20"/>
                <w:szCs w:val="20"/>
                <w:color w:val="auto"/>
              </w:rPr>
            </w:pPr>
            <w:r>
              <w:rPr>
                <w:rFonts w:ascii="Arial" w:cs="Arial" w:eastAsia="Arial" w:hAnsi="Arial"/>
                <w:sz w:val="16"/>
                <w:szCs w:val="16"/>
                <w:color w:val="202020"/>
              </w:rPr>
              <w:t>$</w:t>
            </w:r>
          </w:p>
        </w:tc>
        <w:tc>
          <w:tcPr>
            <w:tcW w:w="780" w:type="dxa"/>
            <w:vAlign w:val="bottom"/>
          </w:tcPr>
          <w:p>
            <w:pPr>
              <w:jc w:val="right"/>
              <w:spacing w:after="0"/>
              <w:rPr>
                <w:sz w:val="20"/>
                <w:szCs w:val="20"/>
                <w:color w:val="auto"/>
              </w:rPr>
            </w:pPr>
            <w:r>
              <w:rPr>
                <w:rFonts w:ascii="Arial" w:cs="Arial" w:eastAsia="Arial" w:hAnsi="Arial"/>
                <w:sz w:val="16"/>
                <w:szCs w:val="16"/>
                <w:color w:val="202020"/>
                <w:w w:val="98"/>
              </w:rPr>
              <w:t>1,058,000</w:t>
            </w:r>
          </w:p>
        </w:tc>
      </w:tr>
      <w:tr>
        <w:trPr>
          <w:trHeight w:val="221"/>
        </w:trPr>
        <w:tc>
          <w:tcPr>
            <w:tcW w:w="60" w:type="dxa"/>
            <w:vAlign w:val="bottom"/>
            <w:shd w:val="clear" w:color="auto" w:fill="E9E9E9"/>
          </w:tcPr>
          <w:p>
            <w:pPr>
              <w:spacing w:after="0"/>
              <w:rPr>
                <w:sz w:val="19"/>
                <w:szCs w:val="19"/>
                <w:color w:val="auto"/>
              </w:rPr>
            </w:pPr>
          </w:p>
        </w:tc>
        <w:tc>
          <w:tcPr>
            <w:tcW w:w="3360" w:type="dxa"/>
            <w:vAlign w:val="bottom"/>
            <w:gridSpan w:val="6"/>
            <w:shd w:val="clear" w:color="auto" w:fill="E9E9E9"/>
          </w:tcPr>
          <w:p>
            <w:pPr>
              <w:ind w:left="160"/>
              <w:spacing w:after="0"/>
              <w:rPr>
                <w:sz w:val="20"/>
                <w:szCs w:val="20"/>
                <w:color w:val="auto"/>
              </w:rPr>
            </w:pPr>
            <w:r>
              <w:rPr>
                <w:rFonts w:ascii="Arial" w:cs="Arial" w:eastAsia="Arial" w:hAnsi="Arial"/>
                <w:sz w:val="16"/>
                <w:szCs w:val="16"/>
                <w:color w:val="202020"/>
              </w:rPr>
              <w:t>Bonus</w:t>
            </w:r>
          </w:p>
        </w:tc>
        <w:tc>
          <w:tcPr>
            <w:tcW w:w="860" w:type="dxa"/>
            <w:vAlign w:val="bottom"/>
            <w:shd w:val="clear" w:color="auto" w:fill="E9E9E9"/>
          </w:tcPr>
          <w:p>
            <w:pPr>
              <w:spacing w:after="0"/>
              <w:rPr>
                <w:sz w:val="19"/>
                <w:szCs w:val="19"/>
                <w:color w:val="auto"/>
              </w:rPr>
            </w:pPr>
          </w:p>
        </w:tc>
        <w:tc>
          <w:tcPr>
            <w:tcW w:w="30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shd w:val="clear" w:color="auto" w:fill="E9E9E9"/>
          </w:tcPr>
          <w:p>
            <w:pPr>
              <w:spacing w:after="0"/>
              <w:rPr>
                <w:sz w:val="19"/>
                <w:szCs w:val="19"/>
                <w:color w:val="auto"/>
              </w:rPr>
            </w:pPr>
          </w:p>
        </w:tc>
        <w:tc>
          <w:tcPr>
            <w:tcW w:w="84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shd w:val="clear" w:color="auto" w:fill="E9E9E9"/>
          </w:tcPr>
          <w:p>
            <w:pPr>
              <w:spacing w:after="0"/>
              <w:rPr>
                <w:sz w:val="19"/>
                <w:szCs w:val="19"/>
                <w:color w:val="auto"/>
              </w:rPr>
            </w:pPr>
          </w:p>
        </w:tc>
        <w:tc>
          <w:tcPr>
            <w:tcW w:w="3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shd w:val="clear" w:color="auto" w:fill="E9E9E9"/>
          </w:tcPr>
          <w:p>
            <w:pPr>
              <w:spacing w:after="0"/>
              <w:rPr>
                <w:sz w:val="19"/>
                <w:szCs w:val="19"/>
                <w:color w:val="auto"/>
              </w:rPr>
            </w:pP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357,075</w:t>
            </w:r>
          </w:p>
        </w:tc>
      </w:tr>
      <w:tr>
        <w:trPr>
          <w:trHeight w:val="220"/>
        </w:trPr>
        <w:tc>
          <w:tcPr>
            <w:tcW w:w="60" w:type="dxa"/>
            <w:vAlign w:val="bottom"/>
          </w:tcPr>
          <w:p>
            <w:pPr>
              <w:spacing w:after="0"/>
              <w:rPr>
                <w:sz w:val="19"/>
                <w:szCs w:val="19"/>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Equity Awards Acceleration</w:t>
            </w:r>
            <w:r>
              <w:rPr>
                <w:rFonts w:ascii="Arial" w:cs="Arial" w:eastAsia="Arial" w:hAnsi="Arial"/>
                <w:sz w:val="19"/>
                <w:szCs w:val="19"/>
                <w:color w:val="202020"/>
                <w:vertAlign w:val="superscript"/>
              </w:rPr>
              <w:t>(3)</w:t>
            </w:r>
          </w:p>
        </w:tc>
        <w:tc>
          <w:tcPr>
            <w:tcW w:w="860" w:type="dxa"/>
            <w:vAlign w:val="bottom"/>
          </w:tcPr>
          <w:p>
            <w:pPr>
              <w:spacing w:after="0"/>
              <w:rPr>
                <w:sz w:val="19"/>
                <w:szCs w:val="19"/>
                <w:color w:val="auto"/>
              </w:rPr>
            </w:pP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380" w:type="dxa"/>
            <w:vAlign w:val="bottom"/>
          </w:tcPr>
          <w:p>
            <w:pPr>
              <w:spacing w:after="0"/>
              <w:rPr>
                <w:sz w:val="19"/>
                <w:szCs w:val="19"/>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880" w:type="dxa"/>
            <w:vAlign w:val="bottom"/>
          </w:tcPr>
          <w:p>
            <w:pPr>
              <w:spacing w:after="0"/>
              <w:rPr>
                <w:sz w:val="19"/>
                <w:szCs w:val="19"/>
                <w:color w:val="auto"/>
              </w:rPr>
            </w:pP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202020"/>
              </w:rPr>
              <w:t>667,755</w:t>
            </w:r>
          </w:p>
        </w:tc>
      </w:tr>
      <w:tr>
        <w:trPr>
          <w:trHeight w:val="238"/>
        </w:trPr>
        <w:tc>
          <w:tcPr>
            <w:tcW w:w="60" w:type="dxa"/>
            <w:vAlign w:val="bottom"/>
            <w:tcBorders>
              <w:bottom w:val="single" w:sz="8" w:color="E9E9E9"/>
            </w:tcBorders>
            <w:shd w:val="clear" w:color="auto" w:fill="E9E9E9"/>
          </w:tcPr>
          <w:p>
            <w:pPr>
              <w:spacing w:after="0"/>
              <w:rPr>
                <w:sz w:val="20"/>
                <w:szCs w:val="20"/>
                <w:color w:val="auto"/>
              </w:rPr>
            </w:pPr>
          </w:p>
        </w:tc>
        <w:tc>
          <w:tcPr>
            <w:tcW w:w="3360" w:type="dxa"/>
            <w:vAlign w:val="bottom"/>
            <w:tcBorders>
              <w:bottom w:val="single" w:sz="8" w:color="E9E9E9"/>
            </w:tcBorders>
            <w:gridSpan w:val="6"/>
            <w:shd w:val="clear" w:color="auto" w:fill="E9E9E9"/>
          </w:tcPr>
          <w:p>
            <w:pPr>
              <w:ind w:left="160"/>
              <w:spacing w:after="0"/>
              <w:rPr>
                <w:sz w:val="20"/>
                <w:szCs w:val="20"/>
                <w:color w:val="auto"/>
              </w:rPr>
            </w:pPr>
            <w:r>
              <w:rPr>
                <w:rFonts w:ascii="Arial" w:cs="Arial" w:eastAsia="Arial" w:hAnsi="Arial"/>
                <w:sz w:val="16"/>
                <w:szCs w:val="16"/>
                <w:color w:val="202020"/>
              </w:rPr>
              <w:t>Continuation of Health Benefits</w:t>
            </w:r>
          </w:p>
        </w:tc>
        <w:tc>
          <w:tcPr>
            <w:tcW w:w="860" w:type="dxa"/>
            <w:vAlign w:val="bottom"/>
            <w:tcBorders>
              <w:bottom w:val="single" w:sz="8" w:color="202020"/>
            </w:tcBorders>
            <w:shd w:val="clear" w:color="auto" w:fill="E9E9E9"/>
          </w:tcPr>
          <w:p>
            <w:pPr>
              <w:spacing w:after="0"/>
              <w:rPr>
                <w:sz w:val="20"/>
                <w:szCs w:val="20"/>
                <w:color w:val="auto"/>
              </w:rPr>
            </w:pPr>
          </w:p>
        </w:tc>
        <w:tc>
          <w:tcPr>
            <w:tcW w:w="30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62,406</w:t>
            </w:r>
          </w:p>
        </w:tc>
        <w:tc>
          <w:tcPr>
            <w:tcW w:w="380" w:type="dxa"/>
            <w:vAlign w:val="bottom"/>
            <w:tcBorders>
              <w:bottom w:val="single" w:sz="8" w:color="202020"/>
            </w:tcBorders>
            <w:shd w:val="clear" w:color="auto" w:fill="E9E9E9"/>
          </w:tcPr>
          <w:p>
            <w:pPr>
              <w:spacing w:after="0"/>
              <w:rPr>
                <w:sz w:val="20"/>
                <w:szCs w:val="20"/>
                <w:color w:val="auto"/>
              </w:rPr>
            </w:pPr>
          </w:p>
        </w:tc>
        <w:tc>
          <w:tcPr>
            <w:tcW w:w="84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62,406</w:t>
            </w:r>
          </w:p>
        </w:tc>
        <w:tc>
          <w:tcPr>
            <w:tcW w:w="880" w:type="dxa"/>
            <w:vAlign w:val="bottom"/>
            <w:tcBorders>
              <w:bottom w:val="single" w:sz="8" w:color="202020"/>
            </w:tcBorders>
            <w:shd w:val="clear" w:color="auto" w:fill="E9E9E9"/>
          </w:tcPr>
          <w:p>
            <w:pPr>
              <w:spacing w:after="0"/>
              <w:rPr>
                <w:sz w:val="20"/>
                <w:szCs w:val="20"/>
                <w:color w:val="auto"/>
              </w:rPr>
            </w:pPr>
          </w:p>
        </w:tc>
        <w:tc>
          <w:tcPr>
            <w:tcW w:w="320" w:type="dxa"/>
            <w:vAlign w:val="bottom"/>
            <w:tcBorders>
              <w:bottom w:val="single" w:sz="8" w:color="202020"/>
            </w:tcBorders>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Borders>
              <w:bottom w:val="single" w:sz="8" w:color="202020"/>
            </w:tcBorders>
            <w:shd w:val="clear" w:color="auto" w:fill="E9E9E9"/>
          </w:tcPr>
          <w:p>
            <w:pPr>
              <w:spacing w:after="0"/>
              <w:rPr>
                <w:sz w:val="20"/>
                <w:szCs w:val="20"/>
                <w:color w:val="auto"/>
              </w:rPr>
            </w:pPr>
          </w:p>
        </w:tc>
        <w:tc>
          <w:tcPr>
            <w:tcW w:w="7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62,406</w:t>
            </w:r>
          </w:p>
        </w:tc>
      </w:tr>
      <w:tr>
        <w:trPr>
          <w:trHeight w:val="208"/>
        </w:trPr>
        <w:tc>
          <w:tcPr>
            <w:tcW w:w="60" w:type="dxa"/>
            <w:vAlign w:val="bottom"/>
          </w:tcPr>
          <w:p>
            <w:pPr>
              <w:spacing w:after="0"/>
              <w:rPr>
                <w:sz w:val="18"/>
                <w:szCs w:val="18"/>
                <w:color w:val="auto"/>
              </w:rPr>
            </w:pPr>
          </w:p>
        </w:tc>
        <w:tc>
          <w:tcPr>
            <w:tcW w:w="3360" w:type="dxa"/>
            <w:vAlign w:val="bottom"/>
            <w:gridSpan w:val="6"/>
          </w:tcPr>
          <w:p>
            <w:pPr>
              <w:ind w:left="160"/>
              <w:spacing w:after="0"/>
              <w:rPr>
                <w:sz w:val="20"/>
                <w:szCs w:val="20"/>
                <w:color w:val="auto"/>
              </w:rPr>
            </w:pPr>
            <w:r>
              <w:rPr>
                <w:rFonts w:ascii="Arial" w:cs="Arial" w:eastAsia="Arial" w:hAnsi="Arial"/>
                <w:sz w:val="16"/>
                <w:szCs w:val="16"/>
                <w:color w:val="202020"/>
              </w:rPr>
              <w:t>Total</w:t>
            </w:r>
          </w:p>
        </w:tc>
        <w:tc>
          <w:tcPr>
            <w:tcW w:w="860" w:type="dxa"/>
            <w:vAlign w:val="bottom"/>
          </w:tcPr>
          <w:p>
            <w:pPr>
              <w:jc w:val="right"/>
              <w:spacing w:after="0"/>
              <w:rPr>
                <w:sz w:val="20"/>
                <w:szCs w:val="20"/>
                <w:color w:val="auto"/>
              </w:rPr>
            </w:pPr>
            <w:r>
              <w:rPr>
                <w:rFonts w:ascii="Arial" w:cs="Arial" w:eastAsia="Arial" w:hAnsi="Arial"/>
                <w:sz w:val="16"/>
                <w:szCs w:val="16"/>
                <w:color w:val="202020"/>
              </w:rPr>
              <w:t>$</w:t>
            </w:r>
          </w:p>
        </w:tc>
        <w:tc>
          <w:tcPr>
            <w:tcW w:w="300" w:type="dxa"/>
            <w:vAlign w:val="bottom"/>
          </w:tcPr>
          <w:p>
            <w:pPr>
              <w:jc w:val="right"/>
              <w:ind w:right="40"/>
              <w:spacing w:after="0"/>
              <w:rPr>
                <w:sz w:val="20"/>
                <w:szCs w:val="20"/>
                <w:color w:val="auto"/>
              </w:rPr>
            </w:pPr>
            <w:r>
              <w:rPr>
                <w:rFonts w:ascii="Arial" w:cs="Arial" w:eastAsia="Arial" w:hAnsi="Arial"/>
                <w:sz w:val="16"/>
                <w:szCs w:val="16"/>
                <w:color w:val="202020"/>
                <w:w w:val="99"/>
              </w:rPr>
              <w:t>—</w:t>
            </w:r>
          </w:p>
        </w:tc>
        <w:tc>
          <w:tcPr>
            <w:tcW w:w="300" w:type="dxa"/>
            <w:vAlign w:val="bottom"/>
          </w:tcPr>
          <w:p>
            <w:pPr>
              <w:ind w:left="200"/>
              <w:spacing w:after="0"/>
              <w:rPr>
                <w:sz w:val="20"/>
                <w:szCs w:val="20"/>
                <w:color w:val="auto"/>
              </w:rPr>
            </w:pPr>
            <w:r>
              <w:rPr>
                <w:rFonts w:ascii="Arial" w:cs="Arial" w:eastAsia="Arial" w:hAnsi="Arial"/>
                <w:sz w:val="16"/>
                <w:szCs w:val="16"/>
                <w:color w:val="202020"/>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591,406</w:t>
            </w:r>
          </w:p>
        </w:tc>
        <w:tc>
          <w:tcPr>
            <w:tcW w:w="380" w:type="dxa"/>
            <w:vAlign w:val="bottom"/>
          </w:tcPr>
          <w:p>
            <w:pPr>
              <w:ind w:left="280"/>
              <w:spacing w:after="0"/>
              <w:rPr>
                <w:sz w:val="20"/>
                <w:szCs w:val="20"/>
                <w:color w:val="auto"/>
              </w:rPr>
            </w:pPr>
            <w:r>
              <w:rPr>
                <w:rFonts w:ascii="Arial" w:cs="Arial" w:eastAsia="Arial" w:hAnsi="Arial"/>
                <w:sz w:val="16"/>
                <w:szCs w:val="16"/>
                <w:color w:val="202020"/>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202020"/>
              </w:rPr>
              <w:t>591,406</w:t>
            </w:r>
          </w:p>
        </w:tc>
        <w:tc>
          <w:tcPr>
            <w:tcW w:w="880" w:type="dxa"/>
            <w:vAlign w:val="bottom"/>
          </w:tcPr>
          <w:p>
            <w:pPr>
              <w:jc w:val="right"/>
              <w:spacing w:after="0"/>
              <w:rPr>
                <w:sz w:val="20"/>
                <w:szCs w:val="20"/>
                <w:color w:val="auto"/>
              </w:rPr>
            </w:pPr>
            <w:r>
              <w:rPr>
                <w:rFonts w:ascii="Arial" w:cs="Arial" w:eastAsia="Arial" w:hAnsi="Arial"/>
                <w:sz w:val="16"/>
                <w:szCs w:val="16"/>
                <w:color w:val="202020"/>
              </w:rPr>
              <w:t>$</w:t>
            </w:r>
          </w:p>
        </w:tc>
        <w:tc>
          <w:tcPr>
            <w:tcW w:w="3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1200" w:type="dxa"/>
            <w:vAlign w:val="bottom"/>
          </w:tcPr>
          <w:p>
            <w:pPr>
              <w:jc w:val="right"/>
              <w:spacing w:after="0"/>
              <w:rPr>
                <w:sz w:val="20"/>
                <w:szCs w:val="20"/>
                <w:color w:val="auto"/>
              </w:rPr>
            </w:pPr>
            <w:r>
              <w:rPr>
                <w:rFonts w:ascii="Arial" w:cs="Arial" w:eastAsia="Arial" w:hAnsi="Arial"/>
                <w:sz w:val="16"/>
                <w:szCs w:val="16"/>
                <w:color w:val="202020"/>
              </w:rPr>
              <w:t>$</w:t>
            </w:r>
          </w:p>
        </w:tc>
        <w:tc>
          <w:tcPr>
            <w:tcW w:w="780" w:type="dxa"/>
            <w:vAlign w:val="bottom"/>
          </w:tcPr>
          <w:p>
            <w:pPr>
              <w:jc w:val="right"/>
              <w:spacing w:after="0"/>
              <w:rPr>
                <w:sz w:val="20"/>
                <w:szCs w:val="20"/>
                <w:color w:val="auto"/>
              </w:rPr>
            </w:pPr>
            <w:r>
              <w:rPr>
                <w:rFonts w:ascii="Arial" w:cs="Arial" w:eastAsia="Arial" w:hAnsi="Arial"/>
                <w:sz w:val="16"/>
                <w:szCs w:val="16"/>
                <w:color w:val="202020"/>
                <w:w w:val="98"/>
              </w:rPr>
              <w:t>2,145,236</w:t>
            </w:r>
          </w:p>
        </w:tc>
      </w:tr>
      <w:tr>
        <w:trPr>
          <w:trHeight w:val="33"/>
        </w:trPr>
        <w:tc>
          <w:tcPr>
            <w:tcW w:w="60" w:type="dxa"/>
            <w:vAlign w:val="bottom"/>
            <w:tcBorders>
              <w:bottom w:val="single" w:sz="8" w:color="202020"/>
            </w:tcBorders>
          </w:tcPr>
          <w:p>
            <w:pPr>
              <w:spacing w:after="0"/>
              <w:rPr>
                <w:sz w:val="2"/>
                <w:szCs w:val="2"/>
                <w:color w:val="auto"/>
              </w:rPr>
            </w:pPr>
          </w:p>
        </w:tc>
        <w:tc>
          <w:tcPr>
            <w:tcW w:w="920" w:type="dxa"/>
            <w:vAlign w:val="bottom"/>
            <w:tcBorders>
              <w:bottom w:val="single" w:sz="8" w:color="202020"/>
            </w:tcBorders>
          </w:tcPr>
          <w:p>
            <w:pPr>
              <w:spacing w:after="0"/>
              <w:rPr>
                <w:sz w:val="2"/>
                <w:szCs w:val="2"/>
                <w:color w:val="auto"/>
              </w:rPr>
            </w:pPr>
          </w:p>
        </w:tc>
        <w:tc>
          <w:tcPr>
            <w:tcW w:w="440" w:type="dxa"/>
            <w:vAlign w:val="bottom"/>
            <w:tcBorders>
              <w:bottom w:val="single" w:sz="8" w:color="202020"/>
            </w:tcBorders>
          </w:tcPr>
          <w:p>
            <w:pPr>
              <w:spacing w:after="0"/>
              <w:rPr>
                <w:sz w:val="2"/>
                <w:szCs w:val="2"/>
                <w:color w:val="auto"/>
              </w:rPr>
            </w:pPr>
          </w:p>
        </w:tc>
        <w:tc>
          <w:tcPr>
            <w:tcW w:w="40" w:type="dxa"/>
            <w:vAlign w:val="bottom"/>
            <w:tcBorders>
              <w:bottom w:val="single" w:sz="8" w:color="202020"/>
            </w:tcBorders>
          </w:tcPr>
          <w:p>
            <w:pPr>
              <w:spacing w:after="0"/>
              <w:rPr>
                <w:sz w:val="2"/>
                <w:szCs w:val="2"/>
                <w:color w:val="auto"/>
              </w:rPr>
            </w:pPr>
          </w:p>
        </w:tc>
        <w:tc>
          <w:tcPr>
            <w:tcW w:w="120" w:type="dxa"/>
            <w:vAlign w:val="bottom"/>
            <w:tcBorders>
              <w:bottom w:val="single" w:sz="8" w:color="202020"/>
            </w:tcBorders>
          </w:tcPr>
          <w:p>
            <w:pPr>
              <w:spacing w:after="0"/>
              <w:rPr>
                <w:sz w:val="2"/>
                <w:szCs w:val="2"/>
                <w:color w:val="auto"/>
              </w:rPr>
            </w:pPr>
          </w:p>
        </w:tc>
        <w:tc>
          <w:tcPr>
            <w:tcW w:w="520" w:type="dxa"/>
            <w:vAlign w:val="bottom"/>
            <w:tcBorders>
              <w:bottom w:val="single" w:sz="8" w:color="202020"/>
            </w:tcBorders>
          </w:tcPr>
          <w:p>
            <w:pPr>
              <w:spacing w:after="0"/>
              <w:rPr>
                <w:sz w:val="2"/>
                <w:szCs w:val="2"/>
                <w:color w:val="auto"/>
              </w:rPr>
            </w:pPr>
          </w:p>
        </w:tc>
        <w:tc>
          <w:tcPr>
            <w:tcW w:w="1320" w:type="dxa"/>
            <w:vAlign w:val="bottom"/>
            <w:tcBorders>
              <w:bottom w:val="single" w:sz="8" w:color="202020"/>
            </w:tcBorders>
          </w:tcPr>
          <w:p>
            <w:pPr>
              <w:spacing w:after="0"/>
              <w:rPr>
                <w:sz w:val="2"/>
                <w:szCs w:val="2"/>
                <w:color w:val="auto"/>
              </w:rPr>
            </w:pPr>
          </w:p>
        </w:tc>
        <w:tc>
          <w:tcPr>
            <w:tcW w:w="860" w:type="dxa"/>
            <w:vAlign w:val="bottom"/>
            <w:tcBorders>
              <w:bottom w:val="single" w:sz="8" w:color="202020"/>
            </w:tcBorders>
          </w:tcPr>
          <w:p>
            <w:pPr>
              <w:spacing w:after="0"/>
              <w:rPr>
                <w:sz w:val="2"/>
                <w:szCs w:val="2"/>
                <w:color w:val="auto"/>
              </w:rPr>
            </w:pPr>
          </w:p>
        </w:tc>
        <w:tc>
          <w:tcPr>
            <w:tcW w:w="300" w:type="dxa"/>
            <w:vAlign w:val="bottom"/>
            <w:tcBorders>
              <w:bottom w:val="single" w:sz="8" w:color="202020"/>
            </w:tcBorders>
          </w:tcPr>
          <w:p>
            <w:pPr>
              <w:spacing w:after="0"/>
              <w:rPr>
                <w:sz w:val="2"/>
                <w:szCs w:val="2"/>
                <w:color w:val="auto"/>
              </w:rPr>
            </w:pPr>
          </w:p>
        </w:tc>
        <w:tc>
          <w:tcPr>
            <w:tcW w:w="300" w:type="dxa"/>
            <w:vAlign w:val="bottom"/>
            <w:tcBorders>
              <w:bottom w:val="single" w:sz="8" w:color="202020"/>
            </w:tcBorders>
          </w:tcPr>
          <w:p>
            <w:pPr>
              <w:spacing w:after="0"/>
              <w:rPr>
                <w:sz w:val="2"/>
                <w:szCs w:val="2"/>
                <w:color w:val="auto"/>
              </w:rPr>
            </w:pPr>
          </w:p>
        </w:tc>
        <w:tc>
          <w:tcPr>
            <w:tcW w:w="840" w:type="dxa"/>
            <w:vAlign w:val="bottom"/>
            <w:tcBorders>
              <w:bottom w:val="single" w:sz="8" w:color="202020"/>
            </w:tcBorders>
          </w:tcPr>
          <w:p>
            <w:pPr>
              <w:spacing w:after="0"/>
              <w:rPr>
                <w:sz w:val="2"/>
                <w:szCs w:val="2"/>
                <w:color w:val="auto"/>
              </w:rPr>
            </w:pPr>
          </w:p>
        </w:tc>
        <w:tc>
          <w:tcPr>
            <w:tcW w:w="380" w:type="dxa"/>
            <w:vAlign w:val="bottom"/>
            <w:tcBorders>
              <w:bottom w:val="single" w:sz="8" w:color="202020"/>
            </w:tcBorders>
          </w:tcPr>
          <w:p>
            <w:pPr>
              <w:spacing w:after="0"/>
              <w:rPr>
                <w:sz w:val="2"/>
                <w:szCs w:val="2"/>
                <w:color w:val="auto"/>
              </w:rPr>
            </w:pPr>
          </w:p>
        </w:tc>
        <w:tc>
          <w:tcPr>
            <w:tcW w:w="840" w:type="dxa"/>
            <w:vAlign w:val="bottom"/>
            <w:tcBorders>
              <w:bottom w:val="single" w:sz="8" w:color="202020"/>
            </w:tcBorders>
          </w:tcPr>
          <w:p>
            <w:pPr>
              <w:spacing w:after="0"/>
              <w:rPr>
                <w:sz w:val="2"/>
                <w:szCs w:val="2"/>
                <w:color w:val="auto"/>
              </w:rPr>
            </w:pPr>
          </w:p>
        </w:tc>
        <w:tc>
          <w:tcPr>
            <w:tcW w:w="880" w:type="dxa"/>
            <w:vAlign w:val="bottom"/>
            <w:tcBorders>
              <w:bottom w:val="single" w:sz="8" w:color="202020"/>
            </w:tcBorders>
          </w:tcPr>
          <w:p>
            <w:pPr>
              <w:spacing w:after="0"/>
              <w:rPr>
                <w:sz w:val="2"/>
                <w:szCs w:val="2"/>
                <w:color w:val="auto"/>
              </w:rPr>
            </w:pPr>
          </w:p>
        </w:tc>
        <w:tc>
          <w:tcPr>
            <w:tcW w:w="320" w:type="dxa"/>
            <w:vAlign w:val="bottom"/>
            <w:tcBorders>
              <w:bottom w:val="single" w:sz="8" w:color="202020"/>
            </w:tcBorders>
          </w:tcPr>
          <w:p>
            <w:pPr>
              <w:spacing w:after="0"/>
              <w:rPr>
                <w:sz w:val="2"/>
                <w:szCs w:val="2"/>
                <w:color w:val="auto"/>
              </w:rPr>
            </w:pPr>
          </w:p>
        </w:tc>
        <w:tc>
          <w:tcPr>
            <w:tcW w:w="1200" w:type="dxa"/>
            <w:vAlign w:val="bottom"/>
            <w:tcBorders>
              <w:bottom w:val="single" w:sz="8" w:color="202020"/>
            </w:tcBorders>
          </w:tcPr>
          <w:p>
            <w:pPr>
              <w:spacing w:after="0"/>
              <w:rPr>
                <w:sz w:val="2"/>
                <w:szCs w:val="2"/>
                <w:color w:val="auto"/>
              </w:rPr>
            </w:pPr>
          </w:p>
        </w:tc>
        <w:tc>
          <w:tcPr>
            <w:tcW w:w="780" w:type="dxa"/>
            <w:vAlign w:val="bottom"/>
            <w:tcBorders>
              <w:bottom w:val="single" w:sz="8" w:color="2020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-1216025</wp:posOffset>
            </wp:positionV>
            <wp:extent cx="6450330" cy="1739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66">
                      <a:extLst>
                        <a:ext uri="{28A0092B-C50C-407E-A947-70E740481C1C}"/>
                      </a:extLst>
                    </a:blip>
                    <a:srcRect/>
                    <a:stretch>
                      <a:fillRect/>
                    </a:stretch>
                  </pic:blipFill>
                  <pic:spPr bwMode="auto">
                    <a:xfrm>
                      <a:off x="0" y="0"/>
                      <a:ext cx="6450330" cy="173990"/>
                    </a:xfrm>
                    <a:prstGeom prst="rect">
                      <a:avLst/>
                    </a:prstGeom>
                    <a:noFill/>
                  </pic:spPr>
                </pic:pic>
              </a:graphicData>
            </a:graphic>
          </wp:anchor>
        </w:drawing>
      </w:r>
    </w:p>
    <w:p>
      <w:pPr>
        <w:sectPr>
          <w:pgSz w:w="11880" w:h="15480" w:orient="portrait"/>
          <w:cols w:equalWidth="0" w:num="1">
            <w:col w:w="10140"/>
          </w:cols>
          <w:pgMar w:left="880" w:top="544" w:right="860" w:bottom="96" w:gutter="0" w:footer="0" w:header="0"/>
        </w:sectPr>
      </w:pPr>
    </w:p>
    <w:p>
      <w:pPr>
        <w:spacing w:after="0" w:line="24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42 |</w:t>
        <w:tab/>
        <w:t>Celldex Therapeutics</w:t>
      </w:r>
    </w:p>
    <w:p>
      <w:pPr>
        <w:sectPr>
          <w:pgSz w:w="11880" w:h="15480" w:orient="portrait"/>
          <w:cols w:equalWidth="0" w:num="1">
            <w:col w:w="10140"/>
          </w:cols>
          <w:pgMar w:left="880" w:top="544" w:right="860" w:bottom="96" w:gutter="0" w:footer="0" w:header="0"/>
          <w:type w:val="continuous"/>
        </w:sectPr>
      </w:pPr>
    </w:p>
    <w:bookmarkStart w:id="46" w:name="page47"/>
    <w:bookmarkEnd w:id="46"/>
    <w:p>
      <w:pPr>
        <w:ind w:left="8300"/>
        <w:spacing w:after="0"/>
        <w:rPr>
          <w:sz w:val="20"/>
          <w:szCs w:val="20"/>
          <w:color w:val="auto"/>
        </w:rPr>
      </w:pPr>
      <w:r>
        <w:rPr>
          <w:rFonts w:ascii="Arial" w:cs="Arial" w:eastAsia="Arial" w:hAnsi="Arial"/>
          <w:sz w:val="16"/>
          <w:szCs w:val="16"/>
          <w:color w:val="202020"/>
        </w:rPr>
        <w:t>Executive Compensation</w:t>
      </w:r>
    </w:p>
    <w:p>
      <w:pPr>
        <w:spacing w:after="0" w:line="215" w:lineRule="exact"/>
        <w:rPr>
          <w:sz w:val="20"/>
          <w:szCs w:val="20"/>
          <w:color w:val="auto"/>
        </w:rPr>
      </w:pPr>
    </w:p>
    <w:p>
      <w:pPr>
        <w:ind w:left="400" w:right="20" w:hanging="399"/>
        <w:spacing w:after="0" w:line="276" w:lineRule="auto"/>
        <w:tabs>
          <w:tab w:leader="none" w:pos="400" w:val="left"/>
        </w:tabs>
        <w:numPr>
          <w:ilvl w:val="0"/>
          <w:numId w:val="28"/>
        </w:numPr>
        <w:rPr>
          <w:rFonts w:ascii="Arial" w:cs="Arial" w:eastAsia="Arial" w:hAnsi="Arial"/>
          <w:sz w:val="16"/>
          <w:szCs w:val="16"/>
          <w:color w:val="202020"/>
        </w:rPr>
      </w:pPr>
      <w:r>
        <w:rPr>
          <w:rFonts w:ascii="Arial" w:cs="Arial" w:eastAsia="Arial" w:hAnsi="Arial"/>
          <w:sz w:val="16"/>
          <w:szCs w:val="16"/>
          <w:color w:val="202020"/>
        </w:rPr>
        <w:t>Upon termination without cause or resignation for good reason, the employee is generally entitled to a lump sum payment equal to 100% (200% in the case of Mr. Marucci only) of the employee’s then annual base salary, continuation of certain employee benefits and 25% accelerated vesting of any unvested equity awards (in the case of Mr. Marucci, Dr. Keler and Ms. Crowley).</w:t>
      </w:r>
    </w:p>
    <w:p>
      <w:pPr>
        <w:spacing w:after="0" w:line="31" w:lineRule="exact"/>
        <w:rPr>
          <w:rFonts w:ascii="Arial" w:cs="Arial" w:eastAsia="Arial" w:hAnsi="Arial"/>
          <w:sz w:val="16"/>
          <w:szCs w:val="16"/>
          <w:color w:val="202020"/>
        </w:rPr>
      </w:pPr>
    </w:p>
    <w:p>
      <w:pPr>
        <w:ind w:left="400" w:right="20" w:hanging="399"/>
        <w:spacing w:after="0" w:line="263" w:lineRule="auto"/>
        <w:tabs>
          <w:tab w:leader="none" w:pos="400" w:val="left"/>
        </w:tabs>
        <w:numPr>
          <w:ilvl w:val="0"/>
          <w:numId w:val="28"/>
        </w:numPr>
        <w:rPr>
          <w:rFonts w:ascii="Arial" w:cs="Arial" w:eastAsia="Arial" w:hAnsi="Arial"/>
          <w:sz w:val="16"/>
          <w:szCs w:val="16"/>
          <w:color w:val="202020"/>
        </w:rPr>
      </w:pPr>
      <w:r>
        <w:rPr>
          <w:rFonts w:ascii="Arial" w:cs="Arial" w:eastAsia="Arial" w:hAnsi="Arial"/>
          <w:sz w:val="16"/>
          <w:szCs w:val="16"/>
          <w:color w:val="202020"/>
        </w:rPr>
        <w:t>The employee is generally entitled to accelerated vesting of any unvested equity awards (as defined in the employment agreement) and a lump sum cash payment equal to twenty-four (24) times the executive’s highest monthly base compensation (not including bonus) during the twenty-four month period preceding the date of termination plus 150% (200% in the case of Mr. Marucci only) of the highest one-year annual bonus actually received by the executive during the two full fiscal years preceding the date of termination in the event of termination without cause or resignation “for good reason” by the executive within one year immediately following a change in control (as defined in the employment agreement) and continuation of certain employee benefits.</w:t>
      </w:r>
    </w:p>
    <w:p>
      <w:pPr>
        <w:spacing w:after="0" w:line="43" w:lineRule="exact"/>
        <w:rPr>
          <w:rFonts w:ascii="Arial" w:cs="Arial" w:eastAsia="Arial" w:hAnsi="Arial"/>
          <w:sz w:val="16"/>
          <w:szCs w:val="16"/>
          <w:color w:val="202020"/>
        </w:rPr>
      </w:pPr>
    </w:p>
    <w:p>
      <w:pPr>
        <w:ind w:left="400" w:right="60" w:hanging="399"/>
        <w:spacing w:after="0" w:line="297" w:lineRule="auto"/>
        <w:tabs>
          <w:tab w:leader="none" w:pos="400" w:val="left"/>
        </w:tabs>
        <w:numPr>
          <w:ilvl w:val="0"/>
          <w:numId w:val="28"/>
        </w:numPr>
        <w:rPr>
          <w:rFonts w:ascii="Arial" w:cs="Arial" w:eastAsia="Arial" w:hAnsi="Arial"/>
          <w:sz w:val="16"/>
          <w:szCs w:val="16"/>
          <w:color w:val="202020"/>
        </w:rPr>
      </w:pPr>
      <w:r>
        <w:rPr>
          <w:rFonts w:ascii="Arial" w:cs="Arial" w:eastAsia="Arial" w:hAnsi="Arial"/>
          <w:sz w:val="16"/>
          <w:szCs w:val="16"/>
          <w:color w:val="202020"/>
        </w:rPr>
        <w:t>The exercise price of each unvested option outstanding was greater than $27.16 per share (the closing price on the last trading day of our 2025 fiscal year).</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Securities Authorized For Issuance Under Equity Compensation Plans</w:t>
      </w:r>
    </w:p>
    <w:p>
      <w:pPr>
        <w:spacing w:after="0" w:line="180" w:lineRule="exact"/>
        <w:rPr>
          <w:sz w:val="20"/>
          <w:szCs w:val="20"/>
          <w:color w:val="auto"/>
        </w:rPr>
      </w:pPr>
    </w:p>
    <w:p>
      <w:pPr>
        <w:spacing w:after="0" w:line="292" w:lineRule="auto"/>
        <w:rPr>
          <w:sz w:val="20"/>
          <w:szCs w:val="20"/>
          <w:color w:val="auto"/>
        </w:rPr>
      </w:pPr>
      <w:r>
        <w:rPr>
          <w:rFonts w:ascii="Arial" w:cs="Arial" w:eastAsia="Arial" w:hAnsi="Arial"/>
          <w:sz w:val="18"/>
          <w:szCs w:val="18"/>
          <w:color w:val="202020"/>
        </w:rPr>
        <w:t>The following table provides information as of December 31, 2025 regarding shares of our common stock that may be issued under our existing equity compensation plans, including our 2021 Incentive Plan, our 2008 Plan and our 2004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202020"/>
                <w:w w:val="91"/>
              </w:rPr>
              <w:t>(c)</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(a)</w:t>
            </w:r>
          </w:p>
        </w:tc>
        <w:tc>
          <w:tcPr>
            <w:tcW w:w="2240" w:type="dxa"/>
            <w:vAlign w:val="bottom"/>
          </w:tcPr>
          <w:p>
            <w:pPr>
              <w:spacing w:after="0"/>
              <w:rPr>
                <w:sz w:val="15"/>
                <w:szCs w:val="15"/>
                <w:color w:val="auto"/>
              </w:rPr>
            </w:pPr>
          </w:p>
        </w:tc>
        <w:tc>
          <w:tcPr>
            <w:tcW w:w="2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Number of securities</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2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remaining available for</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Number of securities to be</w:t>
            </w:r>
          </w:p>
        </w:tc>
        <w:tc>
          <w:tcPr>
            <w:tcW w:w="22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(b)</w:t>
            </w:r>
          </w:p>
        </w:tc>
        <w:tc>
          <w:tcPr>
            <w:tcW w:w="2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future issuance under equity</w:t>
            </w:r>
          </w:p>
        </w:tc>
        <w:tc>
          <w:tcPr>
            <w:tcW w:w="0" w:type="dxa"/>
            <w:vAlign w:val="bottom"/>
          </w:tcPr>
          <w:p>
            <w:pPr>
              <w:spacing w:after="0"/>
              <w:rPr>
                <w:sz w:val="1"/>
                <w:szCs w:val="1"/>
                <w:color w:val="auto"/>
              </w:rPr>
            </w:pPr>
          </w:p>
        </w:tc>
      </w:tr>
      <w:tr>
        <w:trPr>
          <w:trHeight w:val="180"/>
        </w:trPr>
        <w:tc>
          <w:tcPr>
            <w:tcW w:w="322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issued upon exercise of</w:t>
            </w:r>
          </w:p>
        </w:tc>
        <w:tc>
          <w:tcPr>
            <w:tcW w:w="224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Weighted-average exercise</w:t>
            </w:r>
          </w:p>
        </w:tc>
        <w:tc>
          <w:tcPr>
            <w:tcW w:w="2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compensation plans</w:t>
            </w:r>
          </w:p>
        </w:tc>
        <w:tc>
          <w:tcPr>
            <w:tcW w:w="0" w:type="dxa"/>
            <w:vAlign w:val="bottom"/>
          </w:tcPr>
          <w:p>
            <w:pPr>
              <w:spacing w:after="0"/>
              <w:rPr>
                <w:sz w:val="1"/>
                <w:szCs w:val="1"/>
                <w:color w:val="auto"/>
              </w:rPr>
            </w:pPr>
          </w:p>
        </w:tc>
      </w:tr>
      <w:tr>
        <w:trPr>
          <w:trHeight w:val="179"/>
        </w:trPr>
        <w:tc>
          <w:tcPr>
            <w:tcW w:w="3220" w:type="dxa"/>
            <w:vAlign w:val="bottom"/>
          </w:tcPr>
          <w:p>
            <w:pPr>
              <w:spacing w:after="0"/>
              <w:rPr>
                <w:sz w:val="15"/>
                <w:szCs w:val="15"/>
                <w:color w:val="auto"/>
              </w:rPr>
            </w:pPr>
          </w:p>
        </w:tc>
        <w:tc>
          <w:tcPr>
            <w:tcW w:w="22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outstanding options and</w:t>
            </w:r>
          </w:p>
        </w:tc>
        <w:tc>
          <w:tcPr>
            <w:tcW w:w="22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price of outstanding</w:t>
            </w:r>
          </w:p>
        </w:tc>
        <w:tc>
          <w:tcPr>
            <w:tcW w:w="24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(excluding securities</w:t>
            </w:r>
          </w:p>
        </w:tc>
        <w:tc>
          <w:tcPr>
            <w:tcW w:w="0" w:type="dxa"/>
            <w:vAlign w:val="bottom"/>
          </w:tcPr>
          <w:p>
            <w:pPr>
              <w:spacing w:after="0"/>
              <w:rPr>
                <w:sz w:val="1"/>
                <w:szCs w:val="1"/>
                <w:color w:val="auto"/>
              </w:rPr>
            </w:pPr>
          </w:p>
        </w:tc>
      </w:tr>
      <w:tr>
        <w:trPr>
          <w:trHeight w:val="261"/>
        </w:trPr>
        <w:tc>
          <w:tcPr>
            <w:tcW w:w="322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Plan Category</w:t>
            </w:r>
          </w:p>
        </w:tc>
        <w:tc>
          <w:tcPr>
            <w:tcW w:w="224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rights</w:t>
            </w:r>
            <w:r>
              <w:rPr>
                <w:rFonts w:ascii="Arial" w:cs="Arial" w:eastAsia="Arial" w:hAnsi="Arial"/>
                <w:sz w:val="19"/>
                <w:szCs w:val="19"/>
                <w:b w:val="1"/>
                <w:bCs w:val="1"/>
                <w:color w:val="202020"/>
                <w:vertAlign w:val="superscript"/>
              </w:rPr>
              <w:t>(1)</w:t>
            </w:r>
          </w:p>
        </w:tc>
        <w:tc>
          <w:tcPr>
            <w:tcW w:w="224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options and rights</w:t>
            </w:r>
          </w:p>
        </w:tc>
        <w:tc>
          <w:tcPr>
            <w:tcW w:w="242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reflected in column (a))</w:t>
            </w:r>
          </w:p>
        </w:tc>
        <w:tc>
          <w:tcPr>
            <w:tcW w:w="0" w:type="dxa"/>
            <w:vAlign w:val="bottom"/>
          </w:tcPr>
          <w:p>
            <w:pPr>
              <w:spacing w:after="0"/>
              <w:rPr>
                <w:sz w:val="1"/>
                <w:szCs w:val="1"/>
                <w:color w:val="auto"/>
              </w:rPr>
            </w:pPr>
          </w:p>
        </w:tc>
      </w:tr>
      <w:tr>
        <w:trPr>
          <w:trHeight w:val="208"/>
        </w:trPr>
        <w:tc>
          <w:tcPr>
            <w:tcW w:w="322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Equity compensation plans approved by</w:t>
            </w:r>
          </w:p>
        </w:tc>
        <w:tc>
          <w:tcPr>
            <w:tcW w:w="2240" w:type="dxa"/>
            <w:vAlign w:val="bottom"/>
            <w:shd w:val="clear" w:color="auto" w:fill="E9E9E9"/>
          </w:tcPr>
          <w:p>
            <w:pPr>
              <w:spacing w:after="0"/>
              <w:rPr>
                <w:sz w:val="18"/>
                <w:szCs w:val="18"/>
                <w:color w:val="auto"/>
              </w:rPr>
            </w:pPr>
          </w:p>
        </w:tc>
        <w:tc>
          <w:tcPr>
            <w:tcW w:w="2240" w:type="dxa"/>
            <w:vAlign w:val="bottom"/>
            <w:shd w:val="clear" w:color="auto" w:fill="E9E9E9"/>
          </w:tcPr>
          <w:p>
            <w:pPr>
              <w:spacing w:after="0"/>
              <w:rPr>
                <w:sz w:val="18"/>
                <w:szCs w:val="18"/>
                <w:color w:val="auto"/>
              </w:rPr>
            </w:pPr>
          </w:p>
        </w:tc>
        <w:tc>
          <w:tcPr>
            <w:tcW w:w="2420" w:type="dxa"/>
            <w:vAlign w:val="bottom"/>
            <w:shd w:val="clear" w:color="auto" w:fill="E9E9E9"/>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20" w:type="dxa"/>
            <w:vAlign w:val="bottom"/>
            <w:tcBorders>
              <w:bottom w:val="single" w:sz="8" w:color="202020"/>
            </w:tcBorders>
            <w:shd w:val="clear" w:color="auto" w:fill="E9E9E9"/>
          </w:tcPr>
          <w:p>
            <w:pPr>
              <w:ind w:left="60"/>
              <w:spacing w:after="0"/>
              <w:rPr>
                <w:sz w:val="20"/>
                <w:szCs w:val="20"/>
                <w:color w:val="auto"/>
              </w:rPr>
            </w:pPr>
            <w:r>
              <w:rPr>
                <w:rFonts w:ascii="Arial" w:cs="Arial" w:eastAsia="Arial" w:hAnsi="Arial"/>
                <w:sz w:val="16"/>
                <w:szCs w:val="16"/>
                <w:color w:val="202020"/>
              </w:rPr>
              <w:t>security holders</w:t>
            </w:r>
            <w:r>
              <w:rPr>
                <w:rFonts w:ascii="Arial" w:cs="Arial" w:eastAsia="Arial" w:hAnsi="Arial"/>
                <w:sz w:val="19"/>
                <w:szCs w:val="19"/>
                <w:color w:val="202020"/>
                <w:vertAlign w:val="superscript"/>
              </w:rPr>
              <w:t>(2)</w:t>
            </w:r>
          </w:p>
        </w:tc>
        <w:tc>
          <w:tcPr>
            <w:tcW w:w="224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9,134,278</w:t>
            </w:r>
            <w:r>
              <w:rPr>
                <w:rFonts w:ascii="Arial" w:cs="Arial" w:eastAsia="Arial" w:hAnsi="Arial"/>
                <w:sz w:val="19"/>
                <w:szCs w:val="19"/>
                <w:color w:val="202020"/>
                <w:vertAlign w:val="superscript"/>
              </w:rPr>
              <w:t>(3)</w:t>
            </w:r>
          </w:p>
        </w:tc>
        <w:tc>
          <w:tcPr>
            <w:tcW w:w="224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$26.49</w:t>
            </w:r>
          </w:p>
        </w:tc>
        <w:tc>
          <w:tcPr>
            <w:tcW w:w="242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2,753,587</w:t>
            </w:r>
            <w:r>
              <w:rPr>
                <w:rFonts w:ascii="Arial" w:cs="Arial" w:eastAsia="Arial" w:hAnsi="Arial"/>
                <w:sz w:val="19"/>
                <w:szCs w:val="19"/>
                <w:color w:val="202020"/>
                <w:vertAlign w:val="superscript"/>
              </w:rPr>
              <w:t>(4)</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00" w:hanging="399"/>
        <w:spacing w:after="0"/>
        <w:tabs>
          <w:tab w:leader="none" w:pos="400" w:val="left"/>
        </w:tabs>
        <w:numPr>
          <w:ilvl w:val="0"/>
          <w:numId w:val="29"/>
        </w:numPr>
        <w:rPr>
          <w:rFonts w:ascii="Arial" w:cs="Arial" w:eastAsia="Arial" w:hAnsi="Arial"/>
          <w:sz w:val="16"/>
          <w:szCs w:val="16"/>
          <w:color w:val="202020"/>
        </w:rPr>
      </w:pPr>
      <w:r>
        <w:rPr>
          <w:rFonts w:ascii="Arial" w:cs="Arial" w:eastAsia="Arial" w:hAnsi="Arial"/>
          <w:sz w:val="16"/>
          <w:szCs w:val="16"/>
          <w:color w:val="202020"/>
        </w:rPr>
        <w:t>Does not include any Restricted Stock as such shares are already reflected in our outstanding shares.</w:t>
      </w:r>
    </w:p>
    <w:p>
      <w:pPr>
        <w:spacing w:after="0" w:line="91" w:lineRule="exact"/>
        <w:rPr>
          <w:rFonts w:ascii="Arial" w:cs="Arial" w:eastAsia="Arial" w:hAnsi="Arial"/>
          <w:sz w:val="16"/>
          <w:szCs w:val="16"/>
          <w:color w:val="202020"/>
        </w:rPr>
      </w:pPr>
    </w:p>
    <w:p>
      <w:pPr>
        <w:ind w:left="400" w:hanging="399"/>
        <w:spacing w:after="0"/>
        <w:tabs>
          <w:tab w:leader="none" w:pos="400" w:val="left"/>
        </w:tabs>
        <w:numPr>
          <w:ilvl w:val="0"/>
          <w:numId w:val="29"/>
        </w:numPr>
        <w:rPr>
          <w:rFonts w:ascii="Arial" w:cs="Arial" w:eastAsia="Arial" w:hAnsi="Arial"/>
          <w:sz w:val="16"/>
          <w:szCs w:val="16"/>
          <w:color w:val="202020"/>
        </w:rPr>
      </w:pPr>
      <w:r>
        <w:rPr>
          <w:rFonts w:ascii="Arial" w:cs="Arial" w:eastAsia="Arial" w:hAnsi="Arial"/>
          <w:sz w:val="16"/>
          <w:szCs w:val="16"/>
          <w:color w:val="202020"/>
        </w:rPr>
        <w:t>Consists of the 2021 Incentive Plan, 2008 Plan and the 2004 Plan.</w:t>
      </w:r>
    </w:p>
    <w:p>
      <w:pPr>
        <w:spacing w:after="0" w:line="91" w:lineRule="exact"/>
        <w:rPr>
          <w:rFonts w:ascii="Arial" w:cs="Arial" w:eastAsia="Arial" w:hAnsi="Arial"/>
          <w:sz w:val="16"/>
          <w:szCs w:val="16"/>
          <w:color w:val="202020"/>
        </w:rPr>
      </w:pPr>
    </w:p>
    <w:p>
      <w:pPr>
        <w:ind w:left="400" w:right="40" w:hanging="399"/>
        <w:spacing w:after="0" w:line="297" w:lineRule="auto"/>
        <w:tabs>
          <w:tab w:leader="none" w:pos="400" w:val="left"/>
        </w:tabs>
        <w:numPr>
          <w:ilvl w:val="0"/>
          <w:numId w:val="29"/>
        </w:numPr>
        <w:rPr>
          <w:rFonts w:ascii="Arial" w:cs="Arial" w:eastAsia="Arial" w:hAnsi="Arial"/>
          <w:sz w:val="16"/>
          <w:szCs w:val="16"/>
          <w:color w:val="202020"/>
        </w:rPr>
      </w:pPr>
      <w:r>
        <w:rPr>
          <w:rFonts w:ascii="Arial" w:cs="Arial" w:eastAsia="Arial" w:hAnsi="Arial"/>
          <w:sz w:val="16"/>
          <w:szCs w:val="16"/>
          <w:color w:val="202020"/>
        </w:rPr>
        <w:t>Does not include purchase rights accruing under the 2004 Plan because the purchase price (and therefore the number of shares to be purchased) will not be determined until the end of the purchase period.</w:t>
      </w:r>
    </w:p>
    <w:p>
      <w:pPr>
        <w:spacing w:after="0" w:line="17" w:lineRule="exact"/>
        <w:rPr>
          <w:rFonts w:ascii="Arial" w:cs="Arial" w:eastAsia="Arial" w:hAnsi="Arial"/>
          <w:sz w:val="16"/>
          <w:szCs w:val="16"/>
          <w:color w:val="202020"/>
        </w:rPr>
      </w:pPr>
    </w:p>
    <w:p>
      <w:pPr>
        <w:ind w:left="400" w:right="140" w:hanging="399"/>
        <w:spacing w:after="0" w:line="279" w:lineRule="auto"/>
        <w:tabs>
          <w:tab w:leader="none" w:pos="400" w:val="left"/>
        </w:tabs>
        <w:numPr>
          <w:ilvl w:val="0"/>
          <w:numId w:val="29"/>
        </w:numPr>
        <w:rPr>
          <w:rFonts w:ascii="Arial" w:cs="Arial" w:eastAsia="Arial" w:hAnsi="Arial"/>
          <w:sz w:val="16"/>
          <w:szCs w:val="16"/>
          <w:color w:val="202020"/>
        </w:rPr>
      </w:pPr>
      <w:r>
        <w:rPr>
          <w:rFonts w:ascii="Arial" w:cs="Arial" w:eastAsia="Arial" w:hAnsi="Arial"/>
          <w:sz w:val="16"/>
          <w:szCs w:val="16"/>
          <w:color w:val="202020"/>
        </w:rPr>
        <w:t>Includes shares available for future issuance under the 2021 Incentive Plan and the 2004 Plan as of December 31, 2025, of which 2,624,836 shares are available for grants in the form of restricted stock, deferred stock, performance shares or unrestricted stock under the 2021 Incentive Plan.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CEO Pay Ratio</w:t>
      </w:r>
    </w:p>
    <w:p>
      <w:pPr>
        <w:spacing w:after="0" w:line="180"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202020"/>
        </w:rPr>
        <w:t>As required by Section 953(b) of the Dodd-Frank Wall Street Reform and Consumer Protection Act and Item 402(u) of Regulation S-K, we are required to disclose the ratio of our median employee’s annual total compensation to the annual total compensation of our principal Executive Officer.</w:t>
      </w:r>
    </w:p>
    <w:p>
      <w:pPr>
        <w:spacing w:after="0" w:line="1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02020"/>
        </w:rPr>
        <w:t>The purpose of this disclosure is to provide a measure of the equitability of pay within our company. We believe our compensation philosophy and process yield an equitable result for all of our employees. During fiscal 2025, the principal Executive Officer of Celldex was our Chief Executive Officer, Anthony S. Marucci. For 2025, the annual total compensation, using the same methodology we use for our Named Executive Officers as set forth in the summary compensation table, for Mr. Marucci was $5,366,709, and for our median employee was $235,733, resulting in an estimated pay ratio of 23 to 1.</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02020"/>
        </w:rPr>
        <w:t>In accordance with Item 402(u) of Regulation S-K, we identified the median employee by (i) determining our employee population as of December 31, 2024 (including all full-time, part-time, salaried, hourly, and seasonal employees, but excluding Mr. Marucci), (ii) calculating the total compensation for each employee for fiscal 2024 by aggregating (A) annual base salary for salaried employees (or hourly rate multiplied by expected annual work schedule, for hourly employees),</w:t>
      </w:r>
    </w:p>
    <w:p>
      <w:pPr>
        <w:spacing w:after="0" w:line="1" w:lineRule="exact"/>
        <w:rPr>
          <w:sz w:val="20"/>
          <w:szCs w:val="20"/>
          <w:color w:val="auto"/>
        </w:rPr>
      </w:pPr>
    </w:p>
    <w:p>
      <w:pPr>
        <w:ind w:right="40" w:firstLine="1"/>
        <w:spacing w:after="0" w:line="262" w:lineRule="auto"/>
        <w:tabs>
          <w:tab w:leader="none" w:pos="269" w:val="left"/>
        </w:tabs>
        <w:numPr>
          <w:ilvl w:val="0"/>
          <w:numId w:val="30"/>
        </w:numPr>
        <w:rPr>
          <w:rFonts w:ascii="Arial" w:cs="Arial" w:eastAsia="Arial" w:hAnsi="Arial"/>
          <w:sz w:val="18"/>
          <w:szCs w:val="18"/>
          <w:color w:val="202020"/>
        </w:rPr>
      </w:pPr>
      <w:r>
        <w:rPr>
          <w:rFonts w:ascii="Arial" w:cs="Arial" w:eastAsia="Arial" w:hAnsi="Arial"/>
          <w:sz w:val="18"/>
          <w:szCs w:val="18"/>
          <w:color w:val="202020"/>
        </w:rPr>
        <w:t>the bonus for 2024, and (C) the estimated accounting value of any equity awards granted during 2024, and (iii) ranking this compensation measure for our employees from lowest to highest. We do not believe that there has been any change in our employee population or employee compensation arrangements for fiscal 2025 that would result in a significant change to our pay ratio disclosure. As such, and as permitted by Item 402(u) of Regulation S-K, we are using the same median employee for our pay ratio disclosure that we identified for our pay ratio disclosure for fiscal 2024.</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02020"/>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0"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43</w:t>
      </w:r>
    </w:p>
    <w:p>
      <w:pPr>
        <w:sectPr>
          <w:pgSz w:w="11880" w:h="15480" w:orient="portrait"/>
          <w:cols w:equalWidth="0" w:num="1">
            <w:col w:w="10140"/>
          </w:cols>
          <w:pgMar w:left="880" w:top="544" w:right="860" w:bottom="96" w:gutter="0" w:footer="0" w:header="0"/>
        </w:sectPr>
      </w:pPr>
    </w:p>
    <w:bookmarkStart w:id="47" w:name="page48"/>
    <w:bookmarkEnd w:id="47"/>
    <w:p>
      <w:pPr>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Pay Versus Performance Table</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8"/>
          <w:szCs w:val="18"/>
          <w:color w:val="202020"/>
        </w:rPr>
        <w:t>In accordance with rules adopted by the SEC pursuant to the Dodd-Frank Act, below is disclosure regarding executive compensation for our principal Executive Officer (“PEO,” also known as our CEO), and other NEOs and company financial performance for the fiscal years listed below. The Compensation Committee did not consider the pay versus performance disclosure below in making its pay decisions for any of the years shown. Pursuant to SEC rules, the information in this “</w:t>
      </w:r>
      <w:r>
        <w:rPr>
          <w:rFonts w:ascii="Arial" w:cs="Arial" w:eastAsia="Arial" w:hAnsi="Arial"/>
          <w:sz w:val="18"/>
          <w:szCs w:val="18"/>
          <w:i w:val="1"/>
          <w:iCs w:val="1"/>
          <w:color w:val="202020"/>
        </w:rPr>
        <w:t>Pay Versus Performance</w:t>
      </w:r>
      <w:r>
        <w:rPr>
          <w:rFonts w:ascii="Arial" w:cs="Arial" w:eastAsia="Arial" w:hAnsi="Arial"/>
          <w:sz w:val="18"/>
          <w:szCs w:val="18"/>
          <w:color w:val="202020"/>
        </w:rPr>
        <w:t>” section shall not be deemed to be incorporated by reference into any Celldex filing under the Securities Act or Exchange Act, unless expressly incorporated by specific reference in such filing.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80" w:type="dxa"/>
            <w:vAlign w:val="bottom"/>
          </w:tcPr>
          <w:p>
            <w:pPr>
              <w:ind w:left="60"/>
              <w:spacing w:after="0"/>
              <w:rPr>
                <w:sz w:val="20"/>
                <w:szCs w:val="20"/>
                <w:color w:val="auto"/>
              </w:rPr>
            </w:pPr>
            <w:r>
              <w:rPr>
                <w:rFonts w:ascii="Arial" w:cs="Arial" w:eastAsia="Arial" w:hAnsi="Arial"/>
                <w:sz w:val="15"/>
                <w:szCs w:val="15"/>
                <w:b w:val="1"/>
                <w:bCs w:val="1"/>
                <w:color w:val="202020"/>
              </w:rPr>
              <w:t>(a)</w:t>
            </w:r>
          </w:p>
        </w:tc>
        <w:tc>
          <w:tcPr>
            <w:tcW w:w="1220" w:type="dxa"/>
            <w:vAlign w:val="bottom"/>
          </w:tcPr>
          <w:p>
            <w:pPr>
              <w:jc w:val="center"/>
              <w:spacing w:after="0"/>
              <w:rPr>
                <w:sz w:val="20"/>
                <w:szCs w:val="20"/>
                <w:color w:val="auto"/>
              </w:rPr>
            </w:pPr>
            <w:r>
              <w:rPr>
                <w:rFonts w:ascii="Arial" w:cs="Arial" w:eastAsia="Arial" w:hAnsi="Arial"/>
                <w:sz w:val="15"/>
                <w:szCs w:val="15"/>
                <w:b w:val="1"/>
                <w:bCs w:val="1"/>
                <w:color w:val="202020"/>
              </w:rPr>
              <w:t>(b)</w:t>
            </w:r>
          </w:p>
        </w:tc>
        <w:tc>
          <w:tcPr>
            <w:tcW w:w="320" w:type="dxa"/>
            <w:vAlign w:val="bottom"/>
          </w:tcPr>
          <w:p>
            <w:pPr>
              <w:spacing w:after="0"/>
              <w:rPr>
                <w:sz w:val="17"/>
                <w:szCs w:val="17"/>
                <w:color w:val="auto"/>
              </w:rPr>
            </w:pPr>
          </w:p>
        </w:tc>
        <w:tc>
          <w:tcPr>
            <w:tcW w:w="860" w:type="dxa"/>
            <w:vAlign w:val="bottom"/>
          </w:tcPr>
          <w:p>
            <w:pPr>
              <w:jc w:val="center"/>
              <w:ind w:right="241"/>
              <w:spacing w:after="0"/>
              <w:rPr>
                <w:sz w:val="20"/>
                <w:szCs w:val="20"/>
                <w:color w:val="auto"/>
              </w:rPr>
            </w:pPr>
            <w:r>
              <w:rPr>
                <w:rFonts w:ascii="Arial" w:cs="Arial" w:eastAsia="Arial" w:hAnsi="Arial"/>
                <w:sz w:val="15"/>
                <w:szCs w:val="15"/>
                <w:b w:val="1"/>
                <w:bCs w:val="1"/>
                <w:color w:val="202020"/>
                <w:w w:val="97"/>
              </w:rPr>
              <w:t>(c)</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202020"/>
              </w:rPr>
              <w:t>(d)</w:t>
            </w:r>
          </w:p>
        </w:tc>
        <w:tc>
          <w:tcPr>
            <w:tcW w:w="420" w:type="dxa"/>
            <w:vAlign w:val="bottom"/>
          </w:tcPr>
          <w:p>
            <w:pPr>
              <w:spacing w:after="0"/>
              <w:rPr>
                <w:sz w:val="17"/>
                <w:szCs w:val="17"/>
                <w:color w:val="auto"/>
              </w:rPr>
            </w:pPr>
          </w:p>
        </w:tc>
        <w:tc>
          <w:tcPr>
            <w:tcW w:w="780" w:type="dxa"/>
            <w:vAlign w:val="bottom"/>
          </w:tcPr>
          <w:p>
            <w:pPr>
              <w:jc w:val="center"/>
              <w:ind w:right="341"/>
              <w:spacing w:after="0"/>
              <w:rPr>
                <w:sz w:val="20"/>
                <w:szCs w:val="20"/>
                <w:color w:val="auto"/>
              </w:rPr>
            </w:pPr>
            <w:r>
              <w:rPr>
                <w:rFonts w:ascii="Arial" w:cs="Arial" w:eastAsia="Arial" w:hAnsi="Arial"/>
                <w:sz w:val="15"/>
                <w:szCs w:val="15"/>
                <w:b w:val="1"/>
                <w:bCs w:val="1"/>
                <w:color w:val="202020"/>
              </w:rPr>
              <w:t>(e)</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202020"/>
              </w:rPr>
              <w:t>(f)</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02020"/>
              </w:rPr>
              <w:t>(g)</w:t>
            </w:r>
          </w:p>
        </w:tc>
        <w:tc>
          <w:tcPr>
            <w:tcW w:w="300" w:type="dxa"/>
            <w:vAlign w:val="bottom"/>
          </w:tcPr>
          <w:p>
            <w:pPr>
              <w:spacing w:after="0"/>
              <w:rPr>
                <w:sz w:val="17"/>
                <w:szCs w:val="17"/>
                <w:color w:val="auto"/>
              </w:rPr>
            </w:pPr>
          </w:p>
        </w:tc>
        <w:tc>
          <w:tcPr>
            <w:tcW w:w="720" w:type="dxa"/>
            <w:vAlign w:val="bottom"/>
          </w:tcPr>
          <w:p>
            <w:pPr>
              <w:jc w:val="center"/>
              <w:ind w:right="241"/>
              <w:spacing w:after="0"/>
              <w:rPr>
                <w:sz w:val="20"/>
                <w:szCs w:val="20"/>
                <w:color w:val="auto"/>
              </w:rPr>
            </w:pPr>
            <w:r>
              <w:rPr>
                <w:rFonts w:ascii="Arial" w:cs="Arial" w:eastAsia="Arial" w:hAnsi="Arial"/>
                <w:sz w:val="15"/>
                <w:szCs w:val="15"/>
                <w:b w:val="1"/>
                <w:bCs w:val="1"/>
                <w:color w:val="202020"/>
              </w:rPr>
              <w:t>(h)</w:t>
            </w:r>
          </w:p>
        </w:tc>
        <w:tc>
          <w:tcPr>
            <w:tcW w:w="1060" w:type="dxa"/>
            <w:vAlign w:val="bottom"/>
          </w:tcPr>
          <w:p>
            <w:pPr>
              <w:jc w:val="center"/>
              <w:spacing w:after="0"/>
              <w:rPr>
                <w:sz w:val="20"/>
                <w:szCs w:val="20"/>
                <w:color w:val="auto"/>
              </w:rPr>
            </w:pPr>
            <w:r>
              <w:rPr>
                <w:rFonts w:ascii="Arial" w:cs="Arial" w:eastAsia="Arial" w:hAnsi="Arial"/>
                <w:sz w:val="15"/>
                <w:szCs w:val="15"/>
                <w:b w:val="1"/>
                <w:bCs w:val="1"/>
                <w:color w:val="202020"/>
                <w:w w:val="98"/>
              </w:rPr>
              <w:t>(i)</w:t>
            </w:r>
          </w:p>
        </w:tc>
        <w:tc>
          <w:tcPr>
            <w:tcW w:w="0" w:type="dxa"/>
            <w:vAlign w:val="bottom"/>
          </w:tcPr>
          <w:p>
            <w:pPr>
              <w:spacing w:after="0"/>
              <w:rPr>
                <w:sz w:val="1"/>
                <w:szCs w:val="1"/>
                <w:color w:val="auto"/>
              </w:rPr>
            </w:pPr>
          </w:p>
        </w:tc>
      </w:tr>
      <w:tr>
        <w:trPr>
          <w:trHeight w:val="48"/>
        </w:trPr>
        <w:tc>
          <w:tcPr>
            <w:tcW w:w="1180" w:type="dxa"/>
            <w:vAlign w:val="bottom"/>
            <w:tcBorders>
              <w:bottom w:val="single" w:sz="8" w:color="202020"/>
            </w:tcBorders>
          </w:tcPr>
          <w:p>
            <w:pPr>
              <w:spacing w:after="0"/>
              <w:rPr>
                <w:sz w:val="4"/>
                <w:szCs w:val="4"/>
                <w:color w:val="auto"/>
              </w:rPr>
            </w:pPr>
          </w:p>
        </w:tc>
        <w:tc>
          <w:tcPr>
            <w:tcW w:w="1220" w:type="dxa"/>
            <w:vAlign w:val="bottom"/>
            <w:tcBorders>
              <w:bottom w:val="single" w:sz="8" w:color="202020"/>
            </w:tcBorders>
          </w:tcPr>
          <w:p>
            <w:pPr>
              <w:spacing w:after="0"/>
              <w:rPr>
                <w:sz w:val="4"/>
                <w:szCs w:val="4"/>
                <w:color w:val="auto"/>
              </w:rPr>
            </w:pPr>
          </w:p>
        </w:tc>
        <w:tc>
          <w:tcPr>
            <w:tcW w:w="320" w:type="dxa"/>
            <w:vAlign w:val="bottom"/>
            <w:tcBorders>
              <w:bottom w:val="single" w:sz="8" w:color="202020"/>
            </w:tcBorders>
          </w:tcPr>
          <w:p>
            <w:pPr>
              <w:spacing w:after="0"/>
              <w:rPr>
                <w:sz w:val="4"/>
                <w:szCs w:val="4"/>
                <w:color w:val="auto"/>
              </w:rPr>
            </w:pPr>
          </w:p>
        </w:tc>
        <w:tc>
          <w:tcPr>
            <w:tcW w:w="860" w:type="dxa"/>
            <w:vAlign w:val="bottom"/>
            <w:tcBorders>
              <w:bottom w:val="single" w:sz="8" w:color="202020"/>
            </w:tcBorders>
          </w:tcPr>
          <w:p>
            <w:pPr>
              <w:spacing w:after="0"/>
              <w:rPr>
                <w:sz w:val="4"/>
                <w:szCs w:val="4"/>
                <w:color w:val="auto"/>
              </w:rPr>
            </w:pPr>
          </w:p>
        </w:tc>
        <w:tc>
          <w:tcPr>
            <w:tcW w:w="1200" w:type="dxa"/>
            <w:vAlign w:val="bottom"/>
            <w:tcBorders>
              <w:bottom w:val="single" w:sz="8" w:color="202020"/>
            </w:tcBorders>
          </w:tcPr>
          <w:p>
            <w:pPr>
              <w:spacing w:after="0"/>
              <w:rPr>
                <w:sz w:val="4"/>
                <w:szCs w:val="4"/>
                <w:color w:val="auto"/>
              </w:rPr>
            </w:pPr>
          </w:p>
        </w:tc>
        <w:tc>
          <w:tcPr>
            <w:tcW w:w="420" w:type="dxa"/>
            <w:vAlign w:val="bottom"/>
            <w:tcBorders>
              <w:bottom w:val="single" w:sz="8" w:color="202020"/>
            </w:tcBorders>
          </w:tcPr>
          <w:p>
            <w:pPr>
              <w:spacing w:after="0"/>
              <w:rPr>
                <w:sz w:val="4"/>
                <w:szCs w:val="4"/>
                <w:color w:val="auto"/>
              </w:rPr>
            </w:pPr>
          </w:p>
        </w:tc>
        <w:tc>
          <w:tcPr>
            <w:tcW w:w="780" w:type="dxa"/>
            <w:vAlign w:val="bottom"/>
            <w:tcBorders>
              <w:bottom w:val="single" w:sz="8" w:color="202020"/>
            </w:tcBorders>
          </w:tcPr>
          <w:p>
            <w:pPr>
              <w:spacing w:after="0"/>
              <w:rPr>
                <w:sz w:val="4"/>
                <w:szCs w:val="4"/>
                <w:color w:val="auto"/>
              </w:rPr>
            </w:pPr>
          </w:p>
        </w:tc>
        <w:tc>
          <w:tcPr>
            <w:tcW w:w="1020" w:type="dxa"/>
            <w:vAlign w:val="bottom"/>
            <w:tcBorders>
              <w:bottom w:val="single" w:sz="8" w:color="202020"/>
            </w:tcBorders>
          </w:tcPr>
          <w:p>
            <w:pPr>
              <w:spacing w:after="0"/>
              <w:rPr>
                <w:sz w:val="4"/>
                <w:szCs w:val="4"/>
                <w:color w:val="auto"/>
              </w:rPr>
            </w:pPr>
          </w:p>
        </w:tc>
        <w:tc>
          <w:tcPr>
            <w:tcW w:w="1040" w:type="dxa"/>
            <w:vAlign w:val="bottom"/>
            <w:tcBorders>
              <w:bottom w:val="single" w:sz="8" w:color="202020"/>
            </w:tcBorders>
          </w:tcPr>
          <w:p>
            <w:pPr>
              <w:spacing w:after="0"/>
              <w:rPr>
                <w:sz w:val="4"/>
                <w:szCs w:val="4"/>
                <w:color w:val="auto"/>
              </w:rPr>
            </w:pPr>
          </w:p>
        </w:tc>
        <w:tc>
          <w:tcPr>
            <w:tcW w:w="300" w:type="dxa"/>
            <w:vAlign w:val="bottom"/>
            <w:tcBorders>
              <w:bottom w:val="single" w:sz="8" w:color="202020"/>
            </w:tcBorders>
          </w:tcPr>
          <w:p>
            <w:pPr>
              <w:spacing w:after="0"/>
              <w:rPr>
                <w:sz w:val="4"/>
                <w:szCs w:val="4"/>
                <w:color w:val="auto"/>
              </w:rPr>
            </w:pPr>
          </w:p>
        </w:tc>
        <w:tc>
          <w:tcPr>
            <w:tcW w:w="720" w:type="dxa"/>
            <w:vAlign w:val="bottom"/>
            <w:tcBorders>
              <w:bottom w:val="single" w:sz="8" w:color="202020"/>
            </w:tcBorders>
          </w:tcPr>
          <w:p>
            <w:pPr>
              <w:spacing w:after="0"/>
              <w:rPr>
                <w:sz w:val="4"/>
                <w:szCs w:val="4"/>
                <w:color w:val="auto"/>
              </w:rPr>
            </w:pPr>
          </w:p>
        </w:tc>
        <w:tc>
          <w:tcPr>
            <w:tcW w:w="1060" w:type="dxa"/>
            <w:vAlign w:val="bottom"/>
            <w:tcBorders>
              <w:bottom w:val="single" w:sz="8" w:color="202020"/>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202020"/>
              </w:rPr>
              <w:t>Value of</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Value of</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Initial</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5"/>
                <w:szCs w:val="15"/>
                <w:b w:val="1"/>
                <w:bCs w:val="1"/>
                <w:color w:val="202020"/>
              </w:rPr>
              <w:t>Average</w:t>
            </w:r>
          </w:p>
        </w:tc>
        <w:tc>
          <w:tcPr>
            <w:tcW w:w="12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202020"/>
              </w:rPr>
              <w:t>Average</w:t>
            </w: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Initial</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w w:val="99"/>
              </w:rPr>
              <w:t>Fixed $100</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Fixed $100</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Investment</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b w:val="1"/>
                <w:bCs w:val="1"/>
                <w:color w:val="202020"/>
              </w:rPr>
              <w:t>Year-end</w:t>
            </w: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Summary</w:t>
            </w:r>
          </w:p>
        </w:tc>
        <w:tc>
          <w:tcPr>
            <w:tcW w:w="120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202020"/>
              </w:rPr>
              <w:t>Compensation</w:t>
            </w: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Investment</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Based on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Summary</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b w:val="1"/>
                <w:bCs w:val="1"/>
                <w:color w:val="202020"/>
              </w:rPr>
              <w:t>Compensation</w:t>
            </w:r>
          </w:p>
        </w:tc>
        <w:tc>
          <w:tcPr>
            <w:tcW w:w="120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202020"/>
              </w:rPr>
              <w:t>Actually</w:t>
            </w: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Based</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Peer Group</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cash &amp;</w:t>
            </w:r>
          </w:p>
        </w:tc>
        <w:tc>
          <w:tcPr>
            <w:tcW w:w="0" w:type="dxa"/>
            <w:vAlign w:val="bottom"/>
          </w:tcPr>
          <w:p>
            <w:pPr>
              <w:spacing w:after="0"/>
              <w:rPr>
                <w:sz w:val="1"/>
                <w:szCs w:val="1"/>
                <w:color w:val="auto"/>
              </w:rPr>
            </w:pPr>
          </w:p>
        </w:tc>
      </w:tr>
      <w:tr>
        <w:trPr>
          <w:trHeight w:val="168"/>
        </w:trPr>
        <w:tc>
          <w:tcPr>
            <w:tcW w:w="1180" w:type="dxa"/>
            <w:vAlign w:val="bottom"/>
          </w:tcPr>
          <w:p>
            <w:pPr>
              <w:ind w:left="60"/>
              <w:spacing w:after="0" w:line="169" w:lineRule="exact"/>
              <w:rPr>
                <w:sz w:val="20"/>
                <w:szCs w:val="20"/>
                <w:color w:val="auto"/>
              </w:rPr>
            </w:pPr>
            <w:r>
              <w:rPr>
                <w:rFonts w:ascii="Arial" w:cs="Arial" w:eastAsia="Arial" w:hAnsi="Arial"/>
                <w:sz w:val="15"/>
                <w:szCs w:val="15"/>
                <w:b w:val="1"/>
                <w:bCs w:val="1"/>
                <w:color w:val="202020"/>
              </w:rPr>
              <w:t>Fiscal year</w:t>
            </w:r>
          </w:p>
        </w:tc>
        <w:tc>
          <w:tcPr>
            <w:tcW w:w="1220" w:type="dxa"/>
            <w:vAlign w:val="bottom"/>
          </w:tcPr>
          <w:p>
            <w:pPr>
              <w:jc w:val="right"/>
              <w:spacing w:after="0" w:line="169" w:lineRule="exact"/>
              <w:rPr>
                <w:sz w:val="20"/>
                <w:szCs w:val="20"/>
                <w:color w:val="auto"/>
              </w:rPr>
            </w:pPr>
            <w:r>
              <w:rPr>
                <w:rFonts w:ascii="Arial" w:cs="Arial" w:eastAsia="Arial" w:hAnsi="Arial"/>
                <w:sz w:val="15"/>
                <w:szCs w:val="15"/>
                <w:b w:val="1"/>
                <w:bCs w:val="1"/>
                <w:color w:val="202020"/>
              </w:rPr>
              <w:t>Compensation</w:t>
            </w:r>
          </w:p>
        </w:tc>
        <w:tc>
          <w:tcPr>
            <w:tcW w:w="118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202020"/>
              </w:rPr>
              <w:t>Compensation</w:t>
            </w:r>
          </w:p>
        </w:tc>
        <w:tc>
          <w:tcPr>
            <w:tcW w:w="1200" w:type="dxa"/>
            <w:vAlign w:val="bottom"/>
          </w:tcPr>
          <w:p>
            <w:pPr>
              <w:jc w:val="right"/>
              <w:spacing w:after="0" w:line="169" w:lineRule="exact"/>
              <w:rPr>
                <w:sz w:val="20"/>
                <w:szCs w:val="20"/>
                <w:color w:val="auto"/>
              </w:rPr>
            </w:pPr>
            <w:r>
              <w:rPr>
                <w:rFonts w:ascii="Arial" w:cs="Arial" w:eastAsia="Arial" w:hAnsi="Arial"/>
                <w:sz w:val="15"/>
                <w:szCs w:val="15"/>
                <w:b w:val="1"/>
                <w:bCs w:val="1"/>
                <w:color w:val="202020"/>
              </w:rPr>
              <w:t>Table Total for</w:t>
            </w:r>
          </w:p>
        </w:tc>
        <w:tc>
          <w:tcPr>
            <w:tcW w:w="1200" w:type="dxa"/>
            <w:vAlign w:val="bottom"/>
            <w:gridSpan w:val="2"/>
          </w:tcPr>
          <w:p>
            <w:pPr>
              <w:ind w:left="340"/>
              <w:spacing w:after="0" w:line="169" w:lineRule="exact"/>
              <w:rPr>
                <w:sz w:val="20"/>
                <w:szCs w:val="20"/>
                <w:color w:val="auto"/>
              </w:rPr>
            </w:pPr>
            <w:r>
              <w:rPr>
                <w:rFonts w:ascii="Arial" w:cs="Arial" w:eastAsia="Arial" w:hAnsi="Arial"/>
                <w:sz w:val="15"/>
                <w:szCs w:val="15"/>
                <w:b w:val="1"/>
                <w:bCs w:val="1"/>
                <w:color w:val="202020"/>
              </w:rPr>
              <w:t>Paid to</w:t>
            </w: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on Total</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Total</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investment</w:t>
            </w:r>
          </w:p>
        </w:tc>
        <w:tc>
          <w:tcPr>
            <w:tcW w:w="0" w:type="dxa"/>
            <w:vAlign w:val="bottom"/>
          </w:tcPr>
          <w:p>
            <w:pPr>
              <w:spacing w:after="0"/>
              <w:rPr>
                <w:sz w:val="1"/>
                <w:szCs w:val="1"/>
                <w:color w:val="auto"/>
              </w:rPr>
            </w:pPr>
          </w:p>
        </w:tc>
      </w:tr>
      <w:tr>
        <w:trPr>
          <w:trHeight w:val="168"/>
        </w:trPr>
        <w:tc>
          <w:tcPr>
            <w:tcW w:w="1180" w:type="dxa"/>
            <w:vAlign w:val="bottom"/>
          </w:tcPr>
          <w:p>
            <w:pPr>
              <w:ind w:left="60"/>
              <w:spacing w:after="0" w:line="169" w:lineRule="exact"/>
              <w:rPr>
                <w:sz w:val="20"/>
                <w:szCs w:val="20"/>
                <w:color w:val="auto"/>
              </w:rPr>
            </w:pPr>
            <w:r>
              <w:rPr>
                <w:rFonts w:ascii="Arial" w:cs="Arial" w:eastAsia="Arial" w:hAnsi="Arial"/>
                <w:sz w:val="15"/>
                <w:szCs w:val="15"/>
                <w:b w:val="1"/>
                <w:bCs w:val="1"/>
                <w:color w:val="202020"/>
              </w:rPr>
              <w:t>ended</w:t>
            </w:r>
          </w:p>
        </w:tc>
        <w:tc>
          <w:tcPr>
            <w:tcW w:w="12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Table Total</w:t>
            </w:r>
          </w:p>
        </w:tc>
        <w:tc>
          <w:tcPr>
            <w:tcW w:w="118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202020"/>
              </w:rPr>
              <w:t>Actually</w:t>
            </w:r>
          </w:p>
        </w:tc>
        <w:tc>
          <w:tcPr>
            <w:tcW w:w="120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Non-PEO</w:t>
            </w:r>
          </w:p>
        </w:tc>
        <w:tc>
          <w:tcPr>
            <w:tcW w:w="120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202020"/>
              </w:rPr>
              <w:t>Non-PEO</w:t>
            </w:r>
          </w:p>
        </w:tc>
        <w:tc>
          <w:tcPr>
            <w:tcW w:w="102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Shareholder</w:t>
            </w: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Shareholder</w:t>
            </w:r>
          </w:p>
        </w:tc>
        <w:tc>
          <w:tcPr>
            <w:tcW w:w="102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202020"/>
              </w:rPr>
              <w:t>Net Loss (in</w:t>
            </w:r>
          </w:p>
        </w:tc>
        <w:tc>
          <w:tcPr>
            <w:tcW w:w="1060" w:type="dxa"/>
            <w:vAlign w:val="bottom"/>
          </w:tcPr>
          <w:p>
            <w:pPr>
              <w:jc w:val="center"/>
              <w:spacing w:after="0" w:line="169" w:lineRule="exact"/>
              <w:rPr>
                <w:sz w:val="20"/>
                <w:szCs w:val="20"/>
                <w:color w:val="auto"/>
              </w:rPr>
            </w:pPr>
            <w:r>
              <w:rPr>
                <w:rFonts w:ascii="Arial" w:cs="Arial" w:eastAsia="Arial" w:hAnsi="Arial"/>
                <w:sz w:val="15"/>
                <w:szCs w:val="15"/>
                <w:b w:val="1"/>
                <w:bCs w:val="1"/>
                <w:color w:val="202020"/>
              </w:rPr>
              <w:t>balance (in</w:t>
            </w:r>
          </w:p>
        </w:tc>
        <w:tc>
          <w:tcPr>
            <w:tcW w:w="0" w:type="dxa"/>
            <w:vAlign w:val="bottom"/>
          </w:tcPr>
          <w:p>
            <w:pPr>
              <w:spacing w:after="0"/>
              <w:rPr>
                <w:sz w:val="1"/>
                <w:szCs w:val="1"/>
                <w:color w:val="auto"/>
              </w:rPr>
            </w:pPr>
          </w:p>
        </w:tc>
      </w:tr>
      <w:tr>
        <w:trPr>
          <w:trHeight w:val="250"/>
        </w:trPr>
        <w:tc>
          <w:tcPr>
            <w:tcW w:w="1180" w:type="dxa"/>
            <w:vAlign w:val="bottom"/>
            <w:tcBorders>
              <w:bottom w:val="single" w:sz="8" w:color="202020"/>
            </w:tcBorders>
          </w:tcPr>
          <w:p>
            <w:pPr>
              <w:ind w:left="60"/>
              <w:spacing w:after="0"/>
              <w:rPr>
                <w:sz w:val="20"/>
                <w:szCs w:val="20"/>
                <w:color w:val="auto"/>
              </w:rPr>
            </w:pPr>
            <w:r>
              <w:rPr>
                <w:rFonts w:ascii="Arial" w:cs="Arial" w:eastAsia="Arial" w:hAnsi="Arial"/>
                <w:sz w:val="15"/>
                <w:szCs w:val="15"/>
                <w:b w:val="1"/>
                <w:bCs w:val="1"/>
                <w:color w:val="202020"/>
              </w:rPr>
              <w:t>December 31,</w:t>
            </w:r>
          </w:p>
        </w:tc>
        <w:tc>
          <w:tcPr>
            <w:tcW w:w="1220" w:type="dxa"/>
            <w:vAlign w:val="bottom"/>
            <w:tcBorders>
              <w:bottom w:val="single" w:sz="8" w:color="202020"/>
            </w:tcBorders>
          </w:tcPr>
          <w:p>
            <w:pPr>
              <w:jc w:val="center"/>
              <w:spacing w:after="0"/>
              <w:rPr>
                <w:sz w:val="20"/>
                <w:szCs w:val="20"/>
                <w:color w:val="auto"/>
              </w:rPr>
            </w:pPr>
            <w:r>
              <w:rPr>
                <w:rFonts w:ascii="Arial" w:cs="Arial" w:eastAsia="Arial" w:hAnsi="Arial"/>
                <w:sz w:val="15"/>
                <w:szCs w:val="15"/>
                <w:b w:val="1"/>
                <w:bCs w:val="1"/>
                <w:color w:val="202020"/>
              </w:rPr>
              <w:t>for PEO</w:t>
            </w:r>
          </w:p>
        </w:tc>
        <w:tc>
          <w:tcPr>
            <w:tcW w:w="1180" w:type="dxa"/>
            <w:vAlign w:val="bottom"/>
            <w:tcBorders>
              <w:bottom w:val="single" w:sz="8" w:color="202020"/>
            </w:tcBorders>
            <w:gridSpan w:val="2"/>
          </w:tcPr>
          <w:p>
            <w:pPr>
              <w:jc w:val="center"/>
              <w:spacing w:after="0"/>
              <w:rPr>
                <w:sz w:val="20"/>
                <w:szCs w:val="20"/>
                <w:color w:val="auto"/>
              </w:rPr>
            </w:pPr>
            <w:r>
              <w:rPr>
                <w:rFonts w:ascii="Arial" w:cs="Arial" w:eastAsia="Arial" w:hAnsi="Arial"/>
                <w:sz w:val="15"/>
                <w:szCs w:val="15"/>
                <w:b w:val="1"/>
                <w:bCs w:val="1"/>
                <w:color w:val="202020"/>
              </w:rPr>
              <w:t>Paid to PEO</w:t>
            </w:r>
            <w:r>
              <w:rPr>
                <w:rFonts w:ascii="Arial" w:cs="Arial" w:eastAsia="Arial" w:hAnsi="Arial"/>
                <w:sz w:val="17"/>
                <w:szCs w:val="17"/>
                <w:b w:val="1"/>
                <w:bCs w:val="1"/>
                <w:color w:val="202020"/>
                <w:vertAlign w:val="superscript"/>
              </w:rPr>
              <w:t>(2)</w:t>
            </w:r>
          </w:p>
        </w:tc>
        <w:tc>
          <w:tcPr>
            <w:tcW w:w="1200" w:type="dxa"/>
            <w:vAlign w:val="bottom"/>
            <w:tcBorders>
              <w:bottom w:val="single" w:sz="8" w:color="202020"/>
            </w:tcBorders>
          </w:tcPr>
          <w:p>
            <w:pPr>
              <w:jc w:val="center"/>
              <w:spacing w:after="0"/>
              <w:rPr>
                <w:sz w:val="20"/>
                <w:szCs w:val="20"/>
                <w:color w:val="auto"/>
              </w:rPr>
            </w:pPr>
            <w:r>
              <w:rPr>
                <w:rFonts w:ascii="Arial" w:cs="Arial" w:eastAsia="Arial" w:hAnsi="Arial"/>
                <w:sz w:val="15"/>
                <w:szCs w:val="15"/>
                <w:b w:val="1"/>
                <w:bCs w:val="1"/>
                <w:color w:val="202020"/>
                <w:w w:val="98"/>
              </w:rPr>
              <w:t>NEOs</w:t>
            </w:r>
            <w:r>
              <w:rPr>
                <w:rFonts w:ascii="Arial" w:cs="Arial" w:eastAsia="Arial" w:hAnsi="Arial"/>
                <w:sz w:val="17"/>
                <w:szCs w:val="17"/>
                <w:b w:val="1"/>
                <w:bCs w:val="1"/>
                <w:color w:val="202020"/>
                <w:w w:val="98"/>
                <w:vertAlign w:val="superscript"/>
              </w:rPr>
              <w:t>(1)</w:t>
            </w:r>
          </w:p>
        </w:tc>
        <w:tc>
          <w:tcPr>
            <w:tcW w:w="1200" w:type="dxa"/>
            <w:vAlign w:val="bottom"/>
            <w:tcBorders>
              <w:bottom w:val="single" w:sz="8" w:color="202020"/>
            </w:tcBorders>
            <w:gridSpan w:val="2"/>
          </w:tcPr>
          <w:p>
            <w:pPr>
              <w:ind w:left="320"/>
              <w:spacing w:after="0"/>
              <w:rPr>
                <w:sz w:val="20"/>
                <w:szCs w:val="20"/>
                <w:color w:val="auto"/>
              </w:rPr>
            </w:pPr>
            <w:r>
              <w:rPr>
                <w:rFonts w:ascii="Arial" w:cs="Arial" w:eastAsia="Arial" w:hAnsi="Arial"/>
                <w:sz w:val="15"/>
                <w:szCs w:val="15"/>
                <w:b w:val="1"/>
                <w:bCs w:val="1"/>
                <w:color w:val="202020"/>
              </w:rPr>
              <w:t>NEOs</w:t>
            </w:r>
            <w:r>
              <w:rPr>
                <w:rFonts w:ascii="Arial" w:cs="Arial" w:eastAsia="Arial" w:hAnsi="Arial"/>
                <w:sz w:val="17"/>
                <w:szCs w:val="17"/>
                <w:b w:val="1"/>
                <w:bCs w:val="1"/>
                <w:color w:val="202020"/>
                <w:vertAlign w:val="superscript"/>
              </w:rPr>
              <w:t>(2)</w:t>
            </w:r>
          </w:p>
        </w:tc>
        <w:tc>
          <w:tcPr>
            <w:tcW w:w="1020" w:type="dxa"/>
            <w:vAlign w:val="bottom"/>
            <w:tcBorders>
              <w:bottom w:val="single" w:sz="8" w:color="202020"/>
            </w:tcBorders>
          </w:tcPr>
          <w:p>
            <w:pPr>
              <w:jc w:val="center"/>
              <w:spacing w:after="0"/>
              <w:rPr>
                <w:sz w:val="20"/>
                <w:szCs w:val="20"/>
                <w:color w:val="auto"/>
              </w:rPr>
            </w:pPr>
            <w:r>
              <w:rPr>
                <w:rFonts w:ascii="Arial" w:cs="Arial" w:eastAsia="Arial" w:hAnsi="Arial"/>
                <w:sz w:val="15"/>
                <w:szCs w:val="15"/>
                <w:b w:val="1"/>
                <w:bCs w:val="1"/>
                <w:color w:val="202020"/>
              </w:rPr>
              <w:t>Return</w:t>
            </w:r>
          </w:p>
        </w:tc>
        <w:tc>
          <w:tcPr>
            <w:tcW w:w="1040" w:type="dxa"/>
            <w:vAlign w:val="bottom"/>
            <w:tcBorders>
              <w:bottom w:val="single" w:sz="8" w:color="202020"/>
            </w:tcBorders>
          </w:tcPr>
          <w:p>
            <w:pPr>
              <w:jc w:val="center"/>
              <w:spacing w:after="0"/>
              <w:rPr>
                <w:sz w:val="20"/>
                <w:szCs w:val="20"/>
                <w:color w:val="auto"/>
              </w:rPr>
            </w:pPr>
            <w:r>
              <w:rPr>
                <w:rFonts w:ascii="Arial" w:cs="Arial" w:eastAsia="Arial" w:hAnsi="Arial"/>
                <w:sz w:val="15"/>
                <w:szCs w:val="15"/>
                <w:b w:val="1"/>
                <w:bCs w:val="1"/>
                <w:color w:val="202020"/>
              </w:rPr>
              <w:t>Return</w:t>
            </w:r>
            <w:r>
              <w:rPr>
                <w:rFonts w:ascii="Arial" w:cs="Arial" w:eastAsia="Arial" w:hAnsi="Arial"/>
                <w:sz w:val="17"/>
                <w:szCs w:val="17"/>
                <w:b w:val="1"/>
                <w:bCs w:val="1"/>
                <w:color w:val="202020"/>
                <w:vertAlign w:val="superscript"/>
              </w:rPr>
              <w:t>(3)</w:t>
            </w:r>
          </w:p>
        </w:tc>
        <w:tc>
          <w:tcPr>
            <w:tcW w:w="1020" w:type="dxa"/>
            <w:vAlign w:val="bottom"/>
            <w:tcBorders>
              <w:bottom w:val="single" w:sz="8" w:color="202020"/>
            </w:tcBorders>
            <w:gridSpan w:val="2"/>
          </w:tcPr>
          <w:p>
            <w:pPr>
              <w:jc w:val="center"/>
              <w:spacing w:after="0"/>
              <w:rPr>
                <w:sz w:val="20"/>
                <w:szCs w:val="20"/>
                <w:color w:val="auto"/>
              </w:rPr>
            </w:pPr>
            <w:r>
              <w:rPr>
                <w:rFonts w:ascii="Arial" w:cs="Arial" w:eastAsia="Arial" w:hAnsi="Arial"/>
                <w:sz w:val="15"/>
                <w:szCs w:val="15"/>
                <w:b w:val="1"/>
                <w:bCs w:val="1"/>
                <w:color w:val="202020"/>
              </w:rPr>
              <w:t>thousands)</w:t>
            </w:r>
          </w:p>
        </w:tc>
        <w:tc>
          <w:tcPr>
            <w:tcW w:w="1060" w:type="dxa"/>
            <w:vAlign w:val="bottom"/>
            <w:tcBorders>
              <w:bottom w:val="single" w:sz="8" w:color="202020"/>
            </w:tcBorders>
          </w:tcPr>
          <w:p>
            <w:pPr>
              <w:jc w:val="right"/>
              <w:spacing w:after="0"/>
              <w:rPr>
                <w:sz w:val="20"/>
                <w:szCs w:val="20"/>
                <w:color w:val="auto"/>
              </w:rPr>
            </w:pPr>
            <w:r>
              <w:rPr>
                <w:rFonts w:ascii="Arial" w:cs="Arial" w:eastAsia="Arial" w:hAnsi="Arial"/>
                <w:sz w:val="15"/>
                <w:szCs w:val="15"/>
                <w:b w:val="1"/>
                <w:bCs w:val="1"/>
                <w:color w:val="202020"/>
              </w:rPr>
              <w:t>thousands)</w:t>
            </w:r>
            <w:r>
              <w:rPr>
                <w:rFonts w:ascii="Arial" w:cs="Arial" w:eastAsia="Arial" w:hAnsi="Arial"/>
                <w:sz w:val="17"/>
                <w:szCs w:val="17"/>
                <w:b w:val="1"/>
                <w:bCs w:val="1"/>
                <w:color w:val="202020"/>
                <w:vertAlign w:val="superscript"/>
              </w:rPr>
              <w:t>(4)</w:t>
            </w:r>
          </w:p>
        </w:tc>
        <w:tc>
          <w:tcPr>
            <w:tcW w:w="0" w:type="dxa"/>
            <w:vAlign w:val="bottom"/>
          </w:tcPr>
          <w:p>
            <w:pPr>
              <w:spacing w:after="0"/>
              <w:rPr>
                <w:sz w:val="1"/>
                <w:szCs w:val="1"/>
                <w:color w:val="auto"/>
              </w:rPr>
            </w:pPr>
          </w:p>
        </w:tc>
      </w:tr>
      <w:tr>
        <w:trPr>
          <w:trHeight w:val="220"/>
        </w:trPr>
        <w:tc>
          <w:tcPr>
            <w:tcW w:w="118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2025</w:t>
            </w:r>
          </w:p>
        </w:tc>
        <w:tc>
          <w:tcPr>
            <w:tcW w:w="122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$5,366,709</w:t>
            </w:r>
          </w:p>
        </w:tc>
        <w:tc>
          <w:tcPr>
            <w:tcW w:w="32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4,834,841</w:t>
            </w:r>
          </w:p>
        </w:tc>
        <w:tc>
          <w:tcPr>
            <w:tcW w:w="12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$1,912,099</w:t>
            </w:r>
          </w:p>
        </w:tc>
        <w:tc>
          <w:tcPr>
            <w:tcW w:w="420" w:type="dxa"/>
            <w:vAlign w:val="bottom"/>
            <w:shd w:val="clear" w:color="auto" w:fill="E9E9E9"/>
          </w:tcPr>
          <w:p>
            <w:pPr>
              <w:ind w:left="320"/>
              <w:spacing w:after="0"/>
              <w:rPr>
                <w:sz w:val="20"/>
                <w:szCs w:val="20"/>
                <w:color w:val="auto"/>
              </w:rPr>
            </w:pPr>
            <w:r>
              <w:rPr>
                <w:rFonts w:ascii="Arial" w:cs="Arial" w:eastAsia="Arial" w:hAnsi="Arial"/>
                <w:sz w:val="16"/>
                <w:szCs w:val="16"/>
                <w:color w:val="202020"/>
                <w:w w:val="89"/>
              </w:rPr>
              <w:t>$</w:t>
            </w:r>
          </w:p>
        </w:tc>
        <w:tc>
          <w:tcPr>
            <w:tcW w:w="780" w:type="dxa"/>
            <w:vAlign w:val="bottom"/>
            <w:shd w:val="clear" w:color="auto" w:fill="E9E9E9"/>
          </w:tcPr>
          <w:p>
            <w:pPr>
              <w:jc w:val="right"/>
              <w:spacing w:after="0"/>
              <w:rPr>
                <w:sz w:val="20"/>
                <w:szCs w:val="20"/>
                <w:color w:val="auto"/>
              </w:rPr>
            </w:pPr>
            <w:r>
              <w:rPr>
                <w:rFonts w:ascii="Arial" w:cs="Arial" w:eastAsia="Arial" w:hAnsi="Arial"/>
                <w:sz w:val="16"/>
                <w:szCs w:val="16"/>
                <w:color w:val="202020"/>
                <w:w w:val="98"/>
              </w:rPr>
              <w:t>1,728,087</w:t>
            </w:r>
          </w:p>
        </w:tc>
        <w:tc>
          <w:tcPr>
            <w:tcW w:w="102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$155</w:t>
            </w:r>
          </w:p>
        </w:tc>
        <w:tc>
          <w:tcPr>
            <w:tcW w:w="10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$201</w:t>
            </w:r>
          </w:p>
        </w:tc>
        <w:tc>
          <w:tcPr>
            <w:tcW w:w="3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720" w:type="dxa"/>
            <w:vAlign w:val="bottom"/>
            <w:shd w:val="clear" w:color="auto" w:fill="E9E9E9"/>
          </w:tcPr>
          <w:p>
            <w:pPr>
              <w:jc w:val="right"/>
              <w:spacing w:after="0"/>
              <w:rPr>
                <w:sz w:val="20"/>
                <w:szCs w:val="20"/>
                <w:color w:val="auto"/>
              </w:rPr>
            </w:pPr>
            <w:r>
              <w:rPr>
                <w:rFonts w:ascii="Arial" w:cs="Arial" w:eastAsia="Arial" w:hAnsi="Arial"/>
                <w:sz w:val="16"/>
                <w:szCs w:val="16"/>
                <w:color w:val="202020"/>
                <w:w w:val="96"/>
              </w:rPr>
              <w:t>(258,757)</w:t>
            </w:r>
          </w:p>
        </w:tc>
        <w:tc>
          <w:tcPr>
            <w:tcW w:w="10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$518,573</w:t>
            </w:r>
          </w:p>
        </w:tc>
        <w:tc>
          <w:tcPr>
            <w:tcW w:w="0" w:type="dxa"/>
            <w:vAlign w:val="bottom"/>
          </w:tcPr>
          <w:p>
            <w:pPr>
              <w:spacing w:after="0"/>
              <w:rPr>
                <w:sz w:val="1"/>
                <w:szCs w:val="1"/>
                <w:color w:val="auto"/>
              </w:rPr>
            </w:pPr>
          </w:p>
        </w:tc>
      </w:tr>
      <w:tr>
        <w:trPr>
          <w:trHeight w:val="180"/>
        </w:trPr>
        <w:tc>
          <w:tcPr>
            <w:tcW w:w="1180" w:type="dxa"/>
            <w:vAlign w:val="bottom"/>
          </w:tcPr>
          <w:p>
            <w:pPr>
              <w:ind w:left="60"/>
              <w:spacing w:after="0" w:line="180" w:lineRule="exact"/>
              <w:rPr>
                <w:sz w:val="20"/>
                <w:szCs w:val="20"/>
                <w:color w:val="auto"/>
              </w:rPr>
            </w:pPr>
            <w:r>
              <w:rPr>
                <w:rFonts w:ascii="Arial" w:cs="Arial" w:eastAsia="Arial" w:hAnsi="Arial"/>
                <w:sz w:val="16"/>
                <w:szCs w:val="16"/>
                <w:color w:val="202020"/>
              </w:rPr>
              <w:t>2024</w:t>
            </w: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202020"/>
              </w:rPr>
              <w:t>$9,229,165</w:t>
            </w:r>
          </w:p>
        </w:tc>
        <w:tc>
          <w:tcPr>
            <w:tcW w:w="32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202020"/>
              </w:rPr>
              <w:t>75,804</w:t>
            </w: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202020"/>
              </w:rPr>
              <w:t>$2,979,068</w:t>
            </w:r>
          </w:p>
        </w:tc>
        <w:tc>
          <w:tcPr>
            <w:tcW w:w="420" w:type="dxa"/>
            <w:vAlign w:val="bottom"/>
          </w:tcPr>
          <w:p>
            <w:pPr>
              <w:ind w:left="320"/>
              <w:spacing w:after="0" w:line="180" w:lineRule="exact"/>
              <w:rPr>
                <w:sz w:val="20"/>
                <w:szCs w:val="20"/>
                <w:color w:val="auto"/>
              </w:rPr>
            </w:pPr>
            <w:r>
              <w:rPr>
                <w:rFonts w:ascii="Arial" w:cs="Arial" w:eastAsia="Arial" w:hAnsi="Arial"/>
                <w:sz w:val="16"/>
                <w:szCs w:val="16"/>
                <w:color w:val="202020"/>
                <w:w w:val="89"/>
              </w:rPr>
              <w:t>$</w:t>
            </w: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202020"/>
              </w:rPr>
              <w:t>98,029</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202020"/>
              </w:rPr>
              <w:t>$144</w:t>
            </w: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202020"/>
              </w:rPr>
              <w:t>$156</w:t>
            </w:r>
          </w:p>
        </w:tc>
        <w:tc>
          <w:tcPr>
            <w:tcW w:w="30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202020"/>
                <w:w w:val="96"/>
              </w:rPr>
              <w:t>(157,863)</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202020"/>
              </w:rPr>
              <w:t>$725,281</w:t>
            </w:r>
          </w:p>
        </w:tc>
        <w:tc>
          <w:tcPr>
            <w:tcW w:w="0" w:type="dxa"/>
            <w:vAlign w:val="bottom"/>
          </w:tcPr>
          <w:p>
            <w:pPr>
              <w:spacing w:after="0"/>
              <w:rPr>
                <w:sz w:val="1"/>
                <w:szCs w:val="1"/>
                <w:color w:val="auto"/>
              </w:rPr>
            </w:pPr>
          </w:p>
        </w:tc>
      </w:tr>
      <w:tr>
        <w:trPr>
          <w:trHeight w:val="180"/>
        </w:trPr>
        <w:tc>
          <w:tcPr>
            <w:tcW w:w="1180" w:type="dxa"/>
            <w:vAlign w:val="bottom"/>
            <w:shd w:val="clear" w:color="auto" w:fill="E9E9E9"/>
          </w:tcPr>
          <w:p>
            <w:pPr>
              <w:ind w:left="60"/>
              <w:spacing w:after="0" w:line="180" w:lineRule="exact"/>
              <w:rPr>
                <w:sz w:val="20"/>
                <w:szCs w:val="20"/>
                <w:color w:val="auto"/>
              </w:rPr>
            </w:pPr>
            <w:r>
              <w:rPr>
                <w:rFonts w:ascii="Arial" w:cs="Arial" w:eastAsia="Arial" w:hAnsi="Arial"/>
                <w:sz w:val="16"/>
                <w:szCs w:val="16"/>
                <w:color w:val="202020"/>
              </w:rPr>
              <w:t>2023</w:t>
            </w:r>
          </w:p>
        </w:tc>
        <w:tc>
          <w:tcPr>
            <w:tcW w:w="12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$8,361,844</w:t>
            </w:r>
          </w:p>
        </w:tc>
        <w:tc>
          <w:tcPr>
            <w:tcW w:w="3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3,737,921</w:t>
            </w:r>
          </w:p>
        </w:tc>
        <w:tc>
          <w:tcPr>
            <w:tcW w:w="120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$3,067,602</w:t>
            </w:r>
          </w:p>
        </w:tc>
        <w:tc>
          <w:tcPr>
            <w:tcW w:w="420" w:type="dxa"/>
            <w:vAlign w:val="bottom"/>
            <w:shd w:val="clear" w:color="auto" w:fill="E9E9E9"/>
          </w:tcPr>
          <w:p>
            <w:pPr>
              <w:ind w:left="320"/>
              <w:spacing w:after="0" w:line="180" w:lineRule="exact"/>
              <w:rPr>
                <w:sz w:val="20"/>
                <w:szCs w:val="20"/>
                <w:color w:val="auto"/>
              </w:rPr>
            </w:pPr>
            <w:r>
              <w:rPr>
                <w:rFonts w:ascii="Arial" w:cs="Arial" w:eastAsia="Arial" w:hAnsi="Arial"/>
                <w:sz w:val="16"/>
                <w:szCs w:val="16"/>
                <w:color w:val="202020"/>
                <w:w w:val="89"/>
              </w:rPr>
              <w:t>$</w:t>
            </w:r>
          </w:p>
        </w:tc>
        <w:tc>
          <w:tcPr>
            <w:tcW w:w="7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w w:val="98"/>
              </w:rPr>
              <w:t>1,456,996</w:t>
            </w:r>
          </w:p>
        </w:tc>
        <w:tc>
          <w:tcPr>
            <w:tcW w:w="10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$226</w:t>
            </w:r>
          </w:p>
        </w:tc>
        <w:tc>
          <w:tcPr>
            <w:tcW w:w="104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$144</w:t>
            </w:r>
          </w:p>
        </w:tc>
        <w:tc>
          <w:tcPr>
            <w:tcW w:w="30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w:t>
            </w:r>
          </w:p>
        </w:tc>
        <w:tc>
          <w:tcPr>
            <w:tcW w:w="7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w w:val="96"/>
              </w:rPr>
              <w:t>(141,429)</w:t>
            </w:r>
          </w:p>
        </w:tc>
        <w:tc>
          <w:tcPr>
            <w:tcW w:w="106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$423,598</w:t>
            </w:r>
          </w:p>
        </w:tc>
        <w:tc>
          <w:tcPr>
            <w:tcW w:w="0" w:type="dxa"/>
            <w:vAlign w:val="bottom"/>
          </w:tcPr>
          <w:p>
            <w:pPr>
              <w:spacing w:after="0"/>
              <w:rPr>
                <w:sz w:val="1"/>
                <w:szCs w:val="1"/>
                <w:color w:val="auto"/>
              </w:rPr>
            </w:pPr>
          </w:p>
        </w:tc>
      </w:tr>
      <w:tr>
        <w:trPr>
          <w:trHeight w:val="180"/>
        </w:trPr>
        <w:tc>
          <w:tcPr>
            <w:tcW w:w="1180" w:type="dxa"/>
            <w:vAlign w:val="bottom"/>
          </w:tcPr>
          <w:p>
            <w:pPr>
              <w:ind w:left="60"/>
              <w:spacing w:after="0" w:line="180" w:lineRule="exact"/>
              <w:rPr>
                <w:sz w:val="20"/>
                <w:szCs w:val="20"/>
                <w:color w:val="auto"/>
              </w:rPr>
            </w:pPr>
            <w:r>
              <w:rPr>
                <w:rFonts w:ascii="Arial" w:cs="Arial" w:eastAsia="Arial" w:hAnsi="Arial"/>
                <w:sz w:val="16"/>
                <w:szCs w:val="16"/>
                <w:color w:val="202020"/>
              </w:rPr>
              <w:t>2022</w:t>
            </w:r>
          </w:p>
        </w:tc>
        <w:tc>
          <w:tcPr>
            <w:tcW w:w="1220" w:type="dxa"/>
            <w:vAlign w:val="bottom"/>
          </w:tcPr>
          <w:p>
            <w:pPr>
              <w:jc w:val="right"/>
              <w:spacing w:after="0" w:line="180" w:lineRule="exact"/>
              <w:rPr>
                <w:sz w:val="20"/>
                <w:szCs w:val="20"/>
                <w:color w:val="auto"/>
              </w:rPr>
            </w:pPr>
            <w:r>
              <w:rPr>
                <w:rFonts w:ascii="Arial" w:cs="Arial" w:eastAsia="Arial" w:hAnsi="Arial"/>
                <w:sz w:val="16"/>
                <w:szCs w:val="16"/>
                <w:color w:val="202020"/>
              </w:rPr>
              <w:t>$5,401,283</w:t>
            </w:r>
          </w:p>
        </w:tc>
        <w:tc>
          <w:tcPr>
            <w:tcW w:w="32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202020"/>
                <w:w w:val="99"/>
              </w:rPr>
              <w:t>10,096,324</w:t>
            </w: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202020"/>
              </w:rPr>
              <w:t>$2,055,757</w:t>
            </w:r>
          </w:p>
        </w:tc>
        <w:tc>
          <w:tcPr>
            <w:tcW w:w="420" w:type="dxa"/>
            <w:vAlign w:val="bottom"/>
          </w:tcPr>
          <w:p>
            <w:pPr>
              <w:ind w:left="320"/>
              <w:spacing w:after="0" w:line="180" w:lineRule="exact"/>
              <w:rPr>
                <w:sz w:val="20"/>
                <w:szCs w:val="20"/>
                <w:color w:val="auto"/>
              </w:rPr>
            </w:pPr>
            <w:r>
              <w:rPr>
                <w:rFonts w:ascii="Arial" w:cs="Arial" w:eastAsia="Arial" w:hAnsi="Arial"/>
                <w:sz w:val="16"/>
                <w:szCs w:val="16"/>
                <w:color w:val="202020"/>
                <w:w w:val="89"/>
              </w:rPr>
              <w:t>$</w:t>
            </w:r>
          </w:p>
        </w:tc>
        <w:tc>
          <w:tcPr>
            <w:tcW w:w="780" w:type="dxa"/>
            <w:vAlign w:val="bottom"/>
          </w:tcPr>
          <w:p>
            <w:pPr>
              <w:jc w:val="right"/>
              <w:spacing w:after="0" w:line="180" w:lineRule="exact"/>
              <w:rPr>
                <w:sz w:val="20"/>
                <w:szCs w:val="20"/>
                <w:color w:val="auto"/>
              </w:rPr>
            </w:pPr>
            <w:r>
              <w:rPr>
                <w:rFonts w:ascii="Arial" w:cs="Arial" w:eastAsia="Arial" w:hAnsi="Arial"/>
                <w:sz w:val="16"/>
                <w:szCs w:val="16"/>
                <w:color w:val="202020"/>
                <w:w w:val="98"/>
              </w:rPr>
              <w:t>3,596,459</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202020"/>
              </w:rPr>
              <w:t>$254</w:t>
            </w:r>
          </w:p>
        </w:tc>
        <w:tc>
          <w:tcPr>
            <w:tcW w:w="1040" w:type="dxa"/>
            <w:vAlign w:val="bottom"/>
          </w:tcPr>
          <w:p>
            <w:pPr>
              <w:jc w:val="right"/>
              <w:spacing w:after="0" w:line="180" w:lineRule="exact"/>
              <w:rPr>
                <w:sz w:val="20"/>
                <w:szCs w:val="20"/>
                <w:color w:val="auto"/>
              </w:rPr>
            </w:pPr>
            <w:r>
              <w:rPr>
                <w:rFonts w:ascii="Arial" w:cs="Arial" w:eastAsia="Arial" w:hAnsi="Arial"/>
                <w:sz w:val="16"/>
                <w:szCs w:val="16"/>
                <w:color w:val="202020"/>
              </w:rPr>
              <w:t>$139</w:t>
            </w:r>
          </w:p>
        </w:tc>
        <w:tc>
          <w:tcPr>
            <w:tcW w:w="30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720" w:type="dxa"/>
            <w:vAlign w:val="bottom"/>
          </w:tcPr>
          <w:p>
            <w:pPr>
              <w:jc w:val="right"/>
              <w:spacing w:after="0" w:line="180" w:lineRule="exact"/>
              <w:rPr>
                <w:sz w:val="20"/>
                <w:szCs w:val="20"/>
                <w:color w:val="auto"/>
              </w:rPr>
            </w:pPr>
            <w:r>
              <w:rPr>
                <w:rFonts w:ascii="Arial" w:cs="Arial" w:eastAsia="Arial" w:hAnsi="Arial"/>
                <w:sz w:val="16"/>
                <w:szCs w:val="16"/>
                <w:color w:val="202020"/>
                <w:w w:val="96"/>
              </w:rPr>
              <w:t>(112,325)</w:t>
            </w: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202020"/>
              </w:rPr>
              <w:t>$304,952</w:t>
            </w:r>
          </w:p>
        </w:tc>
        <w:tc>
          <w:tcPr>
            <w:tcW w:w="0" w:type="dxa"/>
            <w:vAlign w:val="bottom"/>
          </w:tcPr>
          <w:p>
            <w:pPr>
              <w:spacing w:after="0"/>
              <w:rPr>
                <w:sz w:val="1"/>
                <w:szCs w:val="1"/>
                <w:color w:val="auto"/>
              </w:rPr>
            </w:pPr>
          </w:p>
        </w:tc>
      </w:tr>
      <w:tr>
        <w:trPr>
          <w:trHeight w:val="229"/>
        </w:trPr>
        <w:tc>
          <w:tcPr>
            <w:tcW w:w="1180" w:type="dxa"/>
            <w:vAlign w:val="bottom"/>
            <w:tcBorders>
              <w:bottom w:val="single" w:sz="8" w:color="202020"/>
            </w:tcBorders>
            <w:shd w:val="clear" w:color="auto" w:fill="E9E9E9"/>
          </w:tcPr>
          <w:p>
            <w:pPr>
              <w:ind w:left="60"/>
              <w:spacing w:after="0"/>
              <w:rPr>
                <w:sz w:val="20"/>
                <w:szCs w:val="20"/>
                <w:color w:val="auto"/>
              </w:rPr>
            </w:pPr>
            <w:r>
              <w:rPr>
                <w:rFonts w:ascii="Arial" w:cs="Arial" w:eastAsia="Arial" w:hAnsi="Arial"/>
                <w:sz w:val="16"/>
                <w:szCs w:val="16"/>
                <w:color w:val="202020"/>
              </w:rPr>
              <w:t>2021</w:t>
            </w:r>
          </w:p>
        </w:tc>
        <w:tc>
          <w:tcPr>
            <w:tcW w:w="122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$6,045,894</w:t>
            </w:r>
          </w:p>
        </w:tc>
        <w:tc>
          <w:tcPr>
            <w:tcW w:w="32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86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w w:val="99"/>
              </w:rPr>
              <w:t>13,902,770</w:t>
            </w:r>
          </w:p>
        </w:tc>
        <w:tc>
          <w:tcPr>
            <w:tcW w:w="120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$2,390,179</w:t>
            </w:r>
          </w:p>
        </w:tc>
        <w:tc>
          <w:tcPr>
            <w:tcW w:w="420" w:type="dxa"/>
            <w:vAlign w:val="bottom"/>
            <w:tcBorders>
              <w:bottom w:val="single" w:sz="8" w:color="202020"/>
            </w:tcBorders>
            <w:shd w:val="clear" w:color="auto" w:fill="E9E9E9"/>
          </w:tcPr>
          <w:p>
            <w:pPr>
              <w:ind w:left="320"/>
              <w:spacing w:after="0"/>
              <w:rPr>
                <w:sz w:val="20"/>
                <w:szCs w:val="20"/>
                <w:color w:val="auto"/>
              </w:rPr>
            </w:pPr>
            <w:r>
              <w:rPr>
                <w:rFonts w:ascii="Arial" w:cs="Arial" w:eastAsia="Arial" w:hAnsi="Arial"/>
                <w:sz w:val="16"/>
                <w:szCs w:val="16"/>
                <w:color w:val="202020"/>
                <w:w w:val="89"/>
              </w:rPr>
              <w:t>$</w:t>
            </w:r>
          </w:p>
        </w:tc>
        <w:tc>
          <w:tcPr>
            <w:tcW w:w="7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w w:val="98"/>
              </w:rPr>
              <w:t>5,115,872</w:t>
            </w:r>
          </w:p>
        </w:tc>
        <w:tc>
          <w:tcPr>
            <w:tcW w:w="102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$221</w:t>
            </w:r>
          </w:p>
        </w:tc>
        <w:tc>
          <w:tcPr>
            <w:tcW w:w="104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$124</w:t>
            </w:r>
          </w:p>
        </w:tc>
        <w:tc>
          <w:tcPr>
            <w:tcW w:w="30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72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(70,511)</w:t>
            </w:r>
          </w:p>
        </w:tc>
        <w:tc>
          <w:tcPr>
            <w:tcW w:w="106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$408,250</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0" w:hanging="399"/>
        <w:spacing w:after="0" w:line="281" w:lineRule="auto"/>
        <w:tabs>
          <w:tab w:leader="none" w:pos="400" w:val="left"/>
        </w:tabs>
        <w:numPr>
          <w:ilvl w:val="0"/>
          <w:numId w:val="31"/>
        </w:numPr>
        <w:rPr>
          <w:rFonts w:ascii="Arial" w:cs="Arial" w:eastAsia="Arial" w:hAnsi="Arial"/>
          <w:sz w:val="16"/>
          <w:szCs w:val="16"/>
          <w:color w:val="202020"/>
        </w:rPr>
      </w:pPr>
      <w:r>
        <w:rPr>
          <w:rFonts w:ascii="Arial" w:cs="Arial" w:eastAsia="Arial" w:hAnsi="Arial"/>
          <w:sz w:val="16"/>
          <w:szCs w:val="16"/>
          <w:color w:val="202020"/>
        </w:rPr>
        <w:t>As reflected elsewhere herein, our Non-PEO NEOs for 2025 and 2024 were Tibor Keler, Ph.D., Sam Martin, Margo-Heath Chiozzi, M.D. and Elizabeth Crowley. Our Non-PEO NEOs for 2023 and 2022 were Tibor Keler, Ph.D., Sam Martin, Margo-Heath Chiozzi, M.D. and Diane C. Young, M.D. Our Non-PEO NEOs for 2021 were Tibor Keler, Ph.D., Freddy Jimenez, Sam Martin and Diane C. Young, M.D.</w:t>
      </w:r>
    </w:p>
    <w:p>
      <w:pPr>
        <w:spacing w:after="0" w:line="32" w:lineRule="exact"/>
        <w:rPr>
          <w:rFonts w:ascii="Arial" w:cs="Arial" w:eastAsia="Arial" w:hAnsi="Arial"/>
          <w:sz w:val="16"/>
          <w:szCs w:val="16"/>
          <w:color w:val="202020"/>
        </w:rPr>
      </w:pPr>
    </w:p>
    <w:p>
      <w:pPr>
        <w:ind w:left="400" w:hanging="399"/>
        <w:spacing w:after="0" w:line="302" w:lineRule="auto"/>
        <w:tabs>
          <w:tab w:leader="none" w:pos="400" w:val="left"/>
        </w:tabs>
        <w:numPr>
          <w:ilvl w:val="0"/>
          <w:numId w:val="31"/>
        </w:numPr>
        <w:rPr>
          <w:rFonts w:ascii="Arial" w:cs="Arial" w:eastAsia="Arial" w:hAnsi="Arial"/>
          <w:sz w:val="16"/>
          <w:szCs w:val="16"/>
          <w:color w:val="202020"/>
        </w:rPr>
      </w:pPr>
      <w:r>
        <w:rPr>
          <w:rFonts w:ascii="Arial" w:cs="Arial" w:eastAsia="Arial" w:hAnsi="Arial"/>
          <w:sz w:val="16"/>
          <w:szCs w:val="16"/>
          <w:color w:val="202020"/>
        </w:rPr>
        <w:t>The following table outlines the adjustments made to the compensation earned by the Company’s PEO and other NEOs, as presented in the Summary Compensation Table, to derive the compensation actually paid to the Company’s PEO and other NEOs.</w:t>
      </w:r>
    </w:p>
    <w:p>
      <w:pPr>
        <w:spacing w:after="0" w:line="176"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202020"/>
        </w:rPr>
        <w:t>Adjustments</w:t>
      </w:r>
    </w:p>
    <w:p>
      <w:pPr>
        <w:spacing w:after="0" w:line="46"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920" w:type="dxa"/>
            <w:vAlign w:val="bottom"/>
            <w:tcBorders>
              <w:top w:val="single" w:sz="8" w:color="202020"/>
            </w:tcBorders>
          </w:tcPr>
          <w:p>
            <w:pPr>
              <w:spacing w:after="0"/>
              <w:rPr>
                <w:sz w:val="19"/>
                <w:szCs w:val="19"/>
                <w:color w:val="auto"/>
              </w:rPr>
            </w:pPr>
          </w:p>
        </w:tc>
        <w:tc>
          <w:tcPr>
            <w:tcW w:w="1680" w:type="dxa"/>
            <w:vAlign w:val="bottom"/>
            <w:tcBorders>
              <w:top w:val="single" w:sz="8" w:color="202020"/>
            </w:tcBorders>
          </w:tcPr>
          <w:p>
            <w:pPr>
              <w:spacing w:after="0"/>
              <w:rPr>
                <w:sz w:val="19"/>
                <w:szCs w:val="19"/>
                <w:color w:val="auto"/>
              </w:rPr>
            </w:pPr>
          </w:p>
        </w:tc>
        <w:tc>
          <w:tcPr>
            <w:tcW w:w="1380" w:type="dxa"/>
            <w:vAlign w:val="bottom"/>
            <w:tcBorders>
              <w:top w:val="single" w:sz="8" w:color="202020"/>
            </w:tcBorders>
          </w:tcPr>
          <w:p>
            <w:pPr>
              <w:spacing w:after="0"/>
              <w:rPr>
                <w:sz w:val="19"/>
                <w:szCs w:val="19"/>
                <w:color w:val="auto"/>
              </w:rPr>
            </w:pPr>
          </w:p>
        </w:tc>
        <w:tc>
          <w:tcPr>
            <w:tcW w:w="1420" w:type="dxa"/>
            <w:vAlign w:val="bottom"/>
            <w:tcBorders>
              <w:top w:val="single" w:sz="8" w:color="202020"/>
            </w:tcBorders>
          </w:tcPr>
          <w:p>
            <w:pPr>
              <w:spacing w:after="0"/>
              <w:rPr>
                <w:sz w:val="19"/>
                <w:szCs w:val="19"/>
                <w:color w:val="auto"/>
              </w:rPr>
            </w:pPr>
          </w:p>
        </w:tc>
        <w:tc>
          <w:tcPr>
            <w:tcW w:w="1500" w:type="dxa"/>
            <w:vAlign w:val="bottom"/>
            <w:tcBorders>
              <w:top w:val="single" w:sz="8" w:color="202020"/>
            </w:tcBorders>
          </w:tcPr>
          <w:p>
            <w:pPr>
              <w:jc w:val="center"/>
              <w:spacing w:after="0"/>
              <w:rPr>
                <w:sz w:val="20"/>
                <w:szCs w:val="20"/>
                <w:color w:val="auto"/>
              </w:rPr>
            </w:pPr>
            <w:r>
              <w:rPr>
                <w:rFonts w:ascii="Arial" w:cs="Arial" w:eastAsia="Arial" w:hAnsi="Arial"/>
                <w:sz w:val="16"/>
                <w:szCs w:val="16"/>
                <w:b w:val="1"/>
                <w:bCs w:val="1"/>
                <w:color w:val="202020"/>
              </w:rPr>
              <w:t>Adjust for</w:t>
            </w:r>
          </w:p>
        </w:tc>
        <w:tc>
          <w:tcPr>
            <w:tcW w:w="1580" w:type="dxa"/>
            <w:vAlign w:val="bottom"/>
            <w:tcBorders>
              <w:top w:val="single" w:sz="8" w:color="202020"/>
            </w:tcBorders>
          </w:tcPr>
          <w:p>
            <w:pPr>
              <w:spacing w:after="0"/>
              <w:rPr>
                <w:sz w:val="19"/>
                <w:szCs w:val="19"/>
                <w:color w:val="auto"/>
              </w:rPr>
            </w:pPr>
          </w:p>
        </w:tc>
        <w:tc>
          <w:tcPr>
            <w:tcW w:w="380" w:type="dxa"/>
            <w:vAlign w:val="bottom"/>
            <w:tcBorders>
              <w:top w:val="single" w:sz="8" w:color="202020"/>
            </w:tcBorders>
          </w:tcPr>
          <w:p>
            <w:pPr>
              <w:spacing w:after="0"/>
              <w:rPr>
                <w:sz w:val="19"/>
                <w:szCs w:val="19"/>
                <w:color w:val="auto"/>
              </w:rPr>
            </w:pPr>
          </w:p>
        </w:tc>
        <w:tc>
          <w:tcPr>
            <w:tcW w:w="860" w:type="dxa"/>
            <w:vAlign w:val="bottom"/>
            <w:tcBorders>
              <w:top w:val="single" w:sz="8" w:color="202020"/>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w w:val="98"/>
              </w:rPr>
              <w:t>Less: Grant</w:t>
            </w:r>
          </w:p>
        </w:tc>
        <w:tc>
          <w:tcPr>
            <w:tcW w:w="1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w w:val="97"/>
              </w:rPr>
              <w:t>Add: Year-End</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Change in Fair</w:t>
            </w:r>
          </w:p>
        </w:tc>
        <w:tc>
          <w:tcPr>
            <w:tcW w:w="15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Adjust for Change</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Date Fair Value</w:t>
            </w:r>
          </w:p>
        </w:tc>
        <w:tc>
          <w:tcPr>
            <w:tcW w:w="1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Fair Value of</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Value of</w:t>
            </w:r>
          </w:p>
        </w:tc>
        <w:tc>
          <w:tcPr>
            <w:tcW w:w="15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in Fair Value of</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of Option</w:t>
            </w:r>
          </w:p>
        </w:tc>
        <w:tc>
          <w:tcPr>
            <w:tcW w:w="1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Outstanding</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Outstanding and</w:t>
            </w:r>
          </w:p>
        </w:tc>
        <w:tc>
          <w:tcPr>
            <w:tcW w:w="15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Option Awards</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Awards</w:t>
            </w:r>
          </w:p>
        </w:tc>
        <w:tc>
          <w:tcPr>
            <w:tcW w:w="1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and Unvested</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Unvested Option</w:t>
            </w:r>
          </w:p>
        </w:tc>
        <w:tc>
          <w:tcPr>
            <w:tcW w:w="15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Granted in Prior</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1680" w:type="dxa"/>
            <w:vAlign w:val="bottom"/>
          </w:tcPr>
          <w:p>
            <w:pPr>
              <w:jc w:val="right"/>
              <w:ind w:right="180"/>
              <w:spacing w:after="0" w:line="180" w:lineRule="exact"/>
              <w:rPr>
                <w:sz w:val="20"/>
                <w:szCs w:val="20"/>
                <w:color w:val="auto"/>
              </w:rPr>
            </w:pPr>
            <w:r>
              <w:rPr>
                <w:rFonts w:ascii="Arial" w:cs="Arial" w:eastAsia="Arial" w:hAnsi="Arial"/>
                <w:sz w:val="16"/>
                <w:szCs w:val="16"/>
                <w:b w:val="1"/>
                <w:bCs w:val="1"/>
                <w:color w:val="202020"/>
              </w:rPr>
              <w:t>Summary</w:t>
            </w:r>
          </w:p>
        </w:tc>
        <w:tc>
          <w:tcPr>
            <w:tcW w:w="1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Granted during</w:t>
            </w:r>
          </w:p>
        </w:tc>
        <w:tc>
          <w:tcPr>
            <w:tcW w:w="14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Option Awards</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Awards Granted</w:t>
            </w:r>
          </w:p>
        </w:tc>
        <w:tc>
          <w:tcPr>
            <w:tcW w:w="15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Fiscal Years that</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202020"/>
              </w:rPr>
              <w:t>Compensation</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1680" w:type="dxa"/>
            <w:vAlign w:val="bottom"/>
          </w:tcPr>
          <w:p>
            <w:pPr>
              <w:jc w:val="right"/>
              <w:spacing w:after="0" w:line="179" w:lineRule="exact"/>
              <w:rPr>
                <w:sz w:val="20"/>
                <w:szCs w:val="20"/>
                <w:color w:val="auto"/>
              </w:rPr>
            </w:pPr>
            <w:r>
              <w:rPr>
                <w:rFonts w:ascii="Arial" w:cs="Arial" w:eastAsia="Arial" w:hAnsi="Arial"/>
                <w:sz w:val="16"/>
                <w:szCs w:val="16"/>
                <w:b w:val="1"/>
                <w:bCs w:val="1"/>
                <w:color w:val="202020"/>
              </w:rPr>
              <w:t>Compensation</w:t>
            </w:r>
          </w:p>
        </w:tc>
        <w:tc>
          <w:tcPr>
            <w:tcW w:w="13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the Fiscal</w:t>
            </w:r>
          </w:p>
        </w:tc>
        <w:tc>
          <w:tcPr>
            <w:tcW w:w="14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Granted during</w:t>
            </w:r>
          </w:p>
        </w:tc>
        <w:tc>
          <w:tcPr>
            <w:tcW w:w="150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in Prior Fiscal</w:t>
            </w:r>
          </w:p>
        </w:tc>
        <w:tc>
          <w:tcPr>
            <w:tcW w:w="15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Vested During the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2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PEO</w:t>
            </w:r>
          </w:p>
        </w:tc>
        <w:tc>
          <w:tcPr>
            <w:tcW w:w="1680" w:type="dxa"/>
            <w:vAlign w:val="bottom"/>
            <w:tcBorders>
              <w:bottom w:val="single" w:sz="8" w:color="202020"/>
            </w:tcBorders>
          </w:tcPr>
          <w:p>
            <w:pPr>
              <w:jc w:val="right"/>
              <w:ind w:right="120"/>
              <w:spacing w:after="0"/>
              <w:rPr>
                <w:sz w:val="20"/>
                <w:szCs w:val="20"/>
                <w:color w:val="auto"/>
              </w:rPr>
            </w:pPr>
            <w:r>
              <w:rPr>
                <w:rFonts w:ascii="Arial" w:cs="Arial" w:eastAsia="Arial" w:hAnsi="Arial"/>
                <w:sz w:val="16"/>
                <w:szCs w:val="16"/>
                <w:b w:val="1"/>
                <w:bCs w:val="1"/>
                <w:color w:val="202020"/>
              </w:rPr>
              <w:t>Table Total</w:t>
            </w:r>
          </w:p>
        </w:tc>
        <w:tc>
          <w:tcPr>
            <w:tcW w:w="13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Year</w:t>
            </w:r>
            <w:r>
              <w:rPr>
                <w:rFonts w:ascii="Arial" w:cs="Arial" w:eastAsia="Arial" w:hAnsi="Arial"/>
                <w:sz w:val="19"/>
                <w:szCs w:val="19"/>
                <w:b w:val="1"/>
                <w:bCs w:val="1"/>
                <w:color w:val="202020"/>
                <w:vertAlign w:val="superscript"/>
              </w:rPr>
              <w:t>(a)</w:t>
            </w:r>
          </w:p>
        </w:tc>
        <w:tc>
          <w:tcPr>
            <w:tcW w:w="1420" w:type="dxa"/>
            <w:vAlign w:val="bottom"/>
            <w:tcBorders>
              <w:bottom w:val="single" w:sz="8" w:color="202020"/>
            </w:tcBorders>
          </w:tcPr>
          <w:p>
            <w:pPr>
              <w:jc w:val="right"/>
              <w:spacing w:after="0"/>
              <w:rPr>
                <w:sz w:val="20"/>
                <w:szCs w:val="20"/>
                <w:color w:val="auto"/>
              </w:rPr>
            </w:pPr>
            <w:r>
              <w:rPr>
                <w:rFonts w:ascii="Arial" w:cs="Arial" w:eastAsia="Arial" w:hAnsi="Arial"/>
                <w:sz w:val="16"/>
                <w:szCs w:val="16"/>
                <w:b w:val="1"/>
                <w:bCs w:val="1"/>
                <w:color w:val="202020"/>
              </w:rPr>
              <w:t>the Fiscal Year</w:t>
            </w:r>
            <w:r>
              <w:rPr>
                <w:rFonts w:ascii="Arial" w:cs="Arial" w:eastAsia="Arial" w:hAnsi="Arial"/>
                <w:sz w:val="19"/>
                <w:szCs w:val="19"/>
                <w:b w:val="1"/>
                <w:bCs w:val="1"/>
                <w:color w:val="202020"/>
                <w:vertAlign w:val="superscript"/>
              </w:rPr>
              <w:t>(b)</w:t>
            </w:r>
          </w:p>
        </w:tc>
        <w:tc>
          <w:tcPr>
            <w:tcW w:w="150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Years</w:t>
            </w:r>
            <w:r>
              <w:rPr>
                <w:rFonts w:ascii="Arial" w:cs="Arial" w:eastAsia="Arial" w:hAnsi="Arial"/>
                <w:sz w:val="19"/>
                <w:szCs w:val="19"/>
                <w:b w:val="1"/>
                <w:bCs w:val="1"/>
                <w:color w:val="202020"/>
                <w:vertAlign w:val="superscript"/>
              </w:rPr>
              <w:t>(b)</w:t>
            </w:r>
          </w:p>
        </w:tc>
        <w:tc>
          <w:tcPr>
            <w:tcW w:w="15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w w:val="99"/>
              </w:rPr>
              <w:t>Fiscal Year</w:t>
            </w:r>
            <w:r>
              <w:rPr>
                <w:rFonts w:ascii="Arial" w:cs="Arial" w:eastAsia="Arial" w:hAnsi="Arial"/>
                <w:sz w:val="19"/>
                <w:szCs w:val="19"/>
                <w:b w:val="1"/>
                <w:bCs w:val="1"/>
                <w:color w:val="202020"/>
                <w:w w:val="99"/>
                <w:vertAlign w:val="superscript"/>
              </w:rPr>
              <w:t>(b)</w:t>
            </w:r>
          </w:p>
        </w:tc>
        <w:tc>
          <w:tcPr>
            <w:tcW w:w="1240" w:type="dxa"/>
            <w:vAlign w:val="bottom"/>
            <w:tcBorders>
              <w:bottom w:val="single" w:sz="8" w:color="202020"/>
            </w:tcBorders>
            <w:gridSpan w:val="2"/>
          </w:tcPr>
          <w:p>
            <w:pPr>
              <w:jc w:val="right"/>
              <w:ind w:right="40"/>
              <w:spacing w:after="0"/>
              <w:rPr>
                <w:sz w:val="20"/>
                <w:szCs w:val="20"/>
                <w:color w:val="auto"/>
              </w:rPr>
            </w:pPr>
            <w:r>
              <w:rPr>
                <w:rFonts w:ascii="Arial" w:cs="Arial" w:eastAsia="Arial" w:hAnsi="Arial"/>
                <w:sz w:val="16"/>
                <w:szCs w:val="16"/>
                <w:b w:val="1"/>
                <w:bCs w:val="1"/>
                <w:color w:val="202020"/>
              </w:rPr>
              <w:t>Actually Paid</w:t>
            </w:r>
          </w:p>
        </w:tc>
        <w:tc>
          <w:tcPr>
            <w:tcW w:w="0" w:type="dxa"/>
            <w:vAlign w:val="bottom"/>
          </w:tcPr>
          <w:p>
            <w:pPr>
              <w:spacing w:after="0"/>
              <w:rPr>
                <w:sz w:val="1"/>
                <w:szCs w:val="1"/>
                <w:color w:val="auto"/>
              </w:rPr>
            </w:pPr>
          </w:p>
        </w:tc>
      </w:tr>
      <w:tr>
        <w:trPr>
          <w:trHeight w:val="220"/>
        </w:trPr>
        <w:tc>
          <w:tcPr>
            <w:tcW w:w="92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2025</w:t>
            </w:r>
          </w:p>
        </w:tc>
        <w:tc>
          <w:tcPr>
            <w:tcW w:w="16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$5,366,709</w:t>
            </w:r>
          </w:p>
        </w:tc>
        <w:tc>
          <w:tcPr>
            <w:tcW w:w="13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(4,027,590)</w:t>
            </w:r>
          </w:p>
        </w:tc>
        <w:tc>
          <w:tcPr>
            <w:tcW w:w="142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5,348,700</w:t>
            </w:r>
          </w:p>
        </w:tc>
        <w:tc>
          <w:tcPr>
            <w:tcW w:w="150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(803,438)</w:t>
            </w:r>
          </w:p>
        </w:tc>
        <w:tc>
          <w:tcPr>
            <w:tcW w:w="15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(1,049,540)</w:t>
            </w:r>
          </w:p>
        </w:tc>
        <w:tc>
          <w:tcPr>
            <w:tcW w:w="38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86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4,834,841</w:t>
            </w:r>
          </w:p>
        </w:tc>
        <w:tc>
          <w:tcPr>
            <w:tcW w:w="0" w:type="dxa"/>
            <w:vAlign w:val="bottom"/>
          </w:tcPr>
          <w:p>
            <w:pPr>
              <w:spacing w:after="0"/>
              <w:rPr>
                <w:sz w:val="1"/>
                <w:szCs w:val="1"/>
                <w:color w:val="auto"/>
              </w:rPr>
            </w:pPr>
          </w:p>
        </w:tc>
      </w:tr>
      <w:tr>
        <w:trPr>
          <w:trHeight w:val="180"/>
        </w:trPr>
        <w:tc>
          <w:tcPr>
            <w:tcW w:w="920" w:type="dxa"/>
            <w:vAlign w:val="bottom"/>
          </w:tcPr>
          <w:p>
            <w:pPr>
              <w:ind w:left="60"/>
              <w:spacing w:after="0" w:line="180" w:lineRule="exact"/>
              <w:rPr>
                <w:sz w:val="20"/>
                <w:szCs w:val="20"/>
                <w:color w:val="auto"/>
              </w:rPr>
            </w:pPr>
            <w:r>
              <w:rPr>
                <w:rFonts w:ascii="Arial" w:cs="Arial" w:eastAsia="Arial" w:hAnsi="Arial"/>
                <w:sz w:val="16"/>
                <w:szCs w:val="16"/>
                <w:color w:val="202020"/>
              </w:rPr>
              <w:t>2024</w:t>
            </w:r>
          </w:p>
        </w:tc>
        <w:tc>
          <w:tcPr>
            <w:tcW w:w="1680" w:type="dxa"/>
            <w:vAlign w:val="bottom"/>
          </w:tcPr>
          <w:p>
            <w:pPr>
              <w:jc w:val="right"/>
              <w:spacing w:after="0" w:line="180" w:lineRule="exact"/>
              <w:rPr>
                <w:sz w:val="20"/>
                <w:szCs w:val="20"/>
                <w:color w:val="auto"/>
              </w:rPr>
            </w:pPr>
            <w:r>
              <w:rPr>
                <w:rFonts w:ascii="Arial" w:cs="Arial" w:eastAsia="Arial" w:hAnsi="Arial"/>
                <w:sz w:val="16"/>
                <w:szCs w:val="16"/>
                <w:color w:val="202020"/>
              </w:rPr>
              <w:t>$9,229,165</w:t>
            </w:r>
          </w:p>
        </w:tc>
        <w:tc>
          <w:tcPr>
            <w:tcW w:w="1380" w:type="dxa"/>
            <w:vAlign w:val="bottom"/>
          </w:tcPr>
          <w:p>
            <w:pPr>
              <w:jc w:val="right"/>
              <w:spacing w:after="0" w:line="180" w:lineRule="exact"/>
              <w:rPr>
                <w:sz w:val="20"/>
                <w:szCs w:val="20"/>
                <w:color w:val="auto"/>
              </w:rPr>
            </w:pPr>
            <w:r>
              <w:rPr>
                <w:rFonts w:ascii="Arial" w:cs="Arial" w:eastAsia="Arial" w:hAnsi="Arial"/>
                <w:sz w:val="16"/>
                <w:szCs w:val="16"/>
                <w:color w:val="202020"/>
              </w:rPr>
              <w:t>(7,903,800)</w:t>
            </w: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202020"/>
              </w:rPr>
              <w:t>4,626,300</w:t>
            </w: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202020"/>
              </w:rPr>
              <w:t>(4,593,339)</w:t>
            </w:r>
          </w:p>
        </w:tc>
        <w:tc>
          <w:tcPr>
            <w:tcW w:w="1580" w:type="dxa"/>
            <w:vAlign w:val="bottom"/>
          </w:tcPr>
          <w:p>
            <w:pPr>
              <w:jc w:val="right"/>
              <w:spacing w:after="0" w:line="180" w:lineRule="exact"/>
              <w:rPr>
                <w:sz w:val="20"/>
                <w:szCs w:val="20"/>
                <w:color w:val="auto"/>
              </w:rPr>
            </w:pPr>
            <w:r>
              <w:rPr>
                <w:rFonts w:ascii="Arial" w:cs="Arial" w:eastAsia="Arial" w:hAnsi="Arial"/>
                <w:sz w:val="16"/>
                <w:szCs w:val="16"/>
                <w:color w:val="202020"/>
              </w:rPr>
              <w:t>(1,282,522)</w:t>
            </w: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202020"/>
              </w:rPr>
              <w:t>75,804</w:t>
            </w:r>
          </w:p>
        </w:tc>
        <w:tc>
          <w:tcPr>
            <w:tcW w:w="0" w:type="dxa"/>
            <w:vAlign w:val="bottom"/>
          </w:tcPr>
          <w:p>
            <w:pPr>
              <w:spacing w:after="0"/>
              <w:rPr>
                <w:sz w:val="1"/>
                <w:szCs w:val="1"/>
                <w:color w:val="auto"/>
              </w:rPr>
            </w:pPr>
          </w:p>
        </w:tc>
      </w:tr>
      <w:tr>
        <w:trPr>
          <w:trHeight w:val="180"/>
        </w:trPr>
        <w:tc>
          <w:tcPr>
            <w:tcW w:w="920" w:type="dxa"/>
            <w:vAlign w:val="bottom"/>
            <w:shd w:val="clear" w:color="auto" w:fill="E9E9E9"/>
          </w:tcPr>
          <w:p>
            <w:pPr>
              <w:ind w:left="60"/>
              <w:spacing w:after="0" w:line="180" w:lineRule="exact"/>
              <w:rPr>
                <w:sz w:val="20"/>
                <w:szCs w:val="20"/>
                <w:color w:val="auto"/>
              </w:rPr>
            </w:pPr>
            <w:r>
              <w:rPr>
                <w:rFonts w:ascii="Arial" w:cs="Arial" w:eastAsia="Arial" w:hAnsi="Arial"/>
                <w:sz w:val="16"/>
                <w:szCs w:val="16"/>
                <w:color w:val="202020"/>
              </w:rPr>
              <w:t>2023</w:t>
            </w:r>
          </w:p>
        </w:tc>
        <w:tc>
          <w:tcPr>
            <w:tcW w:w="16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$8,361,844</w:t>
            </w:r>
          </w:p>
        </w:tc>
        <w:tc>
          <w:tcPr>
            <w:tcW w:w="13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(7,092,975)</w:t>
            </w:r>
          </w:p>
        </w:tc>
        <w:tc>
          <w:tcPr>
            <w:tcW w:w="14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7,152,250</w:t>
            </w:r>
          </w:p>
        </w:tc>
        <w:tc>
          <w:tcPr>
            <w:tcW w:w="150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(2,343,805)</w:t>
            </w:r>
          </w:p>
        </w:tc>
        <w:tc>
          <w:tcPr>
            <w:tcW w:w="15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(2,339,393)</w:t>
            </w:r>
          </w:p>
        </w:tc>
        <w:tc>
          <w:tcPr>
            <w:tcW w:w="3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3,737,921</w:t>
            </w:r>
          </w:p>
        </w:tc>
        <w:tc>
          <w:tcPr>
            <w:tcW w:w="0" w:type="dxa"/>
            <w:vAlign w:val="bottom"/>
          </w:tcPr>
          <w:p>
            <w:pPr>
              <w:spacing w:after="0"/>
              <w:rPr>
                <w:sz w:val="1"/>
                <w:szCs w:val="1"/>
                <w:color w:val="auto"/>
              </w:rPr>
            </w:pPr>
          </w:p>
        </w:tc>
      </w:tr>
      <w:tr>
        <w:trPr>
          <w:trHeight w:val="180"/>
        </w:trPr>
        <w:tc>
          <w:tcPr>
            <w:tcW w:w="920" w:type="dxa"/>
            <w:vAlign w:val="bottom"/>
          </w:tcPr>
          <w:p>
            <w:pPr>
              <w:ind w:left="60"/>
              <w:spacing w:after="0" w:line="180" w:lineRule="exact"/>
              <w:rPr>
                <w:sz w:val="20"/>
                <w:szCs w:val="20"/>
                <w:color w:val="auto"/>
              </w:rPr>
            </w:pPr>
            <w:r>
              <w:rPr>
                <w:rFonts w:ascii="Arial" w:cs="Arial" w:eastAsia="Arial" w:hAnsi="Arial"/>
                <w:sz w:val="16"/>
                <w:szCs w:val="16"/>
                <w:color w:val="202020"/>
              </w:rPr>
              <w:t>2022</w:t>
            </w:r>
          </w:p>
        </w:tc>
        <w:tc>
          <w:tcPr>
            <w:tcW w:w="1680" w:type="dxa"/>
            <w:vAlign w:val="bottom"/>
          </w:tcPr>
          <w:p>
            <w:pPr>
              <w:jc w:val="right"/>
              <w:spacing w:after="0" w:line="180" w:lineRule="exact"/>
              <w:rPr>
                <w:sz w:val="20"/>
                <w:szCs w:val="20"/>
                <w:color w:val="auto"/>
              </w:rPr>
            </w:pPr>
            <w:r>
              <w:rPr>
                <w:rFonts w:ascii="Arial" w:cs="Arial" w:eastAsia="Arial" w:hAnsi="Arial"/>
                <w:sz w:val="16"/>
                <w:szCs w:val="16"/>
                <w:color w:val="202020"/>
              </w:rPr>
              <w:t>$5,401,283</w:t>
            </w:r>
          </w:p>
        </w:tc>
        <w:tc>
          <w:tcPr>
            <w:tcW w:w="1380" w:type="dxa"/>
            <w:vAlign w:val="bottom"/>
          </w:tcPr>
          <w:p>
            <w:pPr>
              <w:jc w:val="right"/>
              <w:spacing w:after="0" w:line="180" w:lineRule="exact"/>
              <w:rPr>
                <w:sz w:val="20"/>
                <w:szCs w:val="20"/>
                <w:color w:val="auto"/>
              </w:rPr>
            </w:pPr>
            <w:r>
              <w:rPr>
                <w:rFonts w:ascii="Arial" w:cs="Arial" w:eastAsia="Arial" w:hAnsi="Arial"/>
                <w:sz w:val="16"/>
                <w:szCs w:val="16"/>
                <w:color w:val="202020"/>
              </w:rPr>
              <w:t>(4,262,250)</w:t>
            </w: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202020"/>
              </w:rPr>
              <w:t>9,362,250</w:t>
            </w: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202020"/>
              </w:rPr>
              <w:t>1,051,936</w:t>
            </w:r>
          </w:p>
        </w:tc>
        <w:tc>
          <w:tcPr>
            <w:tcW w:w="1580" w:type="dxa"/>
            <w:vAlign w:val="bottom"/>
          </w:tcPr>
          <w:p>
            <w:pPr>
              <w:jc w:val="right"/>
              <w:spacing w:after="0" w:line="180" w:lineRule="exact"/>
              <w:rPr>
                <w:sz w:val="20"/>
                <w:szCs w:val="20"/>
                <w:color w:val="auto"/>
              </w:rPr>
            </w:pPr>
            <w:r>
              <w:rPr>
                <w:rFonts w:ascii="Arial" w:cs="Arial" w:eastAsia="Arial" w:hAnsi="Arial"/>
                <w:sz w:val="16"/>
                <w:szCs w:val="16"/>
                <w:color w:val="202020"/>
              </w:rPr>
              <w:t>(1,456,895)</w:t>
            </w: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202020"/>
                <w:w w:val="97"/>
              </w:rPr>
              <w:t>10,096,324</w:t>
            </w:r>
          </w:p>
        </w:tc>
        <w:tc>
          <w:tcPr>
            <w:tcW w:w="0" w:type="dxa"/>
            <w:vAlign w:val="bottom"/>
          </w:tcPr>
          <w:p>
            <w:pPr>
              <w:spacing w:after="0"/>
              <w:rPr>
                <w:sz w:val="1"/>
                <w:szCs w:val="1"/>
                <w:color w:val="auto"/>
              </w:rPr>
            </w:pPr>
          </w:p>
        </w:tc>
      </w:tr>
      <w:tr>
        <w:trPr>
          <w:trHeight w:val="190"/>
        </w:trPr>
        <w:tc>
          <w:tcPr>
            <w:tcW w:w="920" w:type="dxa"/>
            <w:vAlign w:val="bottom"/>
            <w:tcBorders>
              <w:bottom w:val="single" w:sz="8" w:color="202020"/>
            </w:tcBorders>
            <w:shd w:val="clear" w:color="auto" w:fill="E9E9E9"/>
          </w:tcPr>
          <w:p>
            <w:pPr>
              <w:ind w:left="60"/>
              <w:spacing w:after="0" w:line="180" w:lineRule="exact"/>
              <w:rPr>
                <w:sz w:val="20"/>
                <w:szCs w:val="20"/>
                <w:color w:val="auto"/>
              </w:rPr>
            </w:pPr>
            <w:r>
              <w:rPr>
                <w:rFonts w:ascii="Arial" w:cs="Arial" w:eastAsia="Arial" w:hAnsi="Arial"/>
                <w:sz w:val="16"/>
                <w:szCs w:val="16"/>
                <w:color w:val="202020"/>
              </w:rPr>
              <w:t>2021</w:t>
            </w:r>
          </w:p>
        </w:tc>
        <w:tc>
          <w:tcPr>
            <w:tcW w:w="1680" w:type="dxa"/>
            <w:vAlign w:val="bottom"/>
            <w:tcBorders>
              <w:bottom w:val="single" w:sz="8" w:color="202020"/>
            </w:tcBorders>
            <w:shd w:val="clear" w:color="auto" w:fill="E9E9E9"/>
          </w:tcPr>
          <w:p>
            <w:pPr>
              <w:jc w:val="right"/>
              <w:spacing w:after="0" w:line="180" w:lineRule="exact"/>
              <w:rPr>
                <w:sz w:val="20"/>
                <w:szCs w:val="20"/>
                <w:color w:val="auto"/>
              </w:rPr>
            </w:pPr>
            <w:r>
              <w:rPr>
                <w:rFonts w:ascii="Arial" w:cs="Arial" w:eastAsia="Arial" w:hAnsi="Arial"/>
                <w:sz w:val="16"/>
                <w:szCs w:val="16"/>
                <w:color w:val="202020"/>
              </w:rPr>
              <w:t>$6,045,894</w:t>
            </w:r>
          </w:p>
        </w:tc>
        <w:tc>
          <w:tcPr>
            <w:tcW w:w="1380" w:type="dxa"/>
            <w:vAlign w:val="bottom"/>
            <w:tcBorders>
              <w:bottom w:val="single" w:sz="8" w:color="202020"/>
            </w:tcBorders>
            <w:shd w:val="clear" w:color="auto" w:fill="E9E9E9"/>
          </w:tcPr>
          <w:p>
            <w:pPr>
              <w:jc w:val="right"/>
              <w:spacing w:after="0" w:line="180" w:lineRule="exact"/>
              <w:rPr>
                <w:sz w:val="20"/>
                <w:szCs w:val="20"/>
                <w:color w:val="auto"/>
              </w:rPr>
            </w:pPr>
            <w:r>
              <w:rPr>
                <w:rFonts w:ascii="Arial" w:cs="Arial" w:eastAsia="Arial" w:hAnsi="Arial"/>
                <w:sz w:val="16"/>
                <w:szCs w:val="16"/>
                <w:color w:val="202020"/>
              </w:rPr>
              <w:t>(4,868,797)</w:t>
            </w:r>
          </w:p>
        </w:tc>
        <w:tc>
          <w:tcPr>
            <w:tcW w:w="1420" w:type="dxa"/>
            <w:vAlign w:val="bottom"/>
            <w:tcBorders>
              <w:bottom w:val="single" w:sz="8" w:color="202020"/>
            </w:tcBorders>
            <w:shd w:val="clear" w:color="auto" w:fill="E9E9E9"/>
          </w:tcPr>
          <w:p>
            <w:pPr>
              <w:jc w:val="right"/>
              <w:spacing w:after="0" w:line="180" w:lineRule="exact"/>
              <w:rPr>
                <w:sz w:val="20"/>
                <w:szCs w:val="20"/>
                <w:color w:val="auto"/>
              </w:rPr>
            </w:pPr>
            <w:r>
              <w:rPr>
                <w:rFonts w:ascii="Arial" w:cs="Arial" w:eastAsia="Arial" w:hAnsi="Arial"/>
                <w:sz w:val="16"/>
                <w:szCs w:val="16"/>
                <w:color w:val="202020"/>
              </w:rPr>
              <w:t>6,697,600</w:t>
            </w:r>
          </w:p>
        </w:tc>
        <w:tc>
          <w:tcPr>
            <w:tcW w:w="1500" w:type="dxa"/>
            <w:vAlign w:val="bottom"/>
            <w:tcBorders>
              <w:bottom w:val="single" w:sz="8" w:color="202020"/>
            </w:tcBorders>
            <w:shd w:val="clear" w:color="auto" w:fill="E9E9E9"/>
          </w:tcPr>
          <w:p>
            <w:pPr>
              <w:jc w:val="right"/>
              <w:spacing w:after="0" w:line="180" w:lineRule="exact"/>
              <w:rPr>
                <w:sz w:val="20"/>
                <w:szCs w:val="20"/>
                <w:color w:val="auto"/>
              </w:rPr>
            </w:pPr>
            <w:r>
              <w:rPr>
                <w:rFonts w:ascii="Arial" w:cs="Arial" w:eastAsia="Arial" w:hAnsi="Arial"/>
                <w:sz w:val="16"/>
                <w:szCs w:val="16"/>
                <w:color w:val="202020"/>
              </w:rPr>
              <w:t>3,863,005</w:t>
            </w:r>
          </w:p>
        </w:tc>
        <w:tc>
          <w:tcPr>
            <w:tcW w:w="1580" w:type="dxa"/>
            <w:vAlign w:val="bottom"/>
            <w:tcBorders>
              <w:bottom w:val="single" w:sz="8" w:color="202020"/>
            </w:tcBorders>
            <w:shd w:val="clear" w:color="auto" w:fill="E9E9E9"/>
          </w:tcPr>
          <w:p>
            <w:pPr>
              <w:jc w:val="right"/>
              <w:ind w:right="20"/>
              <w:spacing w:after="0" w:line="180" w:lineRule="exact"/>
              <w:rPr>
                <w:sz w:val="20"/>
                <w:szCs w:val="20"/>
                <w:color w:val="auto"/>
              </w:rPr>
            </w:pPr>
            <w:r>
              <w:rPr>
                <w:rFonts w:ascii="Arial" w:cs="Arial" w:eastAsia="Arial" w:hAnsi="Arial"/>
                <w:sz w:val="16"/>
                <w:szCs w:val="16"/>
                <w:color w:val="202020"/>
              </w:rPr>
              <w:t>2,165,068</w:t>
            </w:r>
          </w:p>
        </w:tc>
        <w:tc>
          <w:tcPr>
            <w:tcW w:w="380" w:type="dxa"/>
            <w:vAlign w:val="bottom"/>
            <w:tcBorders>
              <w:bottom w:val="single" w:sz="8" w:color="202020"/>
            </w:tcBorders>
            <w:shd w:val="clear" w:color="auto" w:fill="E9E9E9"/>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Borders>
              <w:bottom w:val="single" w:sz="8" w:color="202020"/>
            </w:tcBorders>
            <w:shd w:val="clear" w:color="auto" w:fill="E9E9E9"/>
          </w:tcPr>
          <w:p>
            <w:pPr>
              <w:jc w:val="right"/>
              <w:spacing w:after="0" w:line="180" w:lineRule="exact"/>
              <w:rPr>
                <w:sz w:val="20"/>
                <w:szCs w:val="20"/>
                <w:color w:val="auto"/>
              </w:rPr>
            </w:pPr>
            <w:r>
              <w:rPr>
                <w:rFonts w:ascii="Arial" w:cs="Arial" w:eastAsia="Arial" w:hAnsi="Arial"/>
                <w:sz w:val="16"/>
                <w:szCs w:val="16"/>
                <w:color w:val="202020"/>
                <w:w w:val="97"/>
              </w:rPr>
              <w:t>13,902,770</w:t>
            </w:r>
          </w:p>
        </w:tc>
        <w:tc>
          <w:tcPr>
            <w:tcW w:w="0" w:type="dxa"/>
            <w:vAlign w:val="bottom"/>
          </w:tcPr>
          <w:p>
            <w:pPr>
              <w:spacing w:after="0"/>
              <w:rPr>
                <w:sz w:val="1"/>
                <w:szCs w:val="1"/>
                <w:color w:val="auto"/>
              </w:rPr>
            </w:pPr>
          </w:p>
        </w:tc>
      </w:tr>
      <w:tr>
        <w:trPr>
          <w:trHeight w:val="190"/>
        </w:trPr>
        <w:tc>
          <w:tcPr>
            <w:tcW w:w="2600" w:type="dxa"/>
            <w:vAlign w:val="bottom"/>
            <w:tcBorders>
              <w:bottom w:val="single" w:sz="8" w:color="202020"/>
            </w:tcBorders>
            <w:gridSpan w:val="2"/>
          </w:tcPr>
          <w:p>
            <w:pPr>
              <w:ind w:left="60"/>
              <w:spacing w:after="0" w:line="180" w:lineRule="exact"/>
              <w:rPr>
                <w:sz w:val="20"/>
                <w:szCs w:val="20"/>
                <w:color w:val="auto"/>
              </w:rPr>
            </w:pPr>
            <w:r>
              <w:rPr>
                <w:rFonts w:ascii="Arial" w:cs="Arial" w:eastAsia="Arial" w:hAnsi="Arial"/>
                <w:sz w:val="16"/>
                <w:szCs w:val="16"/>
                <w:b w:val="1"/>
                <w:bCs w:val="1"/>
                <w:color w:val="202020"/>
              </w:rPr>
              <w:t>Average Non-PEO NEOs</w:t>
            </w:r>
          </w:p>
        </w:tc>
        <w:tc>
          <w:tcPr>
            <w:tcW w:w="1380" w:type="dxa"/>
            <w:vAlign w:val="bottom"/>
            <w:tcBorders>
              <w:bottom w:val="single" w:sz="8" w:color="202020"/>
            </w:tcBorders>
          </w:tcPr>
          <w:p>
            <w:pPr>
              <w:spacing w:after="0"/>
              <w:rPr>
                <w:sz w:val="16"/>
                <w:szCs w:val="16"/>
                <w:color w:val="auto"/>
              </w:rPr>
            </w:pPr>
          </w:p>
        </w:tc>
        <w:tc>
          <w:tcPr>
            <w:tcW w:w="1420" w:type="dxa"/>
            <w:vAlign w:val="bottom"/>
            <w:tcBorders>
              <w:bottom w:val="single" w:sz="8" w:color="202020"/>
            </w:tcBorders>
          </w:tcPr>
          <w:p>
            <w:pPr>
              <w:spacing w:after="0"/>
              <w:rPr>
                <w:sz w:val="16"/>
                <w:szCs w:val="16"/>
                <w:color w:val="auto"/>
              </w:rPr>
            </w:pPr>
          </w:p>
        </w:tc>
        <w:tc>
          <w:tcPr>
            <w:tcW w:w="1500" w:type="dxa"/>
            <w:vAlign w:val="bottom"/>
            <w:tcBorders>
              <w:bottom w:val="single" w:sz="8" w:color="202020"/>
            </w:tcBorders>
          </w:tcPr>
          <w:p>
            <w:pPr>
              <w:spacing w:after="0"/>
              <w:rPr>
                <w:sz w:val="16"/>
                <w:szCs w:val="16"/>
                <w:color w:val="auto"/>
              </w:rPr>
            </w:pPr>
          </w:p>
        </w:tc>
        <w:tc>
          <w:tcPr>
            <w:tcW w:w="1580" w:type="dxa"/>
            <w:vAlign w:val="bottom"/>
            <w:tcBorders>
              <w:bottom w:val="single" w:sz="8" w:color="202020"/>
            </w:tcBorders>
          </w:tcPr>
          <w:p>
            <w:pPr>
              <w:spacing w:after="0"/>
              <w:rPr>
                <w:sz w:val="16"/>
                <w:szCs w:val="16"/>
                <w:color w:val="auto"/>
              </w:rPr>
            </w:pPr>
          </w:p>
        </w:tc>
        <w:tc>
          <w:tcPr>
            <w:tcW w:w="380" w:type="dxa"/>
            <w:vAlign w:val="bottom"/>
            <w:tcBorders>
              <w:bottom w:val="single" w:sz="8" w:color="202020"/>
            </w:tcBorders>
          </w:tcPr>
          <w:p>
            <w:pPr>
              <w:spacing w:after="0"/>
              <w:rPr>
                <w:sz w:val="16"/>
                <w:szCs w:val="16"/>
                <w:color w:val="auto"/>
              </w:rPr>
            </w:pPr>
          </w:p>
        </w:tc>
        <w:tc>
          <w:tcPr>
            <w:tcW w:w="860" w:type="dxa"/>
            <w:vAlign w:val="bottom"/>
            <w:tcBorders>
              <w:bottom w:val="single" w:sz="8" w:color="202020"/>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20" w:type="dxa"/>
            <w:vAlign w:val="bottom"/>
            <w:shd w:val="clear" w:color="auto" w:fill="E9E9E9"/>
          </w:tcPr>
          <w:p>
            <w:pPr>
              <w:ind w:left="60"/>
              <w:spacing w:after="0" w:line="180" w:lineRule="exact"/>
              <w:rPr>
                <w:sz w:val="20"/>
                <w:szCs w:val="20"/>
                <w:color w:val="auto"/>
              </w:rPr>
            </w:pPr>
            <w:r>
              <w:rPr>
                <w:rFonts w:ascii="Arial" w:cs="Arial" w:eastAsia="Arial" w:hAnsi="Arial"/>
                <w:sz w:val="16"/>
                <w:szCs w:val="16"/>
                <w:color w:val="202020"/>
              </w:rPr>
              <w:t>2025</w:t>
            </w:r>
          </w:p>
        </w:tc>
        <w:tc>
          <w:tcPr>
            <w:tcW w:w="16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$1,912,099</w:t>
            </w:r>
          </w:p>
        </w:tc>
        <w:tc>
          <w:tcPr>
            <w:tcW w:w="13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(1,144,507)</w:t>
            </w:r>
          </w:p>
        </w:tc>
        <w:tc>
          <w:tcPr>
            <w:tcW w:w="14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1,519,922</w:t>
            </w:r>
          </w:p>
        </w:tc>
        <w:tc>
          <w:tcPr>
            <w:tcW w:w="150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(237,224)</w:t>
            </w:r>
          </w:p>
        </w:tc>
        <w:tc>
          <w:tcPr>
            <w:tcW w:w="15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(322,203)</w:t>
            </w:r>
          </w:p>
        </w:tc>
        <w:tc>
          <w:tcPr>
            <w:tcW w:w="3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1,728,087</w:t>
            </w:r>
          </w:p>
        </w:tc>
        <w:tc>
          <w:tcPr>
            <w:tcW w:w="0" w:type="dxa"/>
            <w:vAlign w:val="bottom"/>
          </w:tcPr>
          <w:p>
            <w:pPr>
              <w:spacing w:after="0"/>
              <w:rPr>
                <w:sz w:val="1"/>
                <w:szCs w:val="1"/>
                <w:color w:val="auto"/>
              </w:rPr>
            </w:pPr>
          </w:p>
        </w:tc>
      </w:tr>
      <w:tr>
        <w:trPr>
          <w:trHeight w:val="180"/>
        </w:trPr>
        <w:tc>
          <w:tcPr>
            <w:tcW w:w="920" w:type="dxa"/>
            <w:vAlign w:val="bottom"/>
          </w:tcPr>
          <w:p>
            <w:pPr>
              <w:ind w:left="60"/>
              <w:spacing w:after="0" w:line="180" w:lineRule="exact"/>
              <w:rPr>
                <w:sz w:val="20"/>
                <w:szCs w:val="20"/>
                <w:color w:val="auto"/>
              </w:rPr>
            </w:pPr>
            <w:r>
              <w:rPr>
                <w:rFonts w:ascii="Arial" w:cs="Arial" w:eastAsia="Arial" w:hAnsi="Arial"/>
                <w:sz w:val="16"/>
                <w:szCs w:val="16"/>
                <w:color w:val="202020"/>
              </w:rPr>
              <w:t>2024</w:t>
            </w:r>
          </w:p>
        </w:tc>
        <w:tc>
          <w:tcPr>
            <w:tcW w:w="1680" w:type="dxa"/>
            <w:vAlign w:val="bottom"/>
          </w:tcPr>
          <w:p>
            <w:pPr>
              <w:jc w:val="right"/>
              <w:spacing w:after="0" w:line="180" w:lineRule="exact"/>
              <w:rPr>
                <w:sz w:val="20"/>
                <w:szCs w:val="20"/>
                <w:color w:val="auto"/>
              </w:rPr>
            </w:pPr>
            <w:r>
              <w:rPr>
                <w:rFonts w:ascii="Arial" w:cs="Arial" w:eastAsia="Arial" w:hAnsi="Arial"/>
                <w:sz w:val="16"/>
                <w:szCs w:val="16"/>
                <w:color w:val="202020"/>
              </w:rPr>
              <w:t>$2,979,068</w:t>
            </w:r>
          </w:p>
        </w:tc>
        <w:tc>
          <w:tcPr>
            <w:tcW w:w="1380" w:type="dxa"/>
            <w:vAlign w:val="bottom"/>
          </w:tcPr>
          <w:p>
            <w:pPr>
              <w:jc w:val="right"/>
              <w:spacing w:after="0" w:line="180" w:lineRule="exact"/>
              <w:rPr>
                <w:sz w:val="20"/>
                <w:szCs w:val="20"/>
                <w:color w:val="auto"/>
              </w:rPr>
            </w:pPr>
            <w:r>
              <w:rPr>
                <w:rFonts w:ascii="Arial" w:cs="Arial" w:eastAsia="Arial" w:hAnsi="Arial"/>
                <w:sz w:val="16"/>
                <w:szCs w:val="16"/>
                <w:color w:val="202020"/>
              </w:rPr>
              <w:t>(2,245,997)</w:t>
            </w: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202020"/>
              </w:rPr>
              <w:t>1,314,640</w:t>
            </w: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202020"/>
              </w:rPr>
              <w:t>(1,521,453)</w:t>
            </w:r>
          </w:p>
        </w:tc>
        <w:tc>
          <w:tcPr>
            <w:tcW w:w="1580" w:type="dxa"/>
            <w:vAlign w:val="bottom"/>
          </w:tcPr>
          <w:p>
            <w:pPr>
              <w:jc w:val="right"/>
              <w:spacing w:after="0" w:line="180" w:lineRule="exact"/>
              <w:rPr>
                <w:sz w:val="20"/>
                <w:szCs w:val="20"/>
                <w:color w:val="auto"/>
              </w:rPr>
            </w:pPr>
            <w:r>
              <w:rPr>
                <w:rFonts w:ascii="Arial" w:cs="Arial" w:eastAsia="Arial" w:hAnsi="Arial"/>
                <w:sz w:val="16"/>
                <w:szCs w:val="16"/>
                <w:color w:val="202020"/>
              </w:rPr>
              <w:t>(428,229)</w:t>
            </w: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202020"/>
              </w:rPr>
              <w:t>98,029</w:t>
            </w:r>
          </w:p>
        </w:tc>
        <w:tc>
          <w:tcPr>
            <w:tcW w:w="0" w:type="dxa"/>
            <w:vAlign w:val="bottom"/>
          </w:tcPr>
          <w:p>
            <w:pPr>
              <w:spacing w:after="0"/>
              <w:rPr>
                <w:sz w:val="1"/>
                <w:szCs w:val="1"/>
                <w:color w:val="auto"/>
              </w:rPr>
            </w:pPr>
          </w:p>
        </w:tc>
      </w:tr>
      <w:tr>
        <w:trPr>
          <w:trHeight w:val="180"/>
        </w:trPr>
        <w:tc>
          <w:tcPr>
            <w:tcW w:w="920" w:type="dxa"/>
            <w:vAlign w:val="bottom"/>
            <w:shd w:val="clear" w:color="auto" w:fill="E9E9E9"/>
          </w:tcPr>
          <w:p>
            <w:pPr>
              <w:ind w:left="60"/>
              <w:spacing w:after="0" w:line="180" w:lineRule="exact"/>
              <w:rPr>
                <w:sz w:val="20"/>
                <w:szCs w:val="20"/>
                <w:color w:val="auto"/>
              </w:rPr>
            </w:pPr>
            <w:r>
              <w:rPr>
                <w:rFonts w:ascii="Arial" w:cs="Arial" w:eastAsia="Arial" w:hAnsi="Arial"/>
                <w:sz w:val="16"/>
                <w:szCs w:val="16"/>
                <w:color w:val="202020"/>
              </w:rPr>
              <w:t>2023</w:t>
            </w:r>
          </w:p>
        </w:tc>
        <w:tc>
          <w:tcPr>
            <w:tcW w:w="16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$3,067,602</w:t>
            </w:r>
          </w:p>
        </w:tc>
        <w:tc>
          <w:tcPr>
            <w:tcW w:w="13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(2,354,868)</w:t>
            </w:r>
          </w:p>
        </w:tc>
        <w:tc>
          <w:tcPr>
            <w:tcW w:w="142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2,374,547</w:t>
            </w:r>
          </w:p>
        </w:tc>
        <w:tc>
          <w:tcPr>
            <w:tcW w:w="150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(796,800)</w:t>
            </w:r>
          </w:p>
        </w:tc>
        <w:tc>
          <w:tcPr>
            <w:tcW w:w="15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(833,485)</w:t>
            </w:r>
          </w:p>
        </w:tc>
        <w:tc>
          <w:tcPr>
            <w:tcW w:w="38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shd w:val="clear" w:color="auto" w:fill="E9E9E9"/>
          </w:tcPr>
          <w:p>
            <w:pPr>
              <w:jc w:val="right"/>
              <w:spacing w:after="0" w:line="180" w:lineRule="exact"/>
              <w:rPr>
                <w:sz w:val="20"/>
                <w:szCs w:val="20"/>
                <w:color w:val="auto"/>
              </w:rPr>
            </w:pPr>
            <w:r>
              <w:rPr>
                <w:rFonts w:ascii="Arial" w:cs="Arial" w:eastAsia="Arial" w:hAnsi="Arial"/>
                <w:sz w:val="16"/>
                <w:szCs w:val="16"/>
                <w:color w:val="202020"/>
              </w:rPr>
              <w:t>1,456,996</w:t>
            </w:r>
          </w:p>
        </w:tc>
        <w:tc>
          <w:tcPr>
            <w:tcW w:w="0" w:type="dxa"/>
            <w:vAlign w:val="bottom"/>
          </w:tcPr>
          <w:p>
            <w:pPr>
              <w:spacing w:after="0"/>
              <w:rPr>
                <w:sz w:val="1"/>
                <w:szCs w:val="1"/>
                <w:color w:val="auto"/>
              </w:rPr>
            </w:pPr>
          </w:p>
        </w:tc>
      </w:tr>
      <w:tr>
        <w:trPr>
          <w:trHeight w:val="180"/>
        </w:trPr>
        <w:tc>
          <w:tcPr>
            <w:tcW w:w="920" w:type="dxa"/>
            <w:vAlign w:val="bottom"/>
          </w:tcPr>
          <w:p>
            <w:pPr>
              <w:ind w:left="60"/>
              <w:spacing w:after="0" w:line="180" w:lineRule="exact"/>
              <w:rPr>
                <w:sz w:val="20"/>
                <w:szCs w:val="20"/>
                <w:color w:val="auto"/>
              </w:rPr>
            </w:pPr>
            <w:r>
              <w:rPr>
                <w:rFonts w:ascii="Arial" w:cs="Arial" w:eastAsia="Arial" w:hAnsi="Arial"/>
                <w:sz w:val="16"/>
                <w:szCs w:val="16"/>
                <w:color w:val="202020"/>
              </w:rPr>
              <w:t>2022</w:t>
            </w:r>
          </w:p>
        </w:tc>
        <w:tc>
          <w:tcPr>
            <w:tcW w:w="1680" w:type="dxa"/>
            <w:vAlign w:val="bottom"/>
          </w:tcPr>
          <w:p>
            <w:pPr>
              <w:jc w:val="right"/>
              <w:spacing w:after="0" w:line="180" w:lineRule="exact"/>
              <w:rPr>
                <w:sz w:val="20"/>
                <w:szCs w:val="20"/>
                <w:color w:val="auto"/>
              </w:rPr>
            </w:pPr>
            <w:r>
              <w:rPr>
                <w:rFonts w:ascii="Arial" w:cs="Arial" w:eastAsia="Arial" w:hAnsi="Arial"/>
                <w:sz w:val="16"/>
                <w:szCs w:val="16"/>
                <w:color w:val="202020"/>
              </w:rPr>
              <w:t>$2,055,757</w:t>
            </w:r>
          </w:p>
        </w:tc>
        <w:tc>
          <w:tcPr>
            <w:tcW w:w="1380" w:type="dxa"/>
            <w:vAlign w:val="bottom"/>
          </w:tcPr>
          <w:p>
            <w:pPr>
              <w:jc w:val="right"/>
              <w:spacing w:after="0" w:line="180" w:lineRule="exact"/>
              <w:rPr>
                <w:sz w:val="20"/>
                <w:szCs w:val="20"/>
                <w:color w:val="auto"/>
              </w:rPr>
            </w:pPr>
            <w:r>
              <w:rPr>
                <w:rFonts w:ascii="Arial" w:cs="Arial" w:eastAsia="Arial" w:hAnsi="Arial"/>
                <w:sz w:val="16"/>
                <w:szCs w:val="16"/>
                <w:color w:val="202020"/>
              </w:rPr>
              <w:t>(1,402,280)</w:t>
            </w: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202020"/>
              </w:rPr>
              <w:t>3,080,180</w:t>
            </w: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202020"/>
              </w:rPr>
              <w:t>394,595</w:t>
            </w:r>
          </w:p>
        </w:tc>
        <w:tc>
          <w:tcPr>
            <w:tcW w:w="1580" w:type="dxa"/>
            <w:vAlign w:val="bottom"/>
          </w:tcPr>
          <w:p>
            <w:pPr>
              <w:jc w:val="right"/>
              <w:spacing w:after="0" w:line="180" w:lineRule="exact"/>
              <w:rPr>
                <w:sz w:val="20"/>
                <w:szCs w:val="20"/>
                <w:color w:val="auto"/>
              </w:rPr>
            </w:pPr>
            <w:r>
              <w:rPr>
                <w:rFonts w:ascii="Arial" w:cs="Arial" w:eastAsia="Arial" w:hAnsi="Arial"/>
                <w:sz w:val="16"/>
                <w:szCs w:val="16"/>
                <w:color w:val="202020"/>
              </w:rPr>
              <w:t>(531,793)</w:t>
            </w:r>
          </w:p>
        </w:tc>
        <w:tc>
          <w:tcPr>
            <w:tcW w:w="380" w:type="dxa"/>
            <w:vAlign w:val="bottom"/>
          </w:tcPr>
          <w:p>
            <w:pPr>
              <w:jc w:val="right"/>
              <w:spacing w:after="0" w:line="180" w:lineRule="exact"/>
              <w:rPr>
                <w:sz w:val="20"/>
                <w:szCs w:val="20"/>
                <w:color w:val="auto"/>
              </w:rPr>
            </w:pPr>
            <w:r>
              <w:rPr>
                <w:rFonts w:ascii="Arial" w:cs="Arial" w:eastAsia="Arial" w:hAnsi="Arial"/>
                <w:sz w:val="16"/>
                <w:szCs w:val="16"/>
                <w:color w:val="202020"/>
              </w:rPr>
              <w:t>$</w:t>
            </w:r>
          </w:p>
        </w:tc>
        <w:tc>
          <w:tcPr>
            <w:tcW w:w="860" w:type="dxa"/>
            <w:vAlign w:val="bottom"/>
          </w:tcPr>
          <w:p>
            <w:pPr>
              <w:jc w:val="right"/>
              <w:spacing w:after="0" w:line="180" w:lineRule="exact"/>
              <w:rPr>
                <w:sz w:val="20"/>
                <w:szCs w:val="20"/>
                <w:color w:val="auto"/>
              </w:rPr>
            </w:pPr>
            <w:r>
              <w:rPr>
                <w:rFonts w:ascii="Arial" w:cs="Arial" w:eastAsia="Arial" w:hAnsi="Arial"/>
                <w:sz w:val="16"/>
                <w:szCs w:val="16"/>
                <w:color w:val="202020"/>
              </w:rPr>
              <w:t>3,596,459</w:t>
            </w:r>
          </w:p>
        </w:tc>
        <w:tc>
          <w:tcPr>
            <w:tcW w:w="0" w:type="dxa"/>
            <w:vAlign w:val="bottom"/>
          </w:tcPr>
          <w:p>
            <w:pPr>
              <w:spacing w:after="0"/>
              <w:rPr>
                <w:sz w:val="1"/>
                <w:szCs w:val="1"/>
                <w:color w:val="auto"/>
              </w:rPr>
            </w:pPr>
          </w:p>
        </w:tc>
      </w:tr>
      <w:tr>
        <w:trPr>
          <w:trHeight w:val="229"/>
        </w:trPr>
        <w:tc>
          <w:tcPr>
            <w:tcW w:w="920" w:type="dxa"/>
            <w:vAlign w:val="bottom"/>
            <w:tcBorders>
              <w:bottom w:val="single" w:sz="8" w:color="202020"/>
            </w:tcBorders>
            <w:shd w:val="clear" w:color="auto" w:fill="E9E9E9"/>
          </w:tcPr>
          <w:p>
            <w:pPr>
              <w:ind w:left="60"/>
              <w:spacing w:after="0"/>
              <w:rPr>
                <w:sz w:val="20"/>
                <w:szCs w:val="20"/>
                <w:color w:val="auto"/>
              </w:rPr>
            </w:pPr>
            <w:r>
              <w:rPr>
                <w:rFonts w:ascii="Arial" w:cs="Arial" w:eastAsia="Arial" w:hAnsi="Arial"/>
                <w:sz w:val="16"/>
                <w:szCs w:val="16"/>
                <w:color w:val="202020"/>
              </w:rPr>
              <w:t>2021</w:t>
            </w:r>
          </w:p>
        </w:tc>
        <w:tc>
          <w:tcPr>
            <w:tcW w:w="16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$2,390,179</w:t>
            </w:r>
          </w:p>
        </w:tc>
        <w:tc>
          <w:tcPr>
            <w:tcW w:w="13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(1,744,290)</w:t>
            </w:r>
          </w:p>
        </w:tc>
        <w:tc>
          <w:tcPr>
            <w:tcW w:w="142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2,399,475</w:t>
            </w:r>
          </w:p>
        </w:tc>
        <w:tc>
          <w:tcPr>
            <w:tcW w:w="150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1,365,289</w:t>
            </w:r>
          </w:p>
        </w:tc>
        <w:tc>
          <w:tcPr>
            <w:tcW w:w="1580" w:type="dxa"/>
            <w:vAlign w:val="bottom"/>
            <w:tcBorders>
              <w:bottom w:val="single" w:sz="8" w:color="202020"/>
            </w:tcBorders>
            <w:shd w:val="clear" w:color="auto" w:fill="E9E9E9"/>
          </w:tcPr>
          <w:p>
            <w:pPr>
              <w:jc w:val="right"/>
              <w:ind w:right="20"/>
              <w:spacing w:after="0"/>
              <w:rPr>
                <w:sz w:val="20"/>
                <w:szCs w:val="20"/>
                <w:color w:val="auto"/>
              </w:rPr>
            </w:pPr>
            <w:r>
              <w:rPr>
                <w:rFonts w:ascii="Arial" w:cs="Arial" w:eastAsia="Arial" w:hAnsi="Arial"/>
                <w:sz w:val="16"/>
                <w:szCs w:val="16"/>
                <w:color w:val="202020"/>
              </w:rPr>
              <w:t>705,219</w:t>
            </w:r>
          </w:p>
        </w:tc>
        <w:tc>
          <w:tcPr>
            <w:tcW w:w="38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w:t>
            </w:r>
          </w:p>
        </w:tc>
        <w:tc>
          <w:tcPr>
            <w:tcW w:w="860" w:type="dxa"/>
            <w:vAlign w:val="bottom"/>
            <w:tcBorders>
              <w:bottom w:val="single" w:sz="8" w:color="202020"/>
            </w:tcBorders>
            <w:shd w:val="clear" w:color="auto" w:fill="E9E9E9"/>
          </w:tcPr>
          <w:p>
            <w:pPr>
              <w:jc w:val="right"/>
              <w:spacing w:after="0"/>
              <w:rPr>
                <w:sz w:val="20"/>
                <w:szCs w:val="20"/>
                <w:color w:val="auto"/>
              </w:rPr>
            </w:pPr>
            <w:r>
              <w:rPr>
                <w:rFonts w:ascii="Arial" w:cs="Arial" w:eastAsia="Arial" w:hAnsi="Arial"/>
                <w:sz w:val="16"/>
                <w:szCs w:val="16"/>
                <w:color w:val="202020"/>
              </w:rPr>
              <w:t>5,115,872</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00" w:right="180" w:hanging="400"/>
        <w:spacing w:after="0" w:line="302" w:lineRule="auto"/>
        <w:tabs>
          <w:tab w:leader="none" w:pos="800" w:val="left"/>
        </w:tabs>
        <w:numPr>
          <w:ilvl w:val="1"/>
          <w:numId w:val="32"/>
        </w:numPr>
        <w:rPr>
          <w:rFonts w:ascii="Arial" w:cs="Arial" w:eastAsia="Arial" w:hAnsi="Arial"/>
          <w:sz w:val="16"/>
          <w:szCs w:val="16"/>
          <w:color w:val="202020"/>
        </w:rPr>
      </w:pPr>
      <w:r>
        <w:rPr>
          <w:rFonts w:ascii="Arial" w:cs="Arial" w:eastAsia="Arial" w:hAnsi="Arial"/>
          <w:sz w:val="16"/>
          <w:szCs w:val="16"/>
          <w:color w:val="202020"/>
        </w:rPr>
        <w:t>Amounts reflect the aggregate grant-date fair value reported in the “Option Awards” column in the Summary Compensation Table for the applicable year.</w:t>
      </w:r>
    </w:p>
    <w:p>
      <w:pPr>
        <w:spacing w:after="0" w:line="15" w:lineRule="exact"/>
        <w:rPr>
          <w:rFonts w:ascii="Arial" w:cs="Arial" w:eastAsia="Arial" w:hAnsi="Arial"/>
          <w:sz w:val="16"/>
          <w:szCs w:val="16"/>
          <w:color w:val="202020"/>
        </w:rPr>
      </w:pPr>
    </w:p>
    <w:p>
      <w:pPr>
        <w:ind w:left="800" w:right="240" w:hanging="400"/>
        <w:spacing w:after="0" w:line="302" w:lineRule="auto"/>
        <w:tabs>
          <w:tab w:leader="none" w:pos="800" w:val="left"/>
        </w:tabs>
        <w:numPr>
          <w:ilvl w:val="1"/>
          <w:numId w:val="32"/>
        </w:numPr>
        <w:rPr>
          <w:rFonts w:ascii="Arial" w:cs="Arial" w:eastAsia="Arial" w:hAnsi="Arial"/>
          <w:sz w:val="16"/>
          <w:szCs w:val="16"/>
          <w:color w:val="202020"/>
        </w:rPr>
      </w:pPr>
      <w:r>
        <w:rPr>
          <w:rFonts w:ascii="Arial" w:cs="Arial" w:eastAsia="Arial" w:hAnsi="Arial"/>
          <w:sz w:val="16"/>
          <w:szCs w:val="16"/>
          <w:color w:val="202020"/>
        </w:rPr>
        <w:t>Fair values as of each measurement date were determined using valuation assumptions and methodologies in accordance with Accounting Standards Codification (ASC) Topic 718.</w:t>
      </w:r>
    </w:p>
    <w:p>
      <w:pPr>
        <w:spacing w:after="0" w:line="15" w:lineRule="exact"/>
        <w:rPr>
          <w:rFonts w:ascii="Arial" w:cs="Arial" w:eastAsia="Arial" w:hAnsi="Arial"/>
          <w:sz w:val="16"/>
          <w:szCs w:val="16"/>
          <w:color w:val="202020"/>
        </w:rPr>
      </w:pPr>
    </w:p>
    <w:p>
      <w:pPr>
        <w:ind w:left="400" w:hanging="399"/>
        <w:spacing w:after="0" w:line="270" w:lineRule="auto"/>
        <w:tabs>
          <w:tab w:leader="none" w:pos="400" w:val="left"/>
        </w:tabs>
        <w:numPr>
          <w:ilvl w:val="0"/>
          <w:numId w:val="33"/>
        </w:numPr>
        <w:rPr>
          <w:rFonts w:ascii="Arial" w:cs="Arial" w:eastAsia="Arial" w:hAnsi="Arial"/>
          <w:sz w:val="16"/>
          <w:szCs w:val="16"/>
          <w:color w:val="202020"/>
        </w:rPr>
      </w:pPr>
      <w:r>
        <w:rPr>
          <w:rFonts w:ascii="Arial" w:cs="Arial" w:eastAsia="Arial" w:hAnsi="Arial"/>
          <w:sz w:val="16"/>
          <w:szCs w:val="16"/>
          <w:color w:val="202020"/>
        </w:rPr>
        <w:t>The Peer Group TSR set forth in this table utilizes the NASDAQ Pharmaceutical (Subsector) Index (assuming reinvestment of all dividends), which we also utilize in the stock performance graph required by Item 201(e) of Regulation S-K, included in our Annual Report on Form 10-K for the year ended December 31, 2025. The comparison assumes $100 was invested for the period starting December 31, 2020, through the end of the listed year in our company and in the NASDAQ Pharmaceutical (Subsector) Index, respectively, and assumes reinvestment of all dividends. Historical stock performance is not indicative of future stock performance.</w:t>
      </w:r>
    </w:p>
    <w:p>
      <w:pPr>
        <w:spacing w:after="0" w:line="42" w:lineRule="exact"/>
        <w:rPr>
          <w:rFonts w:ascii="Arial" w:cs="Arial" w:eastAsia="Arial" w:hAnsi="Arial"/>
          <w:sz w:val="16"/>
          <w:szCs w:val="16"/>
          <w:color w:val="202020"/>
        </w:rPr>
      </w:pPr>
    </w:p>
    <w:p>
      <w:pPr>
        <w:ind w:left="400" w:hanging="399"/>
        <w:spacing w:after="0" w:line="268" w:lineRule="auto"/>
        <w:tabs>
          <w:tab w:leader="none" w:pos="400" w:val="left"/>
        </w:tabs>
        <w:numPr>
          <w:ilvl w:val="0"/>
          <w:numId w:val="33"/>
        </w:numPr>
        <w:rPr>
          <w:rFonts w:ascii="Arial" w:cs="Arial" w:eastAsia="Arial" w:hAnsi="Arial"/>
          <w:sz w:val="16"/>
          <w:szCs w:val="16"/>
          <w:color w:val="202020"/>
        </w:rPr>
      </w:pPr>
      <w:r>
        <w:rPr>
          <w:rFonts w:ascii="Arial" w:cs="Arial" w:eastAsia="Arial" w:hAnsi="Arial"/>
          <w:sz w:val="16"/>
          <w:szCs w:val="16"/>
          <w:color w:val="202020"/>
        </w:rPr>
        <w:t>Our Company Selected Measure is calculated as follows: Year-end cash and investment balance (in thousands), which is calculated by adding the cash, cash equivalents and marketable securities from our consolidated balance sheet. Identifying a Company Selected Measure is a matter of opinion. Other companies, including our peer companies, may utilize different measures as a basis for compensation or may utilize similar measures that are calculated in a manner that is different from the manner in which we calculate that measure. We may change the Company Selected Measure from year to year, depending upon a number of factors relating to our business.</w:t>
      </w:r>
    </w:p>
    <w:p>
      <w:pPr>
        <w:sectPr>
          <w:pgSz w:w="11880" w:h="15480" w:orient="portrait"/>
          <w:cols w:equalWidth="0" w:num="1">
            <w:col w:w="10120"/>
          </w:cols>
          <w:pgMar w:left="880" w:top="544" w:right="880" w:bottom="96" w:gutter="0" w:footer="0" w:header="0"/>
        </w:sectPr>
      </w:pPr>
    </w:p>
    <w:p>
      <w:pPr>
        <w:spacing w:after="0" w:line="18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44 |</w:t>
        <w:tab/>
        <w:t>Celldex Therapeutics</w:t>
      </w:r>
    </w:p>
    <w:p>
      <w:pPr>
        <w:sectPr>
          <w:pgSz w:w="11880" w:h="15480" w:orient="portrait"/>
          <w:cols w:equalWidth="0" w:num="1">
            <w:col w:w="10120"/>
          </w:cols>
          <w:pgMar w:left="880" w:top="544" w:right="880" w:bottom="96"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Relationship between Compensation Actually Paid and TSR</w:t>
      </w:r>
    </w:p>
    <w:p>
      <w:pPr>
        <w:spacing w:after="0" w:line="180"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202020"/>
        </w:rPr>
        <w:t>The graph below illustrates the relationship between compensation actually paid to the Company’s PEO and other NEOs, our total shareholder return and that of the NASDAQ Pharmaceutical (Subsector) Index.</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571" w:type="dxa"/>
        <w:tblCellMar>
          <w:top w:w="0" w:type="dxa"/>
          <w:left w:w="0" w:type="dxa"/>
          <w:bottom w:w="0" w:type="dxa"/>
          <w:right w:w="0" w:type="dxa"/>
        </w:tblCellMar>
      </w:tblPr>
      <w:tr>
        <w:trPr>
          <w:trHeight w:val="320"/>
        </w:trPr>
        <w:tc>
          <w:tcPr>
            <w:tcW w:w="172" w:type="dxa"/>
            <w:vAlign w:val="bottom"/>
            <w:textDirection w:val="btLr"/>
          </w:tcPr>
          <w:p>
            <w:pPr>
              <w:spacing w:after="0"/>
              <w:rPr>
                <w:sz w:val="20"/>
                <w:szCs w:val="20"/>
                <w:color w:val="auto"/>
              </w:rPr>
            </w:pPr>
            <w:r>
              <w:rPr>
                <w:rFonts w:ascii="Arial" w:cs="Arial" w:eastAsia="Arial" w:hAnsi="Arial"/>
                <w:sz w:val="15"/>
                <w:szCs w:val="15"/>
                <w:color w:val="252525"/>
              </w:rPr>
              <w:t>Paid</w:t>
            </w:r>
          </w:p>
        </w:tc>
      </w:tr>
    </w:tbl>
    <w:p>
      <w:pPr>
        <w:spacing w:after="0" w:line="40" w:lineRule="exact"/>
        <w:rPr>
          <w:sz w:val="20"/>
          <w:szCs w:val="20"/>
          <w:color w:val="auto"/>
        </w:rPr>
      </w:pPr>
    </w:p>
    <w:tbl>
      <w:tblPr>
        <w:tblLayout w:type="fixed"/>
        <w:tblInd w:w="532" w:type="dxa"/>
        <w:tblCellMar>
          <w:top w:w="0" w:type="dxa"/>
          <w:left w:w="0" w:type="dxa"/>
          <w:bottom w:w="0" w:type="dxa"/>
          <w:right w:w="0" w:type="dxa"/>
        </w:tblCellMar>
      </w:tblPr>
      <w:tr>
        <w:trPr>
          <w:trHeight w:val="1640"/>
        </w:trPr>
        <w:tc>
          <w:tcPr>
            <w:tcW w:w="391" w:type="dxa"/>
            <w:vAlign w:val="bottom"/>
            <w:textDirection w:val="btLr"/>
          </w:tcPr>
          <w:p>
            <w:pPr>
              <w:ind w:firstLine="489"/>
              <w:spacing w:after="0" w:line="255" w:lineRule="auto"/>
              <w:rPr>
                <w:sz w:val="20"/>
                <w:szCs w:val="20"/>
                <w:color w:val="auto"/>
              </w:rPr>
            </w:pPr>
            <w:r>
              <w:rPr>
                <w:rFonts w:ascii="Arial" w:cs="Arial" w:eastAsia="Arial" w:hAnsi="Arial"/>
                <w:sz w:val="16"/>
                <w:szCs w:val="16"/>
                <w:color w:val="252525"/>
              </w:rPr>
              <w:t>(in thousands) Compensation Actually</w:t>
            </w: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252525"/>
        </w:rPr>
        <w:t>16,000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379095</wp:posOffset>
                </wp:positionH>
                <wp:positionV relativeFrom="paragraph">
                  <wp:posOffset>-51435</wp:posOffset>
                </wp:positionV>
                <wp:extent cx="452945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2945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5pt,-4.0499pt" to="386.5pt,-4.0499pt" o:allowincell="f" strokecolor="#262626" strokeweight="0.25pt"/>
            </w:pict>
          </mc:Fallback>
        </mc:AlternateConten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14,000</w:t>
            </w:r>
          </w:p>
        </w:tc>
        <w:tc>
          <w:tcPr>
            <w:tcW w:w="680" w:type="dxa"/>
            <w:vAlign w:val="bottom"/>
            <w:tcBorders>
              <w:bottom w:val="single" w:sz="8" w:color="262626"/>
            </w:tcBorders>
            <w:gridSpan w:val="3"/>
          </w:tcPr>
          <w:p>
            <w:pPr>
              <w:jc w:val="right"/>
              <w:ind w:right="20"/>
              <w:spacing w:after="0"/>
              <w:rPr>
                <w:sz w:val="20"/>
                <w:szCs w:val="20"/>
                <w:color w:val="auto"/>
              </w:rPr>
            </w:pPr>
            <w:r>
              <w:rPr>
                <w:rFonts w:ascii="Arial" w:cs="Arial" w:eastAsia="Arial" w:hAnsi="Arial"/>
                <w:sz w:val="16"/>
                <w:szCs w:val="16"/>
                <w:color w:val="252525"/>
              </w:rPr>
              <w:t>13,903</w:t>
            </w:r>
          </w:p>
        </w:tc>
        <w:tc>
          <w:tcPr>
            <w:tcW w:w="60" w:type="dxa"/>
            <w:vAlign w:val="bottom"/>
            <w:tcBorders>
              <w:bottom w:val="single" w:sz="8" w:color="262626"/>
            </w:tcBorders>
          </w:tcPr>
          <w:p>
            <w:pPr>
              <w:spacing w:after="0"/>
              <w:rPr>
                <w:sz w:val="18"/>
                <w:szCs w:val="18"/>
                <w:color w:val="auto"/>
              </w:rPr>
            </w:pPr>
          </w:p>
        </w:tc>
        <w:tc>
          <w:tcPr>
            <w:tcW w:w="120" w:type="dxa"/>
            <w:vAlign w:val="bottom"/>
            <w:tcBorders>
              <w:bottom w:val="single" w:sz="8" w:color="262626"/>
            </w:tcBorders>
          </w:tcPr>
          <w:p>
            <w:pPr>
              <w:spacing w:after="0"/>
              <w:rPr>
                <w:sz w:val="18"/>
                <w:szCs w:val="18"/>
                <w:color w:val="auto"/>
              </w:rPr>
            </w:pPr>
          </w:p>
        </w:tc>
        <w:tc>
          <w:tcPr>
            <w:tcW w:w="380" w:type="dxa"/>
            <w:vAlign w:val="bottom"/>
            <w:tcBorders>
              <w:bottom w:val="single" w:sz="8" w:color="262626"/>
            </w:tcBorders>
          </w:tcPr>
          <w:p>
            <w:pPr>
              <w:spacing w:after="0"/>
              <w:rPr>
                <w:sz w:val="18"/>
                <w:szCs w:val="18"/>
                <w:color w:val="auto"/>
              </w:rPr>
            </w:pPr>
          </w:p>
        </w:tc>
        <w:tc>
          <w:tcPr>
            <w:tcW w:w="340" w:type="dxa"/>
            <w:vAlign w:val="bottom"/>
            <w:tcBorders>
              <w:bottom w:val="single" w:sz="8" w:color="262626"/>
            </w:tcBorders>
          </w:tcPr>
          <w:p>
            <w:pPr>
              <w:spacing w:after="0"/>
              <w:rPr>
                <w:sz w:val="18"/>
                <w:szCs w:val="18"/>
                <w:color w:val="auto"/>
              </w:rPr>
            </w:pPr>
          </w:p>
        </w:tc>
        <w:tc>
          <w:tcPr>
            <w:tcW w:w="520" w:type="dxa"/>
            <w:vAlign w:val="bottom"/>
            <w:tcBorders>
              <w:bottom w:val="single" w:sz="8" w:color="262626"/>
            </w:tcBorders>
          </w:tcPr>
          <w:p>
            <w:pPr>
              <w:spacing w:after="0"/>
              <w:rPr>
                <w:sz w:val="18"/>
                <w:szCs w:val="18"/>
                <w:color w:val="auto"/>
              </w:rPr>
            </w:pPr>
          </w:p>
        </w:tc>
        <w:tc>
          <w:tcPr>
            <w:tcW w:w="60" w:type="dxa"/>
            <w:vAlign w:val="bottom"/>
            <w:tcBorders>
              <w:bottom w:val="single" w:sz="8" w:color="262626"/>
            </w:tcBorders>
          </w:tcPr>
          <w:p>
            <w:pPr>
              <w:spacing w:after="0"/>
              <w:rPr>
                <w:sz w:val="18"/>
                <w:szCs w:val="18"/>
                <w:color w:val="auto"/>
              </w:rPr>
            </w:pPr>
          </w:p>
        </w:tc>
        <w:tc>
          <w:tcPr>
            <w:tcW w:w="520" w:type="dxa"/>
            <w:vAlign w:val="bottom"/>
            <w:tcBorders>
              <w:bottom w:val="single" w:sz="8" w:color="262626"/>
            </w:tcBorders>
          </w:tcPr>
          <w:p>
            <w:pPr>
              <w:spacing w:after="0"/>
              <w:rPr>
                <w:sz w:val="18"/>
                <w:szCs w:val="18"/>
                <w:color w:val="auto"/>
              </w:rPr>
            </w:pPr>
          </w:p>
        </w:tc>
        <w:tc>
          <w:tcPr>
            <w:tcW w:w="340" w:type="dxa"/>
            <w:vAlign w:val="bottom"/>
            <w:tcBorders>
              <w:bottom w:val="single" w:sz="8" w:color="262626"/>
            </w:tcBorders>
          </w:tcPr>
          <w:p>
            <w:pPr>
              <w:spacing w:after="0"/>
              <w:rPr>
                <w:sz w:val="18"/>
                <w:szCs w:val="18"/>
                <w:color w:val="auto"/>
              </w:rPr>
            </w:pPr>
          </w:p>
        </w:tc>
        <w:tc>
          <w:tcPr>
            <w:tcW w:w="120" w:type="dxa"/>
            <w:vAlign w:val="bottom"/>
            <w:tcBorders>
              <w:bottom w:val="single" w:sz="8" w:color="262626"/>
            </w:tcBorders>
          </w:tcPr>
          <w:p>
            <w:pPr>
              <w:spacing w:after="0"/>
              <w:rPr>
                <w:sz w:val="18"/>
                <w:szCs w:val="18"/>
                <w:color w:val="auto"/>
              </w:rPr>
            </w:pPr>
          </w:p>
        </w:tc>
        <w:tc>
          <w:tcPr>
            <w:tcW w:w="380" w:type="dxa"/>
            <w:vAlign w:val="bottom"/>
            <w:tcBorders>
              <w:bottom w:val="single" w:sz="8" w:color="262626"/>
            </w:tcBorders>
          </w:tcPr>
          <w:p>
            <w:pPr>
              <w:spacing w:after="0"/>
              <w:rPr>
                <w:sz w:val="18"/>
                <w:szCs w:val="18"/>
                <w:color w:val="auto"/>
              </w:rPr>
            </w:pPr>
          </w:p>
        </w:tc>
        <w:tc>
          <w:tcPr>
            <w:tcW w:w="60" w:type="dxa"/>
            <w:vAlign w:val="bottom"/>
            <w:tcBorders>
              <w:bottom w:val="single" w:sz="8" w:color="262626"/>
            </w:tcBorders>
          </w:tcPr>
          <w:p>
            <w:pPr>
              <w:spacing w:after="0"/>
              <w:rPr>
                <w:sz w:val="18"/>
                <w:szCs w:val="18"/>
                <w:color w:val="auto"/>
              </w:rPr>
            </w:pPr>
          </w:p>
        </w:tc>
        <w:tc>
          <w:tcPr>
            <w:tcW w:w="520" w:type="dxa"/>
            <w:vAlign w:val="bottom"/>
            <w:tcBorders>
              <w:bottom w:val="single" w:sz="8" w:color="262626"/>
            </w:tcBorders>
          </w:tcPr>
          <w:p>
            <w:pPr>
              <w:spacing w:after="0"/>
              <w:rPr>
                <w:sz w:val="18"/>
                <w:szCs w:val="18"/>
                <w:color w:val="auto"/>
              </w:rPr>
            </w:pPr>
          </w:p>
        </w:tc>
        <w:tc>
          <w:tcPr>
            <w:tcW w:w="340" w:type="dxa"/>
            <w:vAlign w:val="bottom"/>
            <w:tcBorders>
              <w:bottom w:val="single" w:sz="8" w:color="262626"/>
            </w:tcBorders>
          </w:tcPr>
          <w:p>
            <w:pPr>
              <w:spacing w:after="0"/>
              <w:rPr>
                <w:sz w:val="18"/>
                <w:szCs w:val="18"/>
                <w:color w:val="auto"/>
              </w:rPr>
            </w:pPr>
          </w:p>
        </w:tc>
        <w:tc>
          <w:tcPr>
            <w:tcW w:w="520" w:type="dxa"/>
            <w:vAlign w:val="bottom"/>
            <w:tcBorders>
              <w:bottom w:val="single" w:sz="8" w:color="262626"/>
            </w:tcBorders>
          </w:tcPr>
          <w:p>
            <w:pPr>
              <w:spacing w:after="0"/>
              <w:rPr>
                <w:sz w:val="18"/>
                <w:szCs w:val="18"/>
                <w:color w:val="auto"/>
              </w:rPr>
            </w:pPr>
          </w:p>
        </w:tc>
        <w:tc>
          <w:tcPr>
            <w:tcW w:w="60" w:type="dxa"/>
            <w:vAlign w:val="bottom"/>
            <w:tcBorders>
              <w:bottom w:val="single" w:sz="8" w:color="262626"/>
            </w:tcBorders>
          </w:tcPr>
          <w:p>
            <w:pPr>
              <w:spacing w:after="0"/>
              <w:rPr>
                <w:sz w:val="18"/>
                <w:szCs w:val="18"/>
                <w:color w:val="auto"/>
              </w:rPr>
            </w:pPr>
          </w:p>
        </w:tc>
        <w:tc>
          <w:tcPr>
            <w:tcW w:w="160" w:type="dxa"/>
            <w:vAlign w:val="bottom"/>
            <w:tcBorders>
              <w:bottom w:val="single" w:sz="8" w:color="262626"/>
            </w:tcBorders>
          </w:tcPr>
          <w:p>
            <w:pPr>
              <w:spacing w:after="0"/>
              <w:rPr>
                <w:sz w:val="18"/>
                <w:szCs w:val="18"/>
                <w:color w:val="auto"/>
              </w:rPr>
            </w:pPr>
          </w:p>
        </w:tc>
        <w:tc>
          <w:tcPr>
            <w:tcW w:w="340" w:type="dxa"/>
            <w:vAlign w:val="bottom"/>
            <w:tcBorders>
              <w:bottom w:val="single" w:sz="8" w:color="262626"/>
            </w:tcBorders>
          </w:tcPr>
          <w:p>
            <w:pPr>
              <w:spacing w:after="0"/>
              <w:rPr>
                <w:sz w:val="18"/>
                <w:szCs w:val="18"/>
                <w:color w:val="auto"/>
              </w:rPr>
            </w:pPr>
          </w:p>
        </w:tc>
        <w:tc>
          <w:tcPr>
            <w:tcW w:w="340" w:type="dxa"/>
            <w:vAlign w:val="bottom"/>
            <w:tcBorders>
              <w:bottom w:val="single" w:sz="8" w:color="262626"/>
            </w:tcBorders>
          </w:tcPr>
          <w:p>
            <w:pPr>
              <w:spacing w:after="0"/>
              <w:rPr>
                <w:sz w:val="18"/>
                <w:szCs w:val="18"/>
                <w:color w:val="auto"/>
              </w:rPr>
            </w:pPr>
          </w:p>
        </w:tc>
        <w:tc>
          <w:tcPr>
            <w:tcW w:w="520" w:type="dxa"/>
            <w:vAlign w:val="bottom"/>
            <w:tcBorders>
              <w:bottom w:val="single" w:sz="8" w:color="262626"/>
            </w:tcBorders>
          </w:tcPr>
          <w:p>
            <w:pPr>
              <w:spacing w:after="0"/>
              <w:rPr>
                <w:sz w:val="18"/>
                <w:szCs w:val="18"/>
                <w:color w:val="auto"/>
              </w:rPr>
            </w:pPr>
          </w:p>
        </w:tc>
        <w:tc>
          <w:tcPr>
            <w:tcW w:w="60" w:type="dxa"/>
            <w:vAlign w:val="bottom"/>
            <w:tcBorders>
              <w:bottom w:val="single" w:sz="8" w:color="262626"/>
            </w:tcBorders>
          </w:tcPr>
          <w:p>
            <w:pPr>
              <w:spacing w:after="0"/>
              <w:rPr>
                <w:sz w:val="18"/>
                <w:szCs w:val="18"/>
                <w:color w:val="auto"/>
              </w:rPr>
            </w:pPr>
          </w:p>
        </w:tc>
        <w:tc>
          <w:tcPr>
            <w:tcW w:w="520" w:type="dxa"/>
            <w:vAlign w:val="bottom"/>
            <w:tcBorders>
              <w:bottom w:val="single" w:sz="8" w:color="262626"/>
            </w:tcBorders>
          </w:tcPr>
          <w:p>
            <w:pPr>
              <w:spacing w:after="0"/>
              <w:rPr>
                <w:sz w:val="18"/>
                <w:szCs w:val="18"/>
                <w:color w:val="auto"/>
              </w:rPr>
            </w:pPr>
          </w:p>
        </w:tc>
        <w:tc>
          <w:tcPr>
            <w:tcW w:w="180" w:type="dxa"/>
            <w:vAlign w:val="bottom"/>
            <w:tcBorders>
              <w:bottom w:val="single" w:sz="8" w:color="262626"/>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shd w:val="clear" w:color="auto" w:fill="202020"/>
          </w:tcPr>
          <w:p>
            <w:pPr>
              <w:spacing w:after="0"/>
              <w:rPr>
                <w:sz w:val="8"/>
                <w:szCs w:val="8"/>
                <w:color w:val="auto"/>
              </w:rPr>
            </w:pPr>
          </w:p>
        </w:tc>
        <w:tc>
          <w:tcPr>
            <w:tcW w:w="260" w:type="dxa"/>
            <w:vAlign w:val="bottom"/>
            <w:shd w:val="clear" w:color="auto" w:fill="202020"/>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gridSpan w:val="3"/>
            <w:vMerge w:val="restart"/>
          </w:tcPr>
          <w:p>
            <w:pPr>
              <w:ind w:left="400"/>
              <w:spacing w:after="0"/>
              <w:rPr>
                <w:sz w:val="20"/>
                <w:szCs w:val="20"/>
                <w:color w:val="auto"/>
              </w:rPr>
            </w:pPr>
            <w:r>
              <w:rPr>
                <w:rFonts w:ascii="Arial" w:cs="Arial" w:eastAsia="Arial" w:hAnsi="Arial"/>
                <w:sz w:val="16"/>
                <w:szCs w:val="16"/>
                <w:color w:val="686868"/>
              </w:rPr>
              <w:t>254</w:t>
            </w:r>
          </w:p>
        </w:tc>
        <w:tc>
          <w:tcPr>
            <w:tcW w:w="340" w:type="dxa"/>
            <w:vAlign w:val="bottom"/>
          </w:tcPr>
          <w:p>
            <w:pPr>
              <w:spacing w:after="0"/>
              <w:rPr>
                <w:sz w:val="8"/>
                <w:szCs w:val="8"/>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6"/>
                <w:szCs w:val="16"/>
                <w:color w:val="686868"/>
              </w:rPr>
              <w:t>226</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12,000</w:t>
            </w:r>
          </w:p>
        </w:tc>
        <w:tc>
          <w:tcPr>
            <w:tcW w:w="160" w:type="dxa"/>
            <w:vAlign w:val="bottom"/>
          </w:tcPr>
          <w:p>
            <w:pPr>
              <w:spacing w:after="0"/>
              <w:rPr>
                <w:sz w:val="24"/>
                <w:szCs w:val="24"/>
                <w:color w:val="auto"/>
              </w:rPr>
            </w:pPr>
          </w:p>
        </w:tc>
        <w:tc>
          <w:tcPr>
            <w:tcW w:w="260" w:type="dxa"/>
            <w:vAlign w:val="bottom"/>
            <w:shd w:val="clear" w:color="auto" w:fill="202020"/>
          </w:tcPr>
          <w:p>
            <w:pPr>
              <w:spacing w:after="0"/>
              <w:rPr>
                <w:sz w:val="24"/>
                <w:szCs w:val="24"/>
                <w:color w:val="auto"/>
              </w:rPr>
            </w:pPr>
          </w:p>
        </w:tc>
        <w:tc>
          <w:tcPr>
            <w:tcW w:w="260" w:type="dxa"/>
            <w:vAlign w:val="bottom"/>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600" w:type="dxa"/>
            <w:vAlign w:val="bottom"/>
            <w:vMerge w:val="continue"/>
          </w:tcPr>
          <w:p>
            <w:pPr>
              <w:spacing w:after="0"/>
              <w:rPr>
                <w:sz w:val="6"/>
                <w:szCs w:val="6"/>
                <w:color w:val="auto"/>
              </w:rPr>
            </w:pPr>
          </w:p>
        </w:tc>
        <w:tc>
          <w:tcPr>
            <w:tcW w:w="160" w:type="dxa"/>
            <w:vAlign w:val="bottom"/>
            <w:tcBorders>
              <w:bottom w:val="single" w:sz="8" w:color="262626"/>
            </w:tcBorders>
          </w:tcPr>
          <w:p>
            <w:pPr>
              <w:spacing w:after="0"/>
              <w:rPr>
                <w:sz w:val="6"/>
                <w:szCs w:val="6"/>
                <w:color w:val="auto"/>
              </w:rPr>
            </w:pPr>
          </w:p>
        </w:tc>
        <w:tc>
          <w:tcPr>
            <w:tcW w:w="260" w:type="dxa"/>
            <w:vAlign w:val="bottom"/>
            <w:tcBorders>
              <w:bottom w:val="single" w:sz="8" w:color="202020"/>
            </w:tcBorders>
            <w:shd w:val="clear" w:color="auto" w:fill="202020"/>
          </w:tcPr>
          <w:p>
            <w:pPr>
              <w:spacing w:after="0"/>
              <w:rPr>
                <w:sz w:val="6"/>
                <w:szCs w:val="6"/>
                <w:color w:val="auto"/>
              </w:rPr>
            </w:pPr>
          </w:p>
        </w:tc>
        <w:tc>
          <w:tcPr>
            <w:tcW w:w="260" w:type="dxa"/>
            <w:vAlign w:val="bottom"/>
            <w:tcBorders>
              <w:bottom w:val="single" w:sz="8" w:color="202020"/>
            </w:tcBorders>
            <w:shd w:val="clear" w:color="auto" w:fill="202020"/>
          </w:tcPr>
          <w:p>
            <w:pPr>
              <w:spacing w:after="0"/>
              <w:rPr>
                <w:sz w:val="6"/>
                <w:szCs w:val="6"/>
                <w:color w:val="auto"/>
              </w:rPr>
            </w:pPr>
          </w:p>
        </w:tc>
        <w:tc>
          <w:tcPr>
            <w:tcW w:w="60" w:type="dxa"/>
            <w:vAlign w:val="bottom"/>
            <w:tcBorders>
              <w:bottom w:val="single" w:sz="8" w:color="262626"/>
            </w:tcBorders>
          </w:tcPr>
          <w:p>
            <w:pPr>
              <w:spacing w:after="0"/>
              <w:rPr>
                <w:sz w:val="6"/>
                <w:szCs w:val="6"/>
                <w:color w:val="auto"/>
              </w:rPr>
            </w:pPr>
          </w:p>
        </w:tc>
        <w:tc>
          <w:tcPr>
            <w:tcW w:w="120" w:type="dxa"/>
            <w:vAlign w:val="bottom"/>
            <w:tcBorders>
              <w:bottom w:val="single" w:sz="8" w:color="262626"/>
            </w:tcBorders>
          </w:tcPr>
          <w:p>
            <w:pPr>
              <w:spacing w:after="0"/>
              <w:rPr>
                <w:sz w:val="6"/>
                <w:szCs w:val="6"/>
                <w:color w:val="auto"/>
              </w:rPr>
            </w:pPr>
          </w:p>
        </w:tc>
        <w:tc>
          <w:tcPr>
            <w:tcW w:w="380" w:type="dxa"/>
            <w:vAlign w:val="bottom"/>
            <w:tcBorders>
              <w:bottom w:val="single" w:sz="8" w:color="262626"/>
            </w:tcBorders>
          </w:tcPr>
          <w:p>
            <w:pPr>
              <w:spacing w:after="0"/>
              <w:rPr>
                <w:sz w:val="6"/>
                <w:szCs w:val="6"/>
                <w:color w:val="auto"/>
              </w:rPr>
            </w:pPr>
          </w:p>
        </w:tc>
        <w:tc>
          <w:tcPr>
            <w:tcW w:w="340" w:type="dxa"/>
            <w:vAlign w:val="bottom"/>
            <w:tcBorders>
              <w:bottom w:val="single" w:sz="8" w:color="262626"/>
            </w:tcBorders>
          </w:tcPr>
          <w:p>
            <w:pPr>
              <w:spacing w:after="0"/>
              <w:rPr>
                <w:sz w:val="6"/>
                <w:szCs w:val="6"/>
                <w:color w:val="auto"/>
              </w:rPr>
            </w:pPr>
          </w:p>
        </w:tc>
        <w:tc>
          <w:tcPr>
            <w:tcW w:w="520" w:type="dxa"/>
            <w:vAlign w:val="bottom"/>
            <w:tcBorders>
              <w:bottom w:val="single" w:sz="8" w:color="262626"/>
            </w:tcBorders>
          </w:tcPr>
          <w:p>
            <w:pPr>
              <w:spacing w:after="0"/>
              <w:rPr>
                <w:sz w:val="6"/>
                <w:szCs w:val="6"/>
                <w:color w:val="auto"/>
              </w:rPr>
            </w:pPr>
          </w:p>
        </w:tc>
        <w:tc>
          <w:tcPr>
            <w:tcW w:w="60" w:type="dxa"/>
            <w:vAlign w:val="bottom"/>
            <w:tcBorders>
              <w:bottom w:val="single" w:sz="8" w:color="262626"/>
            </w:tcBorders>
          </w:tcPr>
          <w:p>
            <w:pPr>
              <w:spacing w:after="0"/>
              <w:rPr>
                <w:sz w:val="6"/>
                <w:szCs w:val="6"/>
                <w:color w:val="auto"/>
              </w:rPr>
            </w:pPr>
          </w:p>
        </w:tc>
        <w:tc>
          <w:tcPr>
            <w:tcW w:w="520" w:type="dxa"/>
            <w:vAlign w:val="bottom"/>
            <w:tcBorders>
              <w:bottom w:val="single" w:sz="8" w:color="262626"/>
            </w:tcBorders>
          </w:tcPr>
          <w:p>
            <w:pPr>
              <w:spacing w:after="0"/>
              <w:rPr>
                <w:sz w:val="6"/>
                <w:szCs w:val="6"/>
                <w:color w:val="auto"/>
              </w:rPr>
            </w:pPr>
          </w:p>
        </w:tc>
        <w:tc>
          <w:tcPr>
            <w:tcW w:w="340" w:type="dxa"/>
            <w:vAlign w:val="bottom"/>
            <w:tcBorders>
              <w:bottom w:val="single" w:sz="8" w:color="262626"/>
            </w:tcBorders>
          </w:tcPr>
          <w:p>
            <w:pPr>
              <w:spacing w:after="0"/>
              <w:rPr>
                <w:sz w:val="6"/>
                <w:szCs w:val="6"/>
                <w:color w:val="auto"/>
              </w:rPr>
            </w:pPr>
          </w:p>
        </w:tc>
        <w:tc>
          <w:tcPr>
            <w:tcW w:w="120" w:type="dxa"/>
            <w:vAlign w:val="bottom"/>
            <w:tcBorders>
              <w:bottom w:val="single" w:sz="8" w:color="262626"/>
            </w:tcBorders>
          </w:tcPr>
          <w:p>
            <w:pPr>
              <w:spacing w:after="0"/>
              <w:rPr>
                <w:sz w:val="6"/>
                <w:szCs w:val="6"/>
                <w:color w:val="auto"/>
              </w:rPr>
            </w:pPr>
          </w:p>
        </w:tc>
        <w:tc>
          <w:tcPr>
            <w:tcW w:w="380" w:type="dxa"/>
            <w:vAlign w:val="bottom"/>
            <w:tcBorders>
              <w:bottom w:val="single" w:sz="8" w:color="262626"/>
            </w:tcBorders>
          </w:tcPr>
          <w:p>
            <w:pPr>
              <w:spacing w:after="0"/>
              <w:rPr>
                <w:sz w:val="6"/>
                <w:szCs w:val="6"/>
                <w:color w:val="auto"/>
              </w:rPr>
            </w:pPr>
          </w:p>
        </w:tc>
        <w:tc>
          <w:tcPr>
            <w:tcW w:w="60" w:type="dxa"/>
            <w:vAlign w:val="bottom"/>
            <w:tcBorders>
              <w:bottom w:val="single" w:sz="8" w:color="262626"/>
            </w:tcBorders>
          </w:tcPr>
          <w:p>
            <w:pPr>
              <w:spacing w:after="0"/>
              <w:rPr>
                <w:sz w:val="6"/>
                <w:szCs w:val="6"/>
                <w:color w:val="auto"/>
              </w:rPr>
            </w:pPr>
          </w:p>
        </w:tc>
        <w:tc>
          <w:tcPr>
            <w:tcW w:w="520" w:type="dxa"/>
            <w:vAlign w:val="bottom"/>
            <w:tcBorders>
              <w:bottom w:val="single" w:sz="8" w:color="262626"/>
            </w:tcBorders>
          </w:tcPr>
          <w:p>
            <w:pPr>
              <w:spacing w:after="0"/>
              <w:rPr>
                <w:sz w:val="6"/>
                <w:szCs w:val="6"/>
                <w:color w:val="auto"/>
              </w:rPr>
            </w:pPr>
          </w:p>
        </w:tc>
        <w:tc>
          <w:tcPr>
            <w:tcW w:w="340" w:type="dxa"/>
            <w:vAlign w:val="bottom"/>
            <w:tcBorders>
              <w:bottom w:val="single" w:sz="8" w:color="262626"/>
            </w:tcBorders>
          </w:tcPr>
          <w:p>
            <w:pPr>
              <w:spacing w:after="0"/>
              <w:rPr>
                <w:sz w:val="6"/>
                <w:szCs w:val="6"/>
                <w:color w:val="auto"/>
              </w:rPr>
            </w:pPr>
          </w:p>
        </w:tc>
        <w:tc>
          <w:tcPr>
            <w:tcW w:w="520" w:type="dxa"/>
            <w:vAlign w:val="bottom"/>
            <w:tcBorders>
              <w:bottom w:val="single" w:sz="8" w:color="262626"/>
            </w:tcBorders>
          </w:tcPr>
          <w:p>
            <w:pPr>
              <w:spacing w:after="0"/>
              <w:rPr>
                <w:sz w:val="6"/>
                <w:szCs w:val="6"/>
                <w:color w:val="auto"/>
              </w:rPr>
            </w:pPr>
          </w:p>
        </w:tc>
        <w:tc>
          <w:tcPr>
            <w:tcW w:w="60" w:type="dxa"/>
            <w:vAlign w:val="bottom"/>
            <w:tcBorders>
              <w:bottom w:val="single" w:sz="8" w:color="262626"/>
            </w:tcBorders>
          </w:tcPr>
          <w:p>
            <w:pPr>
              <w:spacing w:after="0"/>
              <w:rPr>
                <w:sz w:val="6"/>
                <w:szCs w:val="6"/>
                <w:color w:val="auto"/>
              </w:rPr>
            </w:pPr>
          </w:p>
        </w:tc>
        <w:tc>
          <w:tcPr>
            <w:tcW w:w="160" w:type="dxa"/>
            <w:vAlign w:val="bottom"/>
            <w:tcBorders>
              <w:bottom w:val="single" w:sz="8" w:color="262626"/>
            </w:tcBorders>
          </w:tcPr>
          <w:p>
            <w:pPr>
              <w:spacing w:after="0"/>
              <w:rPr>
                <w:sz w:val="6"/>
                <w:szCs w:val="6"/>
                <w:color w:val="auto"/>
              </w:rPr>
            </w:pPr>
          </w:p>
        </w:tc>
        <w:tc>
          <w:tcPr>
            <w:tcW w:w="340" w:type="dxa"/>
            <w:vAlign w:val="bottom"/>
            <w:tcBorders>
              <w:bottom w:val="single" w:sz="8" w:color="262626"/>
            </w:tcBorders>
          </w:tcPr>
          <w:p>
            <w:pPr>
              <w:spacing w:after="0"/>
              <w:rPr>
                <w:sz w:val="6"/>
                <w:szCs w:val="6"/>
                <w:color w:val="auto"/>
              </w:rPr>
            </w:pPr>
          </w:p>
        </w:tc>
        <w:tc>
          <w:tcPr>
            <w:tcW w:w="340" w:type="dxa"/>
            <w:vAlign w:val="bottom"/>
            <w:tcBorders>
              <w:bottom w:val="single" w:sz="8" w:color="262626"/>
            </w:tcBorders>
          </w:tcPr>
          <w:p>
            <w:pPr>
              <w:spacing w:after="0"/>
              <w:rPr>
                <w:sz w:val="6"/>
                <w:szCs w:val="6"/>
                <w:color w:val="auto"/>
              </w:rPr>
            </w:pPr>
          </w:p>
        </w:tc>
        <w:tc>
          <w:tcPr>
            <w:tcW w:w="520" w:type="dxa"/>
            <w:vAlign w:val="bottom"/>
            <w:tcBorders>
              <w:bottom w:val="single" w:sz="8" w:color="262626"/>
            </w:tcBorders>
          </w:tcPr>
          <w:p>
            <w:pPr>
              <w:spacing w:after="0"/>
              <w:rPr>
                <w:sz w:val="6"/>
                <w:szCs w:val="6"/>
                <w:color w:val="auto"/>
              </w:rPr>
            </w:pPr>
          </w:p>
        </w:tc>
        <w:tc>
          <w:tcPr>
            <w:tcW w:w="60" w:type="dxa"/>
            <w:vAlign w:val="bottom"/>
            <w:tcBorders>
              <w:bottom w:val="single" w:sz="8" w:color="262626"/>
            </w:tcBorders>
          </w:tcPr>
          <w:p>
            <w:pPr>
              <w:spacing w:after="0"/>
              <w:rPr>
                <w:sz w:val="6"/>
                <w:szCs w:val="6"/>
                <w:color w:val="auto"/>
              </w:rPr>
            </w:pPr>
          </w:p>
        </w:tc>
        <w:tc>
          <w:tcPr>
            <w:tcW w:w="520" w:type="dxa"/>
            <w:vAlign w:val="bottom"/>
            <w:tcBorders>
              <w:bottom w:val="single" w:sz="8" w:color="262626"/>
            </w:tcBorders>
          </w:tcPr>
          <w:p>
            <w:pPr>
              <w:spacing w:after="0"/>
              <w:rPr>
                <w:sz w:val="6"/>
                <w:szCs w:val="6"/>
                <w:color w:val="auto"/>
              </w:rPr>
            </w:pPr>
          </w:p>
        </w:tc>
        <w:tc>
          <w:tcPr>
            <w:tcW w:w="180" w:type="dxa"/>
            <w:vAlign w:val="bottom"/>
            <w:tcBorders>
              <w:bottom w:val="single" w:sz="8" w:color="262626"/>
            </w:tcBorders>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56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686868"/>
              </w:rPr>
              <w:t>221</w:t>
            </w:r>
          </w:p>
        </w:tc>
        <w:tc>
          <w:tcPr>
            <w:tcW w:w="34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252525"/>
              </w:rPr>
              <w:t>10,096</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969696"/>
              </w:rPr>
              <w:t>201</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shd w:val="clear" w:color="auto" w:fill="202020"/>
          </w:tcPr>
          <w:p>
            <w:pPr>
              <w:spacing w:after="0"/>
              <w:rPr>
                <w:sz w:val="18"/>
                <w:szCs w:val="18"/>
                <w:color w:val="auto"/>
              </w:rPr>
            </w:pPr>
          </w:p>
        </w:tc>
        <w:tc>
          <w:tcPr>
            <w:tcW w:w="260" w:type="dxa"/>
            <w:vAlign w:val="bottom"/>
            <w:shd w:val="clear" w:color="auto" w:fill="202020"/>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shd w:val="clear" w:color="auto" w:fill="202020"/>
          </w:tcPr>
          <w:p>
            <w:pPr>
              <w:spacing w:after="0"/>
              <w:rPr>
                <w:sz w:val="9"/>
                <w:szCs w:val="9"/>
                <w:color w:val="auto"/>
              </w:rPr>
            </w:pPr>
          </w:p>
        </w:tc>
        <w:tc>
          <w:tcPr>
            <w:tcW w:w="260" w:type="dxa"/>
            <w:vAlign w:val="bottom"/>
            <w:shd w:val="clear" w:color="auto" w:fill="202020"/>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10,000</w:t>
            </w:r>
          </w:p>
        </w:tc>
        <w:tc>
          <w:tcPr>
            <w:tcW w:w="160" w:type="dxa"/>
            <w:vAlign w:val="bottom"/>
          </w:tcPr>
          <w:p>
            <w:pPr>
              <w:spacing w:after="0"/>
              <w:rPr>
                <w:sz w:val="6"/>
                <w:szCs w:val="6"/>
                <w:color w:val="auto"/>
              </w:rPr>
            </w:pPr>
          </w:p>
        </w:tc>
        <w:tc>
          <w:tcPr>
            <w:tcW w:w="260" w:type="dxa"/>
            <w:vAlign w:val="bottom"/>
            <w:shd w:val="clear" w:color="auto" w:fill="202020"/>
          </w:tcPr>
          <w:p>
            <w:pPr>
              <w:spacing w:after="0"/>
              <w:rPr>
                <w:sz w:val="6"/>
                <w:szCs w:val="6"/>
                <w:color w:val="auto"/>
              </w:rPr>
            </w:pPr>
          </w:p>
        </w:tc>
        <w:tc>
          <w:tcPr>
            <w:tcW w:w="26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600" w:type="dxa"/>
            <w:vAlign w:val="bottom"/>
            <w:vMerge w:val="continue"/>
          </w:tcPr>
          <w:p>
            <w:pPr>
              <w:spacing w:after="0"/>
              <w:rPr>
                <w:sz w:val="4"/>
                <w:szCs w:val="4"/>
                <w:color w:val="auto"/>
              </w:rPr>
            </w:pPr>
          </w:p>
        </w:tc>
        <w:tc>
          <w:tcPr>
            <w:tcW w:w="160" w:type="dxa"/>
            <w:vAlign w:val="bottom"/>
            <w:tcBorders>
              <w:bottom w:val="single" w:sz="8" w:color="262626"/>
            </w:tcBorders>
          </w:tcPr>
          <w:p>
            <w:pPr>
              <w:spacing w:after="0"/>
              <w:rPr>
                <w:sz w:val="4"/>
                <w:szCs w:val="4"/>
                <w:color w:val="auto"/>
              </w:rPr>
            </w:pPr>
          </w:p>
        </w:tc>
        <w:tc>
          <w:tcPr>
            <w:tcW w:w="260" w:type="dxa"/>
            <w:vAlign w:val="bottom"/>
            <w:tcBorders>
              <w:bottom w:val="single" w:sz="8" w:color="202020"/>
            </w:tcBorders>
            <w:shd w:val="clear" w:color="auto" w:fill="202020"/>
          </w:tcPr>
          <w:p>
            <w:pPr>
              <w:spacing w:after="0"/>
              <w:rPr>
                <w:sz w:val="4"/>
                <w:szCs w:val="4"/>
                <w:color w:val="auto"/>
              </w:rPr>
            </w:pPr>
          </w:p>
        </w:tc>
        <w:tc>
          <w:tcPr>
            <w:tcW w:w="260" w:type="dxa"/>
            <w:vAlign w:val="bottom"/>
            <w:tcBorders>
              <w:bottom w:val="single" w:sz="8" w:color="202020"/>
            </w:tcBorders>
            <w:shd w:val="clear" w:color="auto" w:fill="202020"/>
          </w:tcPr>
          <w:p>
            <w:pPr>
              <w:spacing w:after="0"/>
              <w:rPr>
                <w:sz w:val="4"/>
                <w:szCs w:val="4"/>
                <w:color w:val="auto"/>
              </w:rPr>
            </w:pPr>
          </w:p>
        </w:tc>
        <w:tc>
          <w:tcPr>
            <w:tcW w:w="60" w:type="dxa"/>
            <w:vAlign w:val="bottom"/>
            <w:tcBorders>
              <w:bottom w:val="single" w:sz="8" w:color="262626"/>
            </w:tcBorders>
          </w:tcPr>
          <w:p>
            <w:pPr>
              <w:spacing w:after="0"/>
              <w:rPr>
                <w:sz w:val="4"/>
                <w:szCs w:val="4"/>
                <w:color w:val="auto"/>
              </w:rPr>
            </w:pPr>
          </w:p>
        </w:tc>
        <w:tc>
          <w:tcPr>
            <w:tcW w:w="120" w:type="dxa"/>
            <w:vAlign w:val="bottom"/>
            <w:tcBorders>
              <w:bottom w:val="single" w:sz="8" w:color="262626"/>
            </w:tcBorders>
          </w:tcPr>
          <w:p>
            <w:pPr>
              <w:spacing w:after="0"/>
              <w:rPr>
                <w:sz w:val="4"/>
                <w:szCs w:val="4"/>
                <w:color w:val="auto"/>
              </w:rPr>
            </w:pPr>
          </w:p>
        </w:tc>
        <w:tc>
          <w:tcPr>
            <w:tcW w:w="380" w:type="dxa"/>
            <w:vAlign w:val="bottom"/>
            <w:tcBorders>
              <w:bottom w:val="single" w:sz="8" w:color="262626"/>
            </w:tcBorders>
          </w:tcPr>
          <w:p>
            <w:pPr>
              <w:spacing w:after="0"/>
              <w:rPr>
                <w:sz w:val="4"/>
                <w:szCs w:val="4"/>
                <w:color w:val="auto"/>
              </w:rPr>
            </w:pPr>
          </w:p>
        </w:tc>
        <w:tc>
          <w:tcPr>
            <w:tcW w:w="340" w:type="dxa"/>
            <w:vAlign w:val="bottom"/>
            <w:tcBorders>
              <w:bottom w:val="single" w:sz="8" w:color="262626"/>
            </w:tcBorders>
          </w:tcPr>
          <w:p>
            <w:pPr>
              <w:spacing w:after="0"/>
              <w:rPr>
                <w:sz w:val="4"/>
                <w:szCs w:val="4"/>
                <w:color w:val="auto"/>
              </w:rPr>
            </w:pPr>
          </w:p>
        </w:tc>
        <w:tc>
          <w:tcPr>
            <w:tcW w:w="520" w:type="dxa"/>
            <w:vAlign w:val="bottom"/>
            <w:tcBorders>
              <w:bottom w:val="single" w:sz="8" w:color="202020"/>
            </w:tcBorders>
          </w:tcPr>
          <w:p>
            <w:pPr>
              <w:spacing w:after="0"/>
              <w:rPr>
                <w:sz w:val="4"/>
                <w:szCs w:val="4"/>
                <w:color w:val="auto"/>
              </w:rPr>
            </w:pPr>
          </w:p>
        </w:tc>
        <w:tc>
          <w:tcPr>
            <w:tcW w:w="60" w:type="dxa"/>
            <w:vAlign w:val="bottom"/>
            <w:tcBorders>
              <w:bottom w:val="single" w:sz="8" w:color="262626"/>
            </w:tcBorders>
          </w:tcPr>
          <w:p>
            <w:pPr>
              <w:spacing w:after="0"/>
              <w:rPr>
                <w:sz w:val="4"/>
                <w:szCs w:val="4"/>
                <w:color w:val="auto"/>
              </w:rPr>
            </w:pPr>
          </w:p>
        </w:tc>
        <w:tc>
          <w:tcPr>
            <w:tcW w:w="520" w:type="dxa"/>
            <w:vAlign w:val="bottom"/>
            <w:tcBorders>
              <w:bottom w:val="single" w:sz="8" w:color="262626"/>
            </w:tcBorders>
          </w:tcPr>
          <w:p>
            <w:pPr>
              <w:spacing w:after="0"/>
              <w:rPr>
                <w:sz w:val="4"/>
                <w:szCs w:val="4"/>
                <w:color w:val="auto"/>
              </w:rPr>
            </w:pPr>
          </w:p>
        </w:tc>
        <w:tc>
          <w:tcPr>
            <w:tcW w:w="340" w:type="dxa"/>
            <w:vAlign w:val="bottom"/>
            <w:tcBorders>
              <w:bottom w:val="single" w:sz="8" w:color="262626"/>
            </w:tcBorders>
          </w:tcPr>
          <w:p>
            <w:pPr>
              <w:spacing w:after="0"/>
              <w:rPr>
                <w:sz w:val="4"/>
                <w:szCs w:val="4"/>
                <w:color w:val="auto"/>
              </w:rPr>
            </w:pPr>
          </w:p>
        </w:tc>
        <w:tc>
          <w:tcPr>
            <w:tcW w:w="120" w:type="dxa"/>
            <w:vAlign w:val="bottom"/>
            <w:tcBorders>
              <w:bottom w:val="single" w:sz="8" w:color="262626"/>
            </w:tcBorders>
          </w:tcPr>
          <w:p>
            <w:pPr>
              <w:spacing w:after="0"/>
              <w:rPr>
                <w:sz w:val="4"/>
                <w:szCs w:val="4"/>
                <w:color w:val="auto"/>
              </w:rPr>
            </w:pPr>
          </w:p>
        </w:tc>
        <w:tc>
          <w:tcPr>
            <w:tcW w:w="380" w:type="dxa"/>
            <w:vAlign w:val="bottom"/>
            <w:tcBorders>
              <w:bottom w:val="single" w:sz="8" w:color="262626"/>
            </w:tcBorders>
          </w:tcPr>
          <w:p>
            <w:pPr>
              <w:spacing w:after="0"/>
              <w:rPr>
                <w:sz w:val="4"/>
                <w:szCs w:val="4"/>
                <w:color w:val="auto"/>
              </w:rPr>
            </w:pPr>
          </w:p>
        </w:tc>
        <w:tc>
          <w:tcPr>
            <w:tcW w:w="60" w:type="dxa"/>
            <w:vAlign w:val="bottom"/>
            <w:tcBorders>
              <w:bottom w:val="single" w:sz="8" w:color="262626"/>
            </w:tcBorders>
          </w:tcPr>
          <w:p>
            <w:pPr>
              <w:spacing w:after="0"/>
              <w:rPr>
                <w:sz w:val="4"/>
                <w:szCs w:val="4"/>
                <w:color w:val="auto"/>
              </w:rPr>
            </w:pPr>
          </w:p>
        </w:tc>
        <w:tc>
          <w:tcPr>
            <w:tcW w:w="520" w:type="dxa"/>
            <w:vAlign w:val="bottom"/>
            <w:tcBorders>
              <w:bottom w:val="single" w:sz="8" w:color="262626"/>
            </w:tcBorders>
          </w:tcPr>
          <w:p>
            <w:pPr>
              <w:spacing w:after="0"/>
              <w:rPr>
                <w:sz w:val="4"/>
                <w:szCs w:val="4"/>
                <w:color w:val="auto"/>
              </w:rPr>
            </w:pPr>
          </w:p>
        </w:tc>
        <w:tc>
          <w:tcPr>
            <w:tcW w:w="340" w:type="dxa"/>
            <w:vAlign w:val="bottom"/>
            <w:tcBorders>
              <w:bottom w:val="single" w:sz="8" w:color="262626"/>
            </w:tcBorders>
          </w:tcPr>
          <w:p>
            <w:pPr>
              <w:spacing w:after="0"/>
              <w:rPr>
                <w:sz w:val="4"/>
                <w:szCs w:val="4"/>
                <w:color w:val="auto"/>
              </w:rPr>
            </w:pPr>
          </w:p>
        </w:tc>
        <w:tc>
          <w:tcPr>
            <w:tcW w:w="520" w:type="dxa"/>
            <w:vAlign w:val="bottom"/>
            <w:tcBorders>
              <w:bottom w:val="single" w:sz="8" w:color="262626"/>
            </w:tcBorders>
          </w:tcPr>
          <w:p>
            <w:pPr>
              <w:spacing w:after="0"/>
              <w:rPr>
                <w:sz w:val="4"/>
                <w:szCs w:val="4"/>
                <w:color w:val="auto"/>
              </w:rPr>
            </w:pPr>
          </w:p>
        </w:tc>
        <w:tc>
          <w:tcPr>
            <w:tcW w:w="60" w:type="dxa"/>
            <w:vAlign w:val="bottom"/>
            <w:tcBorders>
              <w:bottom w:val="single" w:sz="8" w:color="262626"/>
            </w:tcBorders>
          </w:tcPr>
          <w:p>
            <w:pPr>
              <w:spacing w:after="0"/>
              <w:rPr>
                <w:sz w:val="4"/>
                <w:szCs w:val="4"/>
                <w:color w:val="auto"/>
              </w:rPr>
            </w:pPr>
          </w:p>
        </w:tc>
        <w:tc>
          <w:tcPr>
            <w:tcW w:w="160" w:type="dxa"/>
            <w:vAlign w:val="bottom"/>
            <w:tcBorders>
              <w:bottom w:val="single" w:sz="8" w:color="262626"/>
            </w:tcBorders>
          </w:tcPr>
          <w:p>
            <w:pPr>
              <w:spacing w:after="0"/>
              <w:rPr>
                <w:sz w:val="4"/>
                <w:szCs w:val="4"/>
                <w:color w:val="auto"/>
              </w:rPr>
            </w:pPr>
          </w:p>
        </w:tc>
        <w:tc>
          <w:tcPr>
            <w:tcW w:w="340" w:type="dxa"/>
            <w:vAlign w:val="bottom"/>
            <w:tcBorders>
              <w:bottom w:val="single" w:sz="8" w:color="262626"/>
            </w:tcBorders>
          </w:tcPr>
          <w:p>
            <w:pPr>
              <w:spacing w:after="0"/>
              <w:rPr>
                <w:sz w:val="4"/>
                <w:szCs w:val="4"/>
                <w:color w:val="auto"/>
              </w:rPr>
            </w:pPr>
          </w:p>
        </w:tc>
        <w:tc>
          <w:tcPr>
            <w:tcW w:w="340" w:type="dxa"/>
            <w:vAlign w:val="bottom"/>
            <w:tcBorders>
              <w:bottom w:val="single" w:sz="8" w:color="262626"/>
            </w:tcBorders>
          </w:tcPr>
          <w:p>
            <w:pPr>
              <w:spacing w:after="0"/>
              <w:rPr>
                <w:sz w:val="4"/>
                <w:szCs w:val="4"/>
                <w:color w:val="auto"/>
              </w:rPr>
            </w:pPr>
          </w:p>
        </w:tc>
        <w:tc>
          <w:tcPr>
            <w:tcW w:w="520" w:type="dxa"/>
            <w:vAlign w:val="bottom"/>
            <w:tcBorders>
              <w:bottom w:val="single" w:sz="8" w:color="262626"/>
            </w:tcBorders>
          </w:tcPr>
          <w:p>
            <w:pPr>
              <w:spacing w:after="0"/>
              <w:rPr>
                <w:sz w:val="4"/>
                <w:szCs w:val="4"/>
                <w:color w:val="auto"/>
              </w:rPr>
            </w:pPr>
          </w:p>
        </w:tc>
        <w:tc>
          <w:tcPr>
            <w:tcW w:w="60" w:type="dxa"/>
            <w:vAlign w:val="bottom"/>
            <w:tcBorders>
              <w:bottom w:val="single" w:sz="8" w:color="262626"/>
            </w:tcBorders>
          </w:tcPr>
          <w:p>
            <w:pPr>
              <w:spacing w:after="0"/>
              <w:rPr>
                <w:sz w:val="4"/>
                <w:szCs w:val="4"/>
                <w:color w:val="auto"/>
              </w:rPr>
            </w:pPr>
          </w:p>
        </w:tc>
        <w:tc>
          <w:tcPr>
            <w:tcW w:w="520" w:type="dxa"/>
            <w:vAlign w:val="bottom"/>
            <w:tcBorders>
              <w:bottom w:val="single" w:sz="8" w:color="262626"/>
            </w:tcBorders>
          </w:tcPr>
          <w:p>
            <w:pPr>
              <w:spacing w:after="0"/>
              <w:rPr>
                <w:sz w:val="4"/>
                <w:szCs w:val="4"/>
                <w:color w:val="auto"/>
              </w:rPr>
            </w:pPr>
          </w:p>
        </w:tc>
        <w:tc>
          <w:tcPr>
            <w:tcW w:w="180" w:type="dxa"/>
            <w:vAlign w:val="bottom"/>
            <w:tcBorders>
              <w:bottom w:val="single" w:sz="8" w:color="262626"/>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gridSpan w:val="4"/>
            <w:vMerge w:val="restart"/>
          </w:tcPr>
          <w:p>
            <w:pPr>
              <w:jc w:val="right"/>
              <w:ind w:right="220"/>
              <w:spacing w:after="0"/>
              <w:rPr>
                <w:sz w:val="20"/>
                <w:szCs w:val="20"/>
                <w:color w:val="auto"/>
              </w:rPr>
            </w:pPr>
            <w:r>
              <w:rPr>
                <w:rFonts w:ascii="Arial" w:cs="Arial" w:eastAsia="Arial" w:hAnsi="Arial"/>
                <w:sz w:val="16"/>
                <w:szCs w:val="16"/>
                <w:color w:val="969696"/>
              </w:rPr>
              <w:t>144</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969696"/>
              </w:rPr>
              <w:t>156</w:t>
            </w: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gridSpan w:val="3"/>
            <w:vMerge w:val="restart"/>
          </w:tcPr>
          <w:p>
            <w:pPr>
              <w:ind w:left="640"/>
              <w:spacing w:after="0"/>
              <w:rPr>
                <w:sz w:val="20"/>
                <w:szCs w:val="20"/>
                <w:color w:val="auto"/>
              </w:rPr>
            </w:pPr>
            <w:r>
              <w:rPr>
                <w:rFonts w:ascii="Arial" w:cs="Arial" w:eastAsia="Arial" w:hAnsi="Arial"/>
                <w:sz w:val="16"/>
                <w:szCs w:val="16"/>
                <w:color w:val="686868"/>
              </w:rPr>
              <w:t>155</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shd w:val="clear" w:color="auto" w:fill="202020"/>
          </w:tcPr>
          <w:p>
            <w:pPr>
              <w:spacing w:after="0"/>
              <w:rPr>
                <w:sz w:val="24"/>
                <w:szCs w:val="24"/>
                <w:color w:val="auto"/>
              </w:rPr>
            </w:pPr>
          </w:p>
        </w:tc>
        <w:tc>
          <w:tcPr>
            <w:tcW w:w="260" w:type="dxa"/>
            <w:vAlign w:val="bottom"/>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9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8,000</w:t>
            </w:r>
          </w:p>
        </w:tc>
        <w:tc>
          <w:tcPr>
            <w:tcW w:w="160" w:type="dxa"/>
            <w:vAlign w:val="bottom"/>
          </w:tcPr>
          <w:p>
            <w:pPr>
              <w:spacing w:after="0"/>
              <w:rPr>
                <w:sz w:val="9"/>
                <w:szCs w:val="9"/>
                <w:color w:val="auto"/>
              </w:rPr>
            </w:pPr>
          </w:p>
        </w:tc>
        <w:tc>
          <w:tcPr>
            <w:tcW w:w="260" w:type="dxa"/>
            <w:vAlign w:val="bottom"/>
            <w:shd w:val="clear" w:color="auto" w:fill="202020"/>
          </w:tcPr>
          <w:p>
            <w:pPr>
              <w:spacing w:after="0"/>
              <w:rPr>
                <w:sz w:val="9"/>
                <w:szCs w:val="9"/>
                <w:color w:val="auto"/>
              </w:rPr>
            </w:pPr>
          </w:p>
        </w:tc>
        <w:tc>
          <w:tcPr>
            <w:tcW w:w="260" w:type="dxa"/>
            <w:vAlign w:val="bottom"/>
            <w:shd w:val="clear" w:color="auto" w:fill="202020"/>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shd w:val="clear" w:color="auto" w:fill="202020"/>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0" w:type="dxa"/>
            <w:vAlign w:val="bottom"/>
            <w:vMerge w:val="continue"/>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260" w:type="dxa"/>
            <w:vAlign w:val="bottom"/>
            <w:tcBorders>
              <w:bottom w:val="single" w:sz="8" w:color="202020"/>
            </w:tcBorders>
            <w:shd w:val="clear" w:color="auto" w:fill="202020"/>
          </w:tcPr>
          <w:p>
            <w:pPr>
              <w:spacing w:after="0" w:line="20" w:lineRule="exact"/>
              <w:rPr>
                <w:sz w:val="1"/>
                <w:szCs w:val="1"/>
                <w:color w:val="auto"/>
              </w:rPr>
            </w:pPr>
          </w:p>
        </w:tc>
        <w:tc>
          <w:tcPr>
            <w:tcW w:w="260" w:type="dxa"/>
            <w:vAlign w:val="bottom"/>
            <w:tcBorders>
              <w:bottom w:val="single" w:sz="8" w:color="202020"/>
            </w:tcBorders>
            <w:shd w:val="clear" w:color="auto" w:fill="202020"/>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380" w:type="dxa"/>
            <w:vAlign w:val="bottom"/>
            <w:tcBorders>
              <w:bottom w:val="single" w:sz="8" w:color="262626"/>
            </w:tcBorders>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520" w:type="dxa"/>
            <w:vAlign w:val="bottom"/>
            <w:tcBorders>
              <w:bottom w:val="single" w:sz="8" w:color="202020"/>
            </w:tcBorders>
            <w:shd w:val="clear" w:color="auto" w:fill="202020"/>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520" w:type="dxa"/>
            <w:vAlign w:val="bottom"/>
            <w:tcBorders>
              <w:bottom w:val="single" w:sz="8" w:color="262626"/>
            </w:tcBorders>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380" w:type="dxa"/>
            <w:vAlign w:val="bottom"/>
            <w:tcBorders>
              <w:bottom w:val="single" w:sz="8" w:color="262626"/>
            </w:tcBorders>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520" w:type="dxa"/>
            <w:vAlign w:val="bottom"/>
            <w:tcBorders>
              <w:bottom w:val="single" w:sz="8" w:color="262626"/>
            </w:tcBorders>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520" w:type="dxa"/>
            <w:vAlign w:val="bottom"/>
            <w:tcBorders>
              <w:bottom w:val="single" w:sz="8" w:color="262626"/>
            </w:tcBorders>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520" w:type="dxa"/>
            <w:vAlign w:val="bottom"/>
            <w:tcBorders>
              <w:bottom w:val="single" w:sz="8" w:color="262626"/>
            </w:tcBorders>
          </w:tcPr>
          <w:p>
            <w:pPr>
              <w:spacing w:after="0" w:line="20" w:lineRule="exact"/>
              <w:rPr>
                <w:sz w:val="1"/>
                <w:szCs w:val="1"/>
                <w:color w:val="auto"/>
              </w:rPr>
            </w:pPr>
          </w:p>
        </w:tc>
        <w:tc>
          <w:tcPr>
            <w:tcW w:w="60" w:type="dxa"/>
            <w:vAlign w:val="bottom"/>
            <w:tcBorders>
              <w:bottom w:val="single" w:sz="8" w:color="262626"/>
            </w:tcBorders>
          </w:tcPr>
          <w:p>
            <w:pPr>
              <w:spacing w:after="0" w:line="20" w:lineRule="exact"/>
              <w:rPr>
                <w:sz w:val="1"/>
                <w:szCs w:val="1"/>
                <w:color w:val="auto"/>
              </w:rPr>
            </w:pPr>
          </w:p>
        </w:tc>
        <w:tc>
          <w:tcPr>
            <w:tcW w:w="520" w:type="dxa"/>
            <w:vAlign w:val="bottom"/>
            <w:tcBorders>
              <w:bottom w:val="single" w:sz="8" w:color="262626"/>
            </w:tcBorders>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
        </w:trPr>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56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969696"/>
              </w:rPr>
              <w:t>124</w:t>
            </w: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969696"/>
              </w:rPr>
              <w:t>139</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gridSpan w:val="4"/>
            <w:vMerge w:val="restart"/>
          </w:tcPr>
          <w:p>
            <w:pPr>
              <w:jc w:val="right"/>
              <w:ind w:right="60"/>
              <w:spacing w:after="0"/>
              <w:rPr>
                <w:sz w:val="20"/>
                <w:szCs w:val="20"/>
                <w:color w:val="auto"/>
              </w:rPr>
            </w:pPr>
            <w:r>
              <w:rPr>
                <w:rFonts w:ascii="Arial" w:cs="Arial" w:eastAsia="Arial" w:hAnsi="Arial"/>
                <w:sz w:val="16"/>
                <w:szCs w:val="16"/>
                <w:color w:val="686868"/>
              </w:rPr>
              <w:t>144</w:t>
            </w: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shd w:val="clear" w:color="auto" w:fill="202020"/>
          </w:tcPr>
          <w:p>
            <w:pPr>
              <w:spacing w:after="0"/>
              <w:rPr>
                <w:sz w:val="16"/>
                <w:szCs w:val="16"/>
                <w:color w:val="auto"/>
              </w:rPr>
            </w:pPr>
          </w:p>
        </w:tc>
        <w:tc>
          <w:tcPr>
            <w:tcW w:w="260" w:type="dxa"/>
            <w:vAlign w:val="bottom"/>
            <w:shd w:val="clear" w:color="auto" w:fill="202020"/>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shd w:val="clear" w:color="auto" w:fill="202020"/>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6,000</w:t>
            </w:r>
          </w:p>
        </w:tc>
        <w:tc>
          <w:tcPr>
            <w:tcW w:w="160" w:type="dxa"/>
            <w:vAlign w:val="bottom"/>
            <w:tcBorders>
              <w:bottom w:val="single" w:sz="8" w:color="262626"/>
            </w:tcBorders>
          </w:tcPr>
          <w:p>
            <w:pPr>
              <w:spacing w:after="0"/>
              <w:rPr>
                <w:sz w:val="12"/>
                <w:szCs w:val="12"/>
                <w:color w:val="auto"/>
              </w:rPr>
            </w:pPr>
          </w:p>
        </w:tc>
        <w:tc>
          <w:tcPr>
            <w:tcW w:w="260" w:type="dxa"/>
            <w:vAlign w:val="bottom"/>
            <w:tcBorders>
              <w:bottom w:val="single" w:sz="8" w:color="202020"/>
            </w:tcBorders>
            <w:shd w:val="clear" w:color="auto" w:fill="202020"/>
          </w:tcPr>
          <w:p>
            <w:pPr>
              <w:spacing w:after="0"/>
              <w:rPr>
                <w:sz w:val="12"/>
                <w:szCs w:val="12"/>
                <w:color w:val="auto"/>
              </w:rPr>
            </w:pPr>
          </w:p>
        </w:tc>
        <w:tc>
          <w:tcPr>
            <w:tcW w:w="260" w:type="dxa"/>
            <w:vAlign w:val="bottom"/>
            <w:tcBorders>
              <w:bottom w:val="single" w:sz="8" w:color="202020"/>
            </w:tcBorders>
            <w:shd w:val="clear" w:color="auto" w:fill="202020"/>
          </w:tcPr>
          <w:p>
            <w:pPr>
              <w:spacing w:after="0"/>
              <w:rPr>
                <w:sz w:val="12"/>
                <w:szCs w:val="12"/>
                <w:color w:val="auto"/>
              </w:rPr>
            </w:pPr>
          </w:p>
        </w:tc>
        <w:tc>
          <w:tcPr>
            <w:tcW w:w="60" w:type="dxa"/>
            <w:vAlign w:val="bottom"/>
            <w:tcBorders>
              <w:bottom w:val="single" w:sz="8" w:color="262626"/>
            </w:tcBorders>
          </w:tcPr>
          <w:p>
            <w:pPr>
              <w:spacing w:after="0"/>
              <w:rPr>
                <w:sz w:val="12"/>
                <w:szCs w:val="12"/>
                <w:color w:val="auto"/>
              </w:rPr>
            </w:pPr>
          </w:p>
        </w:tc>
        <w:tc>
          <w:tcPr>
            <w:tcW w:w="120" w:type="dxa"/>
            <w:vAlign w:val="bottom"/>
            <w:tcBorders>
              <w:bottom w:val="single" w:sz="8" w:color="262626"/>
            </w:tcBorders>
          </w:tcPr>
          <w:p>
            <w:pPr>
              <w:spacing w:after="0"/>
              <w:rPr>
                <w:sz w:val="12"/>
                <w:szCs w:val="12"/>
                <w:color w:val="auto"/>
              </w:rPr>
            </w:pPr>
          </w:p>
        </w:tc>
        <w:tc>
          <w:tcPr>
            <w:tcW w:w="380" w:type="dxa"/>
            <w:vAlign w:val="bottom"/>
            <w:tcBorders>
              <w:bottom w:val="single" w:sz="8" w:color="262626"/>
            </w:tcBorders>
          </w:tcPr>
          <w:p>
            <w:pPr>
              <w:spacing w:after="0"/>
              <w:rPr>
                <w:sz w:val="12"/>
                <w:szCs w:val="12"/>
                <w:color w:val="auto"/>
              </w:rPr>
            </w:pPr>
          </w:p>
        </w:tc>
        <w:tc>
          <w:tcPr>
            <w:tcW w:w="340" w:type="dxa"/>
            <w:vAlign w:val="bottom"/>
            <w:tcBorders>
              <w:bottom w:val="single" w:sz="8" w:color="262626"/>
            </w:tcBorders>
          </w:tcPr>
          <w:p>
            <w:pPr>
              <w:spacing w:after="0"/>
              <w:rPr>
                <w:sz w:val="12"/>
                <w:szCs w:val="12"/>
                <w:color w:val="auto"/>
              </w:rPr>
            </w:pPr>
          </w:p>
        </w:tc>
        <w:tc>
          <w:tcPr>
            <w:tcW w:w="520" w:type="dxa"/>
            <w:vAlign w:val="bottom"/>
            <w:tcBorders>
              <w:bottom w:val="single" w:sz="8" w:color="202020"/>
            </w:tcBorders>
            <w:shd w:val="clear" w:color="auto" w:fill="202020"/>
          </w:tcPr>
          <w:p>
            <w:pPr>
              <w:spacing w:after="0"/>
              <w:rPr>
                <w:sz w:val="12"/>
                <w:szCs w:val="12"/>
                <w:color w:val="auto"/>
              </w:rPr>
            </w:pPr>
          </w:p>
        </w:tc>
        <w:tc>
          <w:tcPr>
            <w:tcW w:w="60" w:type="dxa"/>
            <w:vAlign w:val="bottom"/>
            <w:tcBorders>
              <w:bottom w:val="single" w:sz="8" w:color="262626"/>
            </w:tcBorders>
          </w:tcPr>
          <w:p>
            <w:pPr>
              <w:spacing w:after="0"/>
              <w:rPr>
                <w:sz w:val="12"/>
                <w:szCs w:val="12"/>
                <w:color w:val="auto"/>
              </w:rPr>
            </w:pPr>
          </w:p>
        </w:tc>
        <w:tc>
          <w:tcPr>
            <w:tcW w:w="520" w:type="dxa"/>
            <w:vAlign w:val="bottom"/>
            <w:tcBorders>
              <w:bottom w:val="single" w:sz="8" w:color="262626"/>
            </w:tcBorders>
          </w:tcPr>
          <w:p>
            <w:pPr>
              <w:spacing w:after="0"/>
              <w:rPr>
                <w:sz w:val="12"/>
                <w:szCs w:val="12"/>
                <w:color w:val="auto"/>
              </w:rPr>
            </w:pPr>
          </w:p>
        </w:tc>
        <w:tc>
          <w:tcPr>
            <w:tcW w:w="340" w:type="dxa"/>
            <w:vAlign w:val="bottom"/>
            <w:tcBorders>
              <w:bottom w:val="single" w:sz="8" w:color="262626"/>
            </w:tcBorders>
          </w:tcPr>
          <w:p>
            <w:pPr>
              <w:spacing w:after="0"/>
              <w:rPr>
                <w:sz w:val="12"/>
                <w:szCs w:val="12"/>
                <w:color w:val="auto"/>
              </w:rPr>
            </w:pPr>
          </w:p>
        </w:tc>
        <w:tc>
          <w:tcPr>
            <w:tcW w:w="120" w:type="dxa"/>
            <w:vAlign w:val="bottom"/>
            <w:tcBorders>
              <w:bottom w:val="single" w:sz="8" w:color="262626"/>
            </w:tcBorders>
          </w:tcPr>
          <w:p>
            <w:pPr>
              <w:spacing w:after="0"/>
              <w:rPr>
                <w:sz w:val="12"/>
                <w:szCs w:val="12"/>
                <w:color w:val="auto"/>
              </w:rPr>
            </w:pPr>
          </w:p>
        </w:tc>
        <w:tc>
          <w:tcPr>
            <w:tcW w:w="380" w:type="dxa"/>
            <w:vAlign w:val="bottom"/>
            <w:tcBorders>
              <w:bottom w:val="single" w:sz="8" w:color="262626"/>
            </w:tcBorders>
          </w:tcPr>
          <w:p>
            <w:pPr>
              <w:spacing w:after="0"/>
              <w:rPr>
                <w:sz w:val="12"/>
                <w:szCs w:val="12"/>
                <w:color w:val="auto"/>
              </w:rPr>
            </w:pPr>
          </w:p>
        </w:tc>
        <w:tc>
          <w:tcPr>
            <w:tcW w:w="60" w:type="dxa"/>
            <w:vAlign w:val="bottom"/>
            <w:tcBorders>
              <w:bottom w:val="single" w:sz="8" w:color="262626"/>
            </w:tcBorders>
          </w:tcPr>
          <w:p>
            <w:pPr>
              <w:spacing w:after="0"/>
              <w:rPr>
                <w:sz w:val="12"/>
                <w:szCs w:val="12"/>
                <w:color w:val="auto"/>
              </w:rPr>
            </w:pPr>
          </w:p>
        </w:tc>
        <w:tc>
          <w:tcPr>
            <w:tcW w:w="520" w:type="dxa"/>
            <w:vAlign w:val="bottom"/>
            <w:tcBorders>
              <w:bottom w:val="single" w:sz="8" w:color="262626"/>
            </w:tcBorders>
          </w:tcPr>
          <w:p>
            <w:pPr>
              <w:spacing w:after="0"/>
              <w:rPr>
                <w:sz w:val="12"/>
                <w:szCs w:val="12"/>
                <w:color w:val="auto"/>
              </w:rPr>
            </w:pPr>
          </w:p>
        </w:tc>
        <w:tc>
          <w:tcPr>
            <w:tcW w:w="340" w:type="dxa"/>
            <w:vAlign w:val="bottom"/>
            <w:tcBorders>
              <w:bottom w:val="single" w:sz="8" w:color="262626"/>
            </w:tcBorders>
          </w:tcPr>
          <w:p>
            <w:pPr>
              <w:spacing w:after="0"/>
              <w:rPr>
                <w:sz w:val="12"/>
                <w:szCs w:val="12"/>
                <w:color w:val="auto"/>
              </w:rPr>
            </w:pPr>
          </w:p>
        </w:tc>
        <w:tc>
          <w:tcPr>
            <w:tcW w:w="520" w:type="dxa"/>
            <w:vAlign w:val="bottom"/>
            <w:tcBorders>
              <w:bottom w:val="single" w:sz="8" w:color="262626"/>
            </w:tcBorders>
          </w:tcPr>
          <w:p>
            <w:pPr>
              <w:spacing w:after="0"/>
              <w:rPr>
                <w:sz w:val="12"/>
                <w:szCs w:val="12"/>
                <w:color w:val="auto"/>
              </w:rPr>
            </w:pPr>
          </w:p>
        </w:tc>
        <w:tc>
          <w:tcPr>
            <w:tcW w:w="60" w:type="dxa"/>
            <w:vAlign w:val="bottom"/>
            <w:tcBorders>
              <w:bottom w:val="single" w:sz="8" w:color="262626"/>
            </w:tcBorders>
          </w:tcPr>
          <w:p>
            <w:pPr>
              <w:spacing w:after="0"/>
              <w:rPr>
                <w:sz w:val="12"/>
                <w:szCs w:val="12"/>
                <w:color w:val="auto"/>
              </w:rPr>
            </w:pPr>
          </w:p>
        </w:tc>
        <w:tc>
          <w:tcPr>
            <w:tcW w:w="160" w:type="dxa"/>
            <w:vAlign w:val="bottom"/>
            <w:tcBorders>
              <w:bottom w:val="single" w:sz="8" w:color="262626"/>
            </w:tcBorders>
          </w:tcPr>
          <w:p>
            <w:pPr>
              <w:spacing w:after="0"/>
              <w:rPr>
                <w:sz w:val="12"/>
                <w:szCs w:val="12"/>
                <w:color w:val="auto"/>
              </w:rPr>
            </w:pPr>
          </w:p>
        </w:tc>
        <w:tc>
          <w:tcPr>
            <w:tcW w:w="340" w:type="dxa"/>
            <w:vAlign w:val="bottom"/>
            <w:tcBorders>
              <w:bottom w:val="single" w:sz="8" w:color="262626"/>
            </w:tcBorders>
          </w:tcPr>
          <w:p>
            <w:pPr>
              <w:spacing w:after="0"/>
              <w:rPr>
                <w:sz w:val="12"/>
                <w:szCs w:val="12"/>
                <w:color w:val="auto"/>
              </w:rPr>
            </w:pPr>
          </w:p>
        </w:tc>
        <w:tc>
          <w:tcPr>
            <w:tcW w:w="340" w:type="dxa"/>
            <w:vAlign w:val="bottom"/>
            <w:tcBorders>
              <w:bottom w:val="single" w:sz="8" w:color="262626"/>
            </w:tcBorders>
          </w:tcPr>
          <w:p>
            <w:pPr>
              <w:spacing w:after="0"/>
              <w:rPr>
                <w:sz w:val="12"/>
                <w:szCs w:val="12"/>
                <w:color w:val="auto"/>
              </w:rPr>
            </w:pPr>
          </w:p>
        </w:tc>
        <w:tc>
          <w:tcPr>
            <w:tcW w:w="520" w:type="dxa"/>
            <w:vAlign w:val="bottom"/>
            <w:tcBorders>
              <w:bottom w:val="single" w:sz="8" w:color="262626"/>
            </w:tcBorders>
          </w:tcPr>
          <w:p>
            <w:pPr>
              <w:spacing w:after="0"/>
              <w:rPr>
                <w:sz w:val="12"/>
                <w:szCs w:val="12"/>
                <w:color w:val="auto"/>
              </w:rPr>
            </w:pPr>
          </w:p>
        </w:tc>
        <w:tc>
          <w:tcPr>
            <w:tcW w:w="60" w:type="dxa"/>
            <w:vAlign w:val="bottom"/>
            <w:tcBorders>
              <w:bottom w:val="single" w:sz="8" w:color="262626"/>
            </w:tcBorders>
          </w:tcPr>
          <w:p>
            <w:pPr>
              <w:spacing w:after="0"/>
              <w:rPr>
                <w:sz w:val="12"/>
                <w:szCs w:val="12"/>
                <w:color w:val="auto"/>
              </w:rPr>
            </w:pPr>
          </w:p>
        </w:tc>
        <w:tc>
          <w:tcPr>
            <w:tcW w:w="520" w:type="dxa"/>
            <w:vAlign w:val="bottom"/>
            <w:tcBorders>
              <w:bottom w:val="single" w:sz="8" w:color="262626"/>
            </w:tcBorders>
          </w:tcPr>
          <w:p>
            <w:pPr>
              <w:spacing w:after="0"/>
              <w:rPr>
                <w:sz w:val="12"/>
                <w:szCs w:val="12"/>
                <w:color w:val="auto"/>
              </w:rPr>
            </w:pPr>
          </w:p>
        </w:tc>
        <w:tc>
          <w:tcPr>
            <w:tcW w:w="180" w:type="dxa"/>
            <w:vAlign w:val="bottom"/>
            <w:tcBorders>
              <w:bottom w:val="single" w:sz="8" w:color="262626"/>
            </w:tcBorders>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6"/>
                <w:szCs w:val="16"/>
                <w:color w:val="252525"/>
              </w:rPr>
              <w:t>5,116</w:t>
            </w: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6"/>
                <w:szCs w:val="16"/>
                <w:color w:val="252525"/>
              </w:rPr>
              <w:t>4,835</w:t>
            </w: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shd w:val="clear" w:color="auto" w:fill="202020"/>
          </w:tcPr>
          <w:p>
            <w:pPr>
              <w:spacing w:after="0"/>
              <w:rPr>
                <w:sz w:val="9"/>
                <w:szCs w:val="9"/>
                <w:color w:val="auto"/>
              </w:rPr>
            </w:pPr>
          </w:p>
        </w:tc>
        <w:tc>
          <w:tcPr>
            <w:tcW w:w="260" w:type="dxa"/>
            <w:vAlign w:val="bottom"/>
            <w:shd w:val="clear" w:color="auto" w:fill="202020"/>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shd w:val="clear" w:color="auto" w:fill="202020"/>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4,000</w:t>
            </w:r>
          </w:p>
        </w:tc>
        <w:tc>
          <w:tcPr>
            <w:tcW w:w="160" w:type="dxa"/>
            <w:vAlign w:val="bottom"/>
          </w:tcPr>
          <w:p>
            <w:pPr>
              <w:spacing w:after="0"/>
              <w:rPr>
                <w:sz w:val="6"/>
                <w:szCs w:val="6"/>
                <w:color w:val="auto"/>
              </w:rPr>
            </w:pPr>
          </w:p>
        </w:tc>
        <w:tc>
          <w:tcPr>
            <w:tcW w:w="260" w:type="dxa"/>
            <w:vAlign w:val="bottom"/>
            <w:tcBorders>
              <w:bottom w:val="single" w:sz="8" w:color="202020"/>
            </w:tcBorders>
            <w:shd w:val="clear" w:color="auto" w:fill="202020"/>
          </w:tcPr>
          <w:p>
            <w:pPr>
              <w:spacing w:after="0"/>
              <w:rPr>
                <w:sz w:val="6"/>
                <w:szCs w:val="6"/>
                <w:color w:val="auto"/>
              </w:rPr>
            </w:pPr>
          </w:p>
        </w:tc>
        <w:tc>
          <w:tcPr>
            <w:tcW w:w="26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8F8F8F"/>
            </w:tcBorders>
          </w:tcPr>
          <w:p>
            <w:pPr>
              <w:spacing w:after="0"/>
              <w:rPr>
                <w:sz w:val="6"/>
                <w:szCs w:val="6"/>
                <w:color w:val="auto"/>
              </w:rPr>
            </w:pPr>
          </w:p>
        </w:tc>
        <w:tc>
          <w:tcPr>
            <w:tcW w:w="380" w:type="dxa"/>
            <w:vAlign w:val="bottom"/>
            <w:tcBorders>
              <w:bottom w:val="single" w:sz="8" w:color="8F8F8F"/>
            </w:tcBorders>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shd w:val="clear" w:color="auto" w:fill="202020"/>
          </w:tcPr>
          <w:p>
            <w:pPr>
              <w:spacing w:after="0"/>
              <w:rPr>
                <w:sz w:val="6"/>
                <w:szCs w:val="6"/>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252525"/>
              </w:rPr>
              <w:t>3,596</w:t>
            </w:r>
          </w:p>
        </w:tc>
        <w:tc>
          <w:tcPr>
            <w:tcW w:w="340" w:type="dxa"/>
            <w:vAlign w:val="bottom"/>
          </w:tcPr>
          <w:p>
            <w:pPr>
              <w:spacing w:after="0"/>
              <w:rPr>
                <w:sz w:val="6"/>
                <w:szCs w:val="6"/>
                <w:color w:val="auto"/>
              </w:rPr>
            </w:pPr>
          </w:p>
        </w:tc>
        <w:tc>
          <w:tcPr>
            <w:tcW w:w="500" w:type="dxa"/>
            <w:vAlign w:val="bottom"/>
            <w:gridSpan w:val="2"/>
            <w:vMerge w:val="restart"/>
          </w:tcPr>
          <w:p>
            <w:pPr>
              <w:ind w:left="60"/>
              <w:spacing w:after="0"/>
              <w:rPr>
                <w:sz w:val="20"/>
                <w:szCs w:val="20"/>
                <w:color w:val="auto"/>
              </w:rPr>
            </w:pPr>
            <w:r>
              <w:rPr>
                <w:rFonts w:ascii="Arial" w:cs="Arial" w:eastAsia="Arial" w:hAnsi="Arial"/>
                <w:sz w:val="16"/>
                <w:szCs w:val="16"/>
                <w:color w:val="252525"/>
              </w:rPr>
              <w:t>3,738</w:t>
            </w: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0" w:type="dxa"/>
            <w:vAlign w:val="bottom"/>
            <w:vMerge w:val="continue"/>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260" w:type="dxa"/>
            <w:vAlign w:val="bottom"/>
            <w:tcBorders>
              <w:bottom w:val="single" w:sz="8" w:color="202020"/>
            </w:tcBorders>
            <w:shd w:val="clear" w:color="auto" w:fill="202020"/>
          </w:tcPr>
          <w:p>
            <w:pPr>
              <w:spacing w:after="0"/>
              <w:rPr>
                <w:sz w:val="19"/>
                <w:szCs w:val="19"/>
                <w:color w:val="auto"/>
              </w:rPr>
            </w:pPr>
          </w:p>
        </w:tc>
        <w:tc>
          <w:tcPr>
            <w:tcW w:w="260" w:type="dxa"/>
            <w:vAlign w:val="bottom"/>
            <w:tcBorders>
              <w:bottom w:val="single" w:sz="8" w:color="202020"/>
            </w:tcBorders>
            <w:shd w:val="clear" w:color="auto" w:fill="202020"/>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8F8F8F"/>
            </w:tcBorders>
            <w:shd w:val="clear" w:color="auto" w:fill="8F8F8F"/>
          </w:tcPr>
          <w:p>
            <w:pPr>
              <w:spacing w:after="0"/>
              <w:rPr>
                <w:sz w:val="19"/>
                <w:szCs w:val="19"/>
                <w:color w:val="auto"/>
              </w:rPr>
            </w:pPr>
          </w:p>
        </w:tc>
        <w:tc>
          <w:tcPr>
            <w:tcW w:w="380" w:type="dxa"/>
            <w:vAlign w:val="bottom"/>
            <w:tcBorders>
              <w:bottom w:val="single" w:sz="8" w:color="8F8F8F"/>
            </w:tcBorders>
            <w:shd w:val="clear" w:color="auto" w:fill="8F8F8F"/>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520" w:type="dxa"/>
            <w:vAlign w:val="bottom"/>
            <w:tcBorders>
              <w:bottom w:val="single" w:sz="8" w:color="202020"/>
            </w:tcBorders>
            <w:shd w:val="clear" w:color="auto" w:fill="202020"/>
          </w:tcPr>
          <w:p>
            <w:pPr>
              <w:spacing w:after="0"/>
              <w:rPr>
                <w:sz w:val="19"/>
                <w:szCs w:val="19"/>
                <w:color w:val="auto"/>
              </w:rPr>
            </w:pPr>
          </w:p>
        </w:tc>
        <w:tc>
          <w:tcPr>
            <w:tcW w:w="580" w:type="dxa"/>
            <w:vAlign w:val="bottom"/>
            <w:tcBorders>
              <w:bottom w:val="single" w:sz="8" w:color="262626"/>
            </w:tcBorders>
            <w:gridSpan w:val="2"/>
            <w:vMerge w:val="continue"/>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500" w:type="dxa"/>
            <w:vAlign w:val="bottom"/>
            <w:tcBorders>
              <w:bottom w:val="single" w:sz="8" w:color="262626"/>
            </w:tcBorders>
            <w:gridSpan w:val="2"/>
            <w:vMerge w:val="continue"/>
          </w:tcPr>
          <w:p>
            <w:pPr>
              <w:spacing w:after="0"/>
              <w:rPr>
                <w:sz w:val="19"/>
                <w:szCs w:val="19"/>
                <w:color w:val="auto"/>
              </w:rPr>
            </w:pPr>
          </w:p>
        </w:tc>
        <w:tc>
          <w:tcPr>
            <w:tcW w:w="60" w:type="dxa"/>
            <w:vAlign w:val="bottom"/>
            <w:tcBorders>
              <w:bottom w:val="single" w:sz="8" w:color="262626"/>
            </w:tcBorders>
          </w:tcPr>
          <w:p>
            <w:pPr>
              <w:spacing w:after="0"/>
              <w:rPr>
                <w:sz w:val="19"/>
                <w:szCs w:val="19"/>
                <w:color w:val="auto"/>
              </w:rPr>
            </w:pPr>
          </w:p>
        </w:tc>
        <w:tc>
          <w:tcPr>
            <w:tcW w:w="520" w:type="dxa"/>
            <w:vAlign w:val="bottom"/>
            <w:tcBorders>
              <w:bottom w:val="single" w:sz="8" w:color="262626"/>
            </w:tcBorders>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520" w:type="dxa"/>
            <w:vAlign w:val="bottom"/>
            <w:tcBorders>
              <w:bottom w:val="single" w:sz="8" w:color="262626"/>
            </w:tcBorders>
          </w:tcPr>
          <w:p>
            <w:pPr>
              <w:spacing w:after="0"/>
              <w:rPr>
                <w:sz w:val="19"/>
                <w:szCs w:val="19"/>
                <w:color w:val="auto"/>
              </w:rPr>
            </w:pPr>
          </w:p>
        </w:tc>
        <w:tc>
          <w:tcPr>
            <w:tcW w:w="60" w:type="dxa"/>
            <w:vAlign w:val="bottom"/>
            <w:tcBorders>
              <w:bottom w:val="single" w:sz="8" w:color="262626"/>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520" w:type="dxa"/>
            <w:vAlign w:val="bottom"/>
            <w:tcBorders>
              <w:bottom w:val="single" w:sz="8" w:color="202020"/>
            </w:tcBorders>
            <w:shd w:val="clear" w:color="auto" w:fill="202020"/>
          </w:tcPr>
          <w:p>
            <w:pPr>
              <w:spacing w:after="0"/>
              <w:rPr>
                <w:sz w:val="19"/>
                <w:szCs w:val="19"/>
                <w:color w:val="auto"/>
              </w:rPr>
            </w:pPr>
          </w:p>
        </w:tc>
        <w:tc>
          <w:tcPr>
            <w:tcW w:w="60" w:type="dxa"/>
            <w:vAlign w:val="bottom"/>
            <w:tcBorders>
              <w:bottom w:val="single" w:sz="8" w:color="262626"/>
            </w:tcBorders>
          </w:tcPr>
          <w:p>
            <w:pPr>
              <w:spacing w:after="0"/>
              <w:rPr>
                <w:sz w:val="19"/>
                <w:szCs w:val="19"/>
                <w:color w:val="auto"/>
              </w:rPr>
            </w:pPr>
          </w:p>
        </w:tc>
        <w:tc>
          <w:tcPr>
            <w:tcW w:w="520" w:type="dxa"/>
            <w:vAlign w:val="bottom"/>
            <w:tcBorders>
              <w:bottom w:val="single" w:sz="8" w:color="262626"/>
            </w:tcBorders>
          </w:tcPr>
          <w:p>
            <w:pPr>
              <w:spacing w:after="0"/>
              <w:rPr>
                <w:sz w:val="19"/>
                <w:szCs w:val="19"/>
                <w:color w:val="auto"/>
              </w:rPr>
            </w:pPr>
          </w:p>
        </w:tc>
        <w:tc>
          <w:tcPr>
            <w:tcW w:w="180" w:type="dxa"/>
            <w:vAlign w:val="bottom"/>
            <w:tcBorders>
              <w:bottom w:val="single" w:sz="8" w:color="262626"/>
            </w:tcBorders>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bottom w:val="single" w:sz="8" w:color="202020"/>
            </w:tcBorders>
            <w:shd w:val="clear" w:color="auto" w:fill="202020"/>
          </w:tcPr>
          <w:p>
            <w:pPr>
              <w:spacing w:after="0"/>
              <w:rPr>
                <w:sz w:val="6"/>
                <w:szCs w:val="6"/>
                <w:color w:val="auto"/>
              </w:rPr>
            </w:pPr>
          </w:p>
        </w:tc>
        <w:tc>
          <w:tcPr>
            <w:tcW w:w="26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8F8F8F"/>
            </w:tcBorders>
            <w:shd w:val="clear" w:color="auto" w:fill="8F8F8F"/>
          </w:tcPr>
          <w:p>
            <w:pPr>
              <w:spacing w:after="0"/>
              <w:rPr>
                <w:sz w:val="6"/>
                <w:szCs w:val="6"/>
                <w:color w:val="auto"/>
              </w:rPr>
            </w:pPr>
          </w:p>
        </w:tc>
        <w:tc>
          <w:tcPr>
            <w:tcW w:w="380" w:type="dxa"/>
            <w:vAlign w:val="bottom"/>
            <w:tcBorders>
              <w:bottom w:val="single" w:sz="8" w:color="8F8F8F"/>
            </w:tcBorders>
            <w:shd w:val="clear" w:color="auto" w:fill="8F8F8F"/>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Borders>
              <w:bottom w:val="single" w:sz="8" w:color="202020"/>
            </w:tcBorders>
          </w:tcPr>
          <w:p>
            <w:pPr>
              <w:spacing w:after="0"/>
              <w:rPr>
                <w:sz w:val="6"/>
                <w:szCs w:val="6"/>
                <w:color w:val="auto"/>
              </w:rPr>
            </w:pPr>
          </w:p>
        </w:tc>
        <w:tc>
          <w:tcPr>
            <w:tcW w:w="380" w:type="dxa"/>
            <w:vAlign w:val="bottom"/>
            <w:tcBorders>
              <w:bottom w:val="single" w:sz="8" w:color="202020"/>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shd w:val="clear" w:color="auto" w:fill="202020"/>
          </w:tcPr>
          <w:p>
            <w:pPr>
              <w:spacing w:after="0"/>
              <w:rPr>
                <w:sz w:val="6"/>
                <w:szCs w:val="6"/>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6"/>
                <w:szCs w:val="16"/>
                <w:color w:val="252525"/>
              </w:rPr>
              <w:t>1,728</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2,000</w:t>
            </w:r>
          </w:p>
        </w:tc>
        <w:tc>
          <w:tcPr>
            <w:tcW w:w="160" w:type="dxa"/>
            <w:vAlign w:val="bottom"/>
            <w:tcBorders>
              <w:bottom w:val="single" w:sz="8" w:color="262626"/>
            </w:tcBorders>
          </w:tcPr>
          <w:p>
            <w:pPr>
              <w:spacing w:after="0"/>
              <w:rPr>
                <w:sz w:val="24"/>
                <w:szCs w:val="24"/>
                <w:color w:val="auto"/>
              </w:rPr>
            </w:pPr>
          </w:p>
        </w:tc>
        <w:tc>
          <w:tcPr>
            <w:tcW w:w="260" w:type="dxa"/>
            <w:vAlign w:val="bottom"/>
            <w:tcBorders>
              <w:bottom w:val="single" w:sz="8" w:color="202020"/>
            </w:tcBorders>
            <w:shd w:val="clear" w:color="auto" w:fill="202020"/>
          </w:tcPr>
          <w:p>
            <w:pPr>
              <w:spacing w:after="0"/>
              <w:rPr>
                <w:sz w:val="24"/>
                <w:szCs w:val="24"/>
                <w:color w:val="auto"/>
              </w:rPr>
            </w:pPr>
          </w:p>
        </w:tc>
        <w:tc>
          <w:tcPr>
            <w:tcW w:w="26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8F8F8F"/>
            </w:tcBorders>
            <w:shd w:val="clear" w:color="auto" w:fill="8F8F8F"/>
          </w:tcPr>
          <w:p>
            <w:pPr>
              <w:spacing w:after="0"/>
              <w:rPr>
                <w:sz w:val="24"/>
                <w:szCs w:val="24"/>
                <w:color w:val="auto"/>
              </w:rPr>
            </w:pPr>
          </w:p>
        </w:tc>
        <w:tc>
          <w:tcPr>
            <w:tcW w:w="380" w:type="dxa"/>
            <w:vAlign w:val="bottom"/>
            <w:tcBorders>
              <w:bottom w:val="single" w:sz="8" w:color="8F8F8F"/>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8F8F8F"/>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120" w:type="dxa"/>
            <w:vAlign w:val="bottom"/>
            <w:tcBorders>
              <w:bottom w:val="single" w:sz="8" w:color="202020"/>
            </w:tcBorders>
            <w:shd w:val="clear" w:color="auto" w:fill="202020"/>
          </w:tcPr>
          <w:p>
            <w:pPr>
              <w:spacing w:after="0"/>
              <w:rPr>
                <w:sz w:val="24"/>
                <w:szCs w:val="24"/>
                <w:color w:val="auto"/>
              </w:rPr>
            </w:pPr>
          </w:p>
        </w:tc>
        <w:tc>
          <w:tcPr>
            <w:tcW w:w="38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580" w:type="dxa"/>
            <w:vAlign w:val="bottom"/>
            <w:tcBorders>
              <w:bottom w:val="single" w:sz="8" w:color="262626"/>
            </w:tcBorders>
            <w:gridSpan w:val="2"/>
            <w:vMerge w:val="continue"/>
          </w:tcPr>
          <w:p>
            <w:pPr>
              <w:spacing w:after="0"/>
              <w:rPr>
                <w:sz w:val="24"/>
                <w:szCs w:val="24"/>
                <w:color w:val="auto"/>
              </w:rPr>
            </w:pPr>
          </w:p>
        </w:tc>
        <w:tc>
          <w:tcPr>
            <w:tcW w:w="18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shd w:val="clear" w:color="auto" w:fill="202020"/>
          </w:tcPr>
          <w:p>
            <w:pPr>
              <w:spacing w:after="0"/>
              <w:rPr>
                <w:sz w:val="4"/>
                <w:szCs w:val="4"/>
                <w:color w:val="auto"/>
              </w:rPr>
            </w:pPr>
          </w:p>
        </w:tc>
        <w:tc>
          <w:tcPr>
            <w:tcW w:w="260" w:type="dxa"/>
            <w:vAlign w:val="bottom"/>
            <w:shd w:val="clear" w:color="auto" w:fill="202020"/>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shd w:val="clear" w:color="auto" w:fill="8F8F8F"/>
          </w:tcPr>
          <w:p>
            <w:pPr>
              <w:spacing w:after="0"/>
              <w:rPr>
                <w:sz w:val="4"/>
                <w:szCs w:val="4"/>
                <w:color w:val="auto"/>
              </w:rPr>
            </w:pPr>
          </w:p>
        </w:tc>
        <w:tc>
          <w:tcPr>
            <w:tcW w:w="380" w:type="dxa"/>
            <w:vAlign w:val="bottom"/>
            <w:shd w:val="clear" w:color="auto" w:fill="8F8F8F"/>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shd w:val="clear" w:color="auto" w:fill="202020"/>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shd w:val="clear" w:color="auto" w:fill="8F8F8F"/>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shd w:val="clear" w:color="auto" w:fill="202020"/>
          </w:tcPr>
          <w:p>
            <w:pPr>
              <w:spacing w:after="0"/>
              <w:rPr>
                <w:sz w:val="4"/>
                <w:szCs w:val="4"/>
                <w:color w:val="auto"/>
              </w:rPr>
            </w:pPr>
          </w:p>
        </w:tc>
        <w:tc>
          <w:tcPr>
            <w:tcW w:w="380" w:type="dxa"/>
            <w:vAlign w:val="bottom"/>
            <w:shd w:val="clear" w:color="auto" w:fill="202020"/>
          </w:tcPr>
          <w:p>
            <w:pPr>
              <w:spacing w:after="0"/>
              <w:rPr>
                <w:sz w:val="4"/>
                <w:szCs w:val="4"/>
                <w:color w:val="auto"/>
              </w:rPr>
            </w:pPr>
          </w:p>
        </w:tc>
        <w:tc>
          <w:tcPr>
            <w:tcW w:w="580" w:type="dxa"/>
            <w:vAlign w:val="bottom"/>
            <w:gridSpan w:val="2"/>
            <w:vMerge w:val="restart"/>
          </w:tcPr>
          <w:p>
            <w:pPr>
              <w:jc w:val="right"/>
              <w:spacing w:after="0" w:line="131" w:lineRule="exact"/>
              <w:rPr>
                <w:sz w:val="20"/>
                <w:szCs w:val="20"/>
                <w:color w:val="auto"/>
              </w:rPr>
            </w:pPr>
            <w:r>
              <w:rPr>
                <w:rFonts w:ascii="Arial" w:cs="Arial" w:eastAsia="Arial" w:hAnsi="Arial"/>
                <w:sz w:val="15"/>
                <w:szCs w:val="15"/>
                <w:color w:val="252525"/>
              </w:rPr>
              <w:t>1,457</w:t>
            </w:r>
          </w:p>
        </w:tc>
        <w:tc>
          <w:tcPr>
            <w:tcW w:w="340" w:type="dxa"/>
            <w:vAlign w:val="bottom"/>
            <w:vMerge w:val="restart"/>
          </w:tcPr>
          <w:p>
            <w:pPr>
              <w:spacing w:after="0"/>
              <w:rPr>
                <w:sz w:val="4"/>
                <w:szCs w:val="4"/>
                <w:color w:val="auto"/>
              </w:rPr>
            </w:pPr>
          </w:p>
        </w:tc>
        <w:tc>
          <w:tcPr>
            <w:tcW w:w="520" w:type="dxa"/>
            <w:vAlign w:val="bottom"/>
            <w:vMerge w:val="restart"/>
          </w:tcPr>
          <w:p>
            <w:pPr>
              <w:jc w:val="right"/>
              <w:ind w:right="100"/>
              <w:spacing w:after="0"/>
              <w:rPr>
                <w:sz w:val="20"/>
                <w:szCs w:val="20"/>
                <w:color w:val="auto"/>
              </w:rPr>
            </w:pPr>
            <w:r>
              <w:rPr>
                <w:rFonts w:ascii="Arial" w:cs="Arial" w:eastAsia="Arial" w:hAnsi="Arial"/>
                <w:sz w:val="16"/>
                <w:szCs w:val="16"/>
                <w:color w:val="252525"/>
              </w:rPr>
              <w:t>76</w:t>
            </w: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jc w:val="right"/>
              <w:ind w:right="80"/>
              <w:spacing w:after="0"/>
              <w:rPr>
                <w:sz w:val="20"/>
                <w:szCs w:val="20"/>
                <w:color w:val="auto"/>
              </w:rPr>
            </w:pPr>
            <w:r>
              <w:rPr>
                <w:rFonts w:ascii="Arial" w:cs="Arial" w:eastAsia="Arial" w:hAnsi="Arial"/>
                <w:sz w:val="16"/>
                <w:szCs w:val="16"/>
                <w:color w:val="252525"/>
                <w:w w:val="89"/>
              </w:rPr>
              <w:t>98</w:t>
            </w:r>
          </w:p>
        </w:tc>
        <w:tc>
          <w:tcPr>
            <w:tcW w:w="340" w:type="dxa"/>
            <w:vAlign w:val="bottom"/>
          </w:tcPr>
          <w:p>
            <w:pPr>
              <w:spacing w:after="0"/>
              <w:rPr>
                <w:sz w:val="4"/>
                <w:szCs w:val="4"/>
                <w:color w:val="auto"/>
              </w:rPr>
            </w:pPr>
          </w:p>
        </w:tc>
        <w:tc>
          <w:tcPr>
            <w:tcW w:w="520" w:type="dxa"/>
            <w:vAlign w:val="bottom"/>
            <w:shd w:val="clear" w:color="auto" w:fill="202020"/>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4"/>
              <w:spacing w:after="0"/>
              <w:rPr>
                <w:sz w:val="20"/>
                <w:szCs w:val="20"/>
                <w:color w:val="auto"/>
              </w:rPr>
            </w:pPr>
            <w:r>
              <w:rPr>
                <w:rFonts w:ascii="Arial" w:cs="Arial" w:eastAsia="Arial" w:hAnsi="Arial"/>
                <w:sz w:val="15"/>
                <w:szCs w:val="15"/>
                <w:color w:val="252525"/>
              </w:rPr>
              <w:t>0</w:t>
            </w:r>
          </w:p>
        </w:tc>
        <w:tc>
          <w:tcPr>
            <w:tcW w:w="160" w:type="dxa"/>
            <w:vAlign w:val="bottom"/>
          </w:tcPr>
          <w:p>
            <w:pPr>
              <w:spacing w:after="0"/>
              <w:rPr>
                <w:sz w:val="6"/>
                <w:szCs w:val="6"/>
                <w:color w:val="auto"/>
              </w:rPr>
            </w:pPr>
          </w:p>
        </w:tc>
        <w:tc>
          <w:tcPr>
            <w:tcW w:w="260" w:type="dxa"/>
            <w:vAlign w:val="bottom"/>
            <w:shd w:val="clear" w:color="auto" w:fill="202020"/>
          </w:tcPr>
          <w:p>
            <w:pPr>
              <w:spacing w:after="0"/>
              <w:rPr>
                <w:sz w:val="6"/>
                <w:szCs w:val="6"/>
                <w:color w:val="auto"/>
              </w:rPr>
            </w:pPr>
          </w:p>
        </w:tc>
        <w:tc>
          <w:tcPr>
            <w:tcW w:w="26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shd w:val="clear" w:color="auto" w:fill="8F8F8F"/>
          </w:tcPr>
          <w:p>
            <w:pPr>
              <w:spacing w:after="0"/>
              <w:rPr>
                <w:sz w:val="6"/>
                <w:szCs w:val="6"/>
                <w:color w:val="auto"/>
              </w:rPr>
            </w:pPr>
          </w:p>
        </w:tc>
        <w:tc>
          <w:tcPr>
            <w:tcW w:w="380" w:type="dxa"/>
            <w:vAlign w:val="bottom"/>
            <w:shd w:val="clear" w:color="auto" w:fill="8F8F8F"/>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shd w:val="clear" w:color="auto" w:fill="8F8F8F"/>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shd w:val="clear" w:color="auto" w:fill="202020"/>
          </w:tcPr>
          <w:p>
            <w:pPr>
              <w:spacing w:after="0"/>
              <w:rPr>
                <w:sz w:val="6"/>
                <w:szCs w:val="6"/>
                <w:color w:val="auto"/>
              </w:rPr>
            </w:pPr>
          </w:p>
        </w:tc>
        <w:tc>
          <w:tcPr>
            <w:tcW w:w="380" w:type="dxa"/>
            <w:vAlign w:val="bottom"/>
            <w:shd w:val="clear" w:color="auto" w:fill="202020"/>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shd w:val="clear" w:color="auto" w:fill="8F8F8F"/>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4"/>
        </w:trPr>
        <w:tc>
          <w:tcPr>
            <w:tcW w:w="600" w:type="dxa"/>
            <w:vAlign w:val="bottom"/>
            <w:vMerge w:val="continue"/>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260" w:type="dxa"/>
            <w:vAlign w:val="bottom"/>
            <w:tcBorders>
              <w:bottom w:val="single" w:sz="8" w:color="202020"/>
            </w:tcBorders>
            <w:shd w:val="clear" w:color="auto" w:fill="202020"/>
          </w:tcPr>
          <w:p>
            <w:pPr>
              <w:spacing w:after="0"/>
              <w:rPr>
                <w:sz w:val="24"/>
                <w:szCs w:val="24"/>
                <w:color w:val="auto"/>
              </w:rPr>
            </w:pPr>
          </w:p>
        </w:tc>
        <w:tc>
          <w:tcPr>
            <w:tcW w:w="26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120" w:type="dxa"/>
            <w:vAlign w:val="bottom"/>
            <w:tcBorders>
              <w:bottom w:val="single" w:sz="8" w:color="262626"/>
            </w:tcBorders>
            <w:shd w:val="clear" w:color="auto" w:fill="8F8F8F"/>
          </w:tcPr>
          <w:p>
            <w:pPr>
              <w:spacing w:after="0"/>
              <w:rPr>
                <w:sz w:val="24"/>
                <w:szCs w:val="24"/>
                <w:color w:val="auto"/>
              </w:rPr>
            </w:pPr>
          </w:p>
        </w:tc>
        <w:tc>
          <w:tcPr>
            <w:tcW w:w="380" w:type="dxa"/>
            <w:vAlign w:val="bottom"/>
            <w:tcBorders>
              <w:bottom w:val="single" w:sz="8" w:color="262626"/>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120" w:type="dxa"/>
            <w:vAlign w:val="bottom"/>
            <w:tcBorders>
              <w:bottom w:val="single" w:sz="8" w:color="202020"/>
            </w:tcBorders>
            <w:shd w:val="clear" w:color="auto" w:fill="202020"/>
          </w:tcPr>
          <w:p>
            <w:pPr>
              <w:spacing w:after="0"/>
              <w:rPr>
                <w:sz w:val="24"/>
                <w:szCs w:val="24"/>
                <w:color w:val="auto"/>
              </w:rPr>
            </w:pPr>
          </w:p>
        </w:tc>
        <w:tc>
          <w:tcPr>
            <w:tcW w:w="38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shd w:val="clear" w:color="auto" w:fill="8F8F8F"/>
          </w:tcPr>
          <w:p>
            <w:pPr>
              <w:spacing w:after="0"/>
              <w:rPr>
                <w:sz w:val="24"/>
                <w:szCs w:val="24"/>
                <w:color w:val="auto"/>
              </w:rPr>
            </w:pPr>
          </w:p>
        </w:tc>
        <w:tc>
          <w:tcPr>
            <w:tcW w:w="340" w:type="dxa"/>
            <w:vAlign w:val="bottom"/>
            <w:tcBorders>
              <w:bottom w:val="single" w:sz="8" w:color="262626"/>
            </w:tcBorders>
            <w:vMerge w:val="continue"/>
          </w:tcPr>
          <w:p>
            <w:pPr>
              <w:spacing w:after="0"/>
              <w:rPr>
                <w:sz w:val="24"/>
                <w:szCs w:val="24"/>
                <w:color w:val="auto"/>
              </w:rPr>
            </w:pPr>
          </w:p>
        </w:tc>
        <w:tc>
          <w:tcPr>
            <w:tcW w:w="520" w:type="dxa"/>
            <w:vAlign w:val="bottom"/>
            <w:tcBorders>
              <w:bottom w:val="single" w:sz="8" w:color="202020"/>
            </w:tcBorders>
            <w:vMerge w:val="continue"/>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vMerge w:val="continue"/>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shd w:val="clear" w:color="auto" w:fill="8F8F8F"/>
          </w:tcPr>
          <w:p>
            <w:pPr>
              <w:spacing w:after="0"/>
              <w:rPr>
                <w:sz w:val="24"/>
                <w:szCs w:val="24"/>
                <w:color w:val="auto"/>
              </w:rPr>
            </w:pPr>
          </w:p>
        </w:tc>
        <w:tc>
          <w:tcPr>
            <w:tcW w:w="18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gridSpan w:val="6"/>
            <w:vMerge w:val="restart"/>
          </w:tcPr>
          <w:p>
            <w:pPr>
              <w:jc w:val="center"/>
              <w:ind w:right="320"/>
              <w:spacing w:after="0"/>
              <w:rPr>
                <w:sz w:val="20"/>
                <w:szCs w:val="20"/>
                <w:color w:val="auto"/>
              </w:rPr>
            </w:pPr>
            <w:r>
              <w:rPr>
                <w:rFonts w:ascii="Arial" w:cs="Arial" w:eastAsia="Arial" w:hAnsi="Arial"/>
                <w:sz w:val="16"/>
                <w:szCs w:val="16"/>
                <w:color w:val="252525"/>
              </w:rPr>
              <w:t>December 31,</w:t>
            </w:r>
          </w:p>
        </w:tc>
        <w:tc>
          <w:tcPr>
            <w:tcW w:w="1440" w:type="dxa"/>
            <w:vAlign w:val="bottom"/>
            <w:gridSpan w:val="4"/>
            <w:vMerge w:val="restart"/>
          </w:tcPr>
          <w:p>
            <w:pPr>
              <w:ind w:left="60"/>
              <w:spacing w:after="0"/>
              <w:rPr>
                <w:sz w:val="20"/>
                <w:szCs w:val="20"/>
                <w:color w:val="auto"/>
              </w:rPr>
            </w:pPr>
            <w:r>
              <w:rPr>
                <w:rFonts w:ascii="Arial" w:cs="Arial" w:eastAsia="Arial" w:hAnsi="Arial"/>
                <w:sz w:val="16"/>
                <w:szCs w:val="16"/>
                <w:color w:val="252525"/>
              </w:rPr>
              <w:t>December 31,</w:t>
            </w:r>
          </w:p>
        </w:tc>
        <w:tc>
          <w:tcPr>
            <w:tcW w:w="1080" w:type="dxa"/>
            <w:vAlign w:val="bottom"/>
            <w:gridSpan w:val="4"/>
            <w:vMerge w:val="restart"/>
          </w:tcPr>
          <w:p>
            <w:pPr>
              <w:ind w:left="40"/>
              <w:spacing w:after="0"/>
              <w:rPr>
                <w:sz w:val="20"/>
                <w:szCs w:val="20"/>
                <w:color w:val="auto"/>
              </w:rPr>
            </w:pPr>
            <w:r>
              <w:rPr>
                <w:rFonts w:ascii="Arial" w:cs="Arial" w:eastAsia="Arial" w:hAnsi="Arial"/>
                <w:sz w:val="16"/>
                <w:szCs w:val="16"/>
                <w:color w:val="252525"/>
              </w:rPr>
              <w:t>December 31,</w:t>
            </w:r>
          </w:p>
        </w:tc>
        <w:tc>
          <w:tcPr>
            <w:tcW w:w="340" w:type="dxa"/>
            <w:vAlign w:val="bottom"/>
          </w:tcPr>
          <w:p>
            <w:pPr>
              <w:spacing w:after="0"/>
              <w:rPr>
                <w:sz w:val="7"/>
                <w:szCs w:val="7"/>
                <w:color w:val="auto"/>
              </w:rPr>
            </w:pPr>
          </w:p>
        </w:tc>
        <w:tc>
          <w:tcPr>
            <w:tcW w:w="1420" w:type="dxa"/>
            <w:vAlign w:val="bottom"/>
            <w:gridSpan w:val="5"/>
            <w:vMerge w:val="restart"/>
          </w:tcPr>
          <w:p>
            <w:pPr>
              <w:ind w:left="40"/>
              <w:spacing w:after="0"/>
              <w:rPr>
                <w:sz w:val="20"/>
                <w:szCs w:val="20"/>
                <w:color w:val="auto"/>
              </w:rPr>
            </w:pPr>
            <w:r>
              <w:rPr>
                <w:rFonts w:ascii="Arial" w:cs="Arial" w:eastAsia="Arial" w:hAnsi="Arial"/>
                <w:sz w:val="16"/>
                <w:szCs w:val="16"/>
                <w:color w:val="252525"/>
              </w:rPr>
              <w:t>December 31,</w:t>
            </w: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252525"/>
              </w:rPr>
              <w:t>December 31,</w:t>
            </w:r>
          </w:p>
        </w:tc>
        <w:tc>
          <w:tcPr>
            <w:tcW w:w="0" w:type="dxa"/>
            <w:vAlign w:val="bottom"/>
          </w:tcPr>
          <w:p>
            <w:pPr>
              <w:spacing w:after="0"/>
              <w:rPr>
                <w:sz w:val="1"/>
                <w:szCs w:val="1"/>
                <w:color w:val="auto"/>
              </w:rPr>
            </w:pPr>
          </w:p>
        </w:tc>
      </w:tr>
      <w:tr>
        <w:trPr>
          <w:trHeight w:val="32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6"/>
            <w:vMerge w:val="continue"/>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5"/>
            <w:vMerge w:val="continue"/>
          </w:tcPr>
          <w:p>
            <w:pPr>
              <w:spacing w:after="0"/>
              <w:rPr>
                <w:sz w:val="24"/>
                <w:szCs w:val="24"/>
                <w:color w:val="auto"/>
              </w:rPr>
            </w:pPr>
          </w:p>
        </w:tc>
        <w:tc>
          <w:tcPr>
            <w:tcW w:w="12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1240" w:type="dxa"/>
            <w:vAlign w:val="bottom"/>
            <w:gridSpan w:val="6"/>
          </w:tcPr>
          <w:p>
            <w:pPr>
              <w:jc w:val="right"/>
              <w:ind w:right="280"/>
              <w:spacing w:after="0"/>
              <w:rPr>
                <w:sz w:val="20"/>
                <w:szCs w:val="20"/>
                <w:color w:val="auto"/>
              </w:rPr>
            </w:pPr>
            <w:r>
              <w:rPr>
                <w:rFonts w:ascii="Arial" w:cs="Arial" w:eastAsia="Arial" w:hAnsi="Arial"/>
                <w:sz w:val="16"/>
                <w:szCs w:val="16"/>
                <w:color w:val="252525"/>
              </w:rPr>
              <w:t>2021</w:t>
            </w:r>
          </w:p>
        </w:tc>
        <w:tc>
          <w:tcPr>
            <w:tcW w:w="340" w:type="dxa"/>
            <w:vAlign w:val="bottom"/>
          </w:tcPr>
          <w:p>
            <w:pPr>
              <w:spacing w:after="0"/>
              <w:rPr>
                <w:sz w:val="18"/>
                <w:szCs w:val="18"/>
                <w:color w:val="auto"/>
              </w:rPr>
            </w:pPr>
          </w:p>
        </w:tc>
        <w:tc>
          <w:tcPr>
            <w:tcW w:w="1100" w:type="dxa"/>
            <w:vAlign w:val="bottom"/>
            <w:gridSpan w:val="3"/>
          </w:tcPr>
          <w:p>
            <w:pPr>
              <w:ind w:left="380"/>
              <w:spacing w:after="0"/>
              <w:rPr>
                <w:sz w:val="20"/>
                <w:szCs w:val="20"/>
                <w:color w:val="auto"/>
              </w:rPr>
            </w:pPr>
            <w:r>
              <w:rPr>
                <w:rFonts w:ascii="Arial" w:cs="Arial" w:eastAsia="Arial" w:hAnsi="Arial"/>
                <w:sz w:val="16"/>
                <w:szCs w:val="16"/>
                <w:color w:val="252525"/>
              </w:rPr>
              <w:t>2022</w:t>
            </w:r>
          </w:p>
        </w:tc>
        <w:tc>
          <w:tcPr>
            <w:tcW w:w="34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6"/>
                <w:szCs w:val="16"/>
                <w:color w:val="252525"/>
              </w:rPr>
              <w:t>2023</w:t>
            </w:r>
          </w:p>
        </w:tc>
        <w:tc>
          <w:tcPr>
            <w:tcW w:w="1080" w:type="dxa"/>
            <w:vAlign w:val="bottom"/>
            <w:gridSpan w:val="4"/>
          </w:tcPr>
          <w:p>
            <w:pPr>
              <w:jc w:val="right"/>
              <w:ind w:right="20"/>
              <w:spacing w:after="0"/>
              <w:rPr>
                <w:sz w:val="20"/>
                <w:szCs w:val="20"/>
                <w:color w:val="auto"/>
              </w:rPr>
            </w:pPr>
            <w:r>
              <w:rPr>
                <w:rFonts w:ascii="Arial" w:cs="Arial" w:eastAsia="Arial" w:hAnsi="Arial"/>
                <w:sz w:val="16"/>
                <w:szCs w:val="16"/>
                <w:color w:val="252525"/>
              </w:rPr>
              <w:t>2024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252525"/>
              </w:rPr>
              <w:t>2025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6"/>
            <w:vMerge w:val="restart"/>
          </w:tcPr>
          <w:p>
            <w:pPr>
              <w:ind w:left="140"/>
              <w:spacing w:after="0"/>
              <w:rPr>
                <w:sz w:val="20"/>
                <w:szCs w:val="20"/>
                <w:color w:val="auto"/>
              </w:rPr>
            </w:pPr>
            <w:r>
              <w:rPr>
                <w:rFonts w:ascii="Arial" w:cs="Arial" w:eastAsia="Arial" w:hAnsi="Arial"/>
                <w:sz w:val="16"/>
                <w:szCs w:val="16"/>
                <w:color w:val="252525"/>
              </w:rPr>
              <w:t>Compensation: PEO</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11"/>
            <w:vMerge w:val="restart"/>
          </w:tcPr>
          <w:p>
            <w:pPr>
              <w:ind w:left="120"/>
              <w:spacing w:after="0"/>
              <w:rPr>
                <w:sz w:val="20"/>
                <w:szCs w:val="20"/>
                <w:color w:val="auto"/>
              </w:rPr>
            </w:pPr>
            <w:r>
              <w:rPr>
                <w:rFonts w:ascii="Arial" w:cs="Arial" w:eastAsia="Arial" w:hAnsi="Arial"/>
                <w:sz w:val="16"/>
                <w:szCs w:val="16"/>
                <w:color w:val="252525"/>
              </w:rPr>
              <w:t>Compensation: Non-PEO NEOs</w:t>
            </w:r>
          </w:p>
        </w:tc>
        <w:tc>
          <w:tcPr>
            <w:tcW w:w="0" w:type="dxa"/>
            <w:vAlign w:val="bottom"/>
          </w:tcPr>
          <w:p>
            <w:pPr>
              <w:spacing w:after="0"/>
              <w:rPr>
                <w:sz w:val="1"/>
                <w:szCs w:val="1"/>
                <w:color w:val="auto"/>
              </w:rPr>
            </w:pPr>
          </w:p>
        </w:tc>
      </w:tr>
      <w:tr>
        <w:trPr>
          <w:trHeight w:val="85"/>
        </w:trPr>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shd w:val="clear" w:color="auto" w:fill="202020"/>
          </w:tcPr>
          <w:p>
            <w:pPr>
              <w:spacing w:after="0"/>
              <w:rPr>
                <w:sz w:val="7"/>
                <w:szCs w:val="7"/>
                <w:color w:val="auto"/>
              </w:rPr>
            </w:pPr>
          </w:p>
        </w:tc>
        <w:tc>
          <w:tcPr>
            <w:tcW w:w="60" w:type="dxa"/>
            <w:vAlign w:val="bottom"/>
            <w:shd w:val="clear" w:color="auto" w:fill="202020"/>
          </w:tcPr>
          <w:p>
            <w:pPr>
              <w:spacing w:after="0"/>
              <w:rPr>
                <w:sz w:val="7"/>
                <w:szCs w:val="7"/>
                <w:color w:val="auto"/>
              </w:rPr>
            </w:pPr>
          </w:p>
        </w:tc>
        <w:tc>
          <w:tcPr>
            <w:tcW w:w="120" w:type="dxa"/>
            <w:vAlign w:val="bottom"/>
            <w:shd w:val="clear" w:color="auto" w:fill="202020"/>
          </w:tcPr>
          <w:p>
            <w:pPr>
              <w:spacing w:after="0"/>
              <w:rPr>
                <w:sz w:val="7"/>
                <w:szCs w:val="7"/>
                <w:color w:val="auto"/>
              </w:rPr>
            </w:pPr>
          </w:p>
        </w:tc>
        <w:tc>
          <w:tcPr>
            <w:tcW w:w="216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shd w:val="clear" w:color="auto" w:fill="8F8F8F"/>
          </w:tcPr>
          <w:p>
            <w:pPr>
              <w:spacing w:after="0"/>
              <w:rPr>
                <w:sz w:val="7"/>
                <w:szCs w:val="7"/>
                <w:color w:val="auto"/>
              </w:rPr>
            </w:pPr>
          </w:p>
        </w:tc>
        <w:tc>
          <w:tcPr>
            <w:tcW w:w="60" w:type="dxa"/>
            <w:vAlign w:val="bottom"/>
            <w:shd w:val="clear" w:color="auto" w:fill="8F8F8F"/>
          </w:tcPr>
          <w:p>
            <w:pPr>
              <w:spacing w:after="0"/>
              <w:rPr>
                <w:sz w:val="7"/>
                <w:szCs w:val="7"/>
                <w:color w:val="auto"/>
              </w:rPr>
            </w:pPr>
          </w:p>
        </w:tc>
        <w:tc>
          <w:tcPr>
            <w:tcW w:w="356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686868"/>
            </w:tcBorders>
          </w:tcPr>
          <w:p>
            <w:pPr>
              <w:spacing w:after="0"/>
              <w:rPr>
                <w:sz w:val="20"/>
                <w:szCs w:val="20"/>
                <w:color w:val="auto"/>
              </w:rPr>
            </w:pPr>
          </w:p>
        </w:tc>
        <w:tc>
          <w:tcPr>
            <w:tcW w:w="60" w:type="dxa"/>
            <w:vAlign w:val="bottom"/>
            <w:tcBorders>
              <w:bottom w:val="single" w:sz="8" w:color="686868"/>
            </w:tcBorders>
          </w:tcPr>
          <w:p>
            <w:pPr>
              <w:spacing w:after="0"/>
              <w:rPr>
                <w:sz w:val="20"/>
                <w:szCs w:val="20"/>
                <w:color w:val="auto"/>
              </w:rPr>
            </w:pPr>
          </w:p>
        </w:tc>
        <w:tc>
          <w:tcPr>
            <w:tcW w:w="120" w:type="dxa"/>
            <w:vAlign w:val="bottom"/>
            <w:tcBorders>
              <w:bottom w:val="single" w:sz="8" w:color="686868"/>
            </w:tcBorders>
          </w:tcPr>
          <w:p>
            <w:pPr>
              <w:spacing w:after="0"/>
              <w:rPr>
                <w:sz w:val="20"/>
                <w:szCs w:val="20"/>
                <w:color w:val="auto"/>
              </w:rPr>
            </w:pPr>
          </w:p>
        </w:tc>
        <w:tc>
          <w:tcPr>
            <w:tcW w:w="2160" w:type="dxa"/>
            <w:vAlign w:val="bottom"/>
            <w:gridSpan w:val="6"/>
            <w:vMerge w:val="restart"/>
          </w:tcPr>
          <w:p>
            <w:pPr>
              <w:ind w:left="140"/>
              <w:spacing w:after="0"/>
              <w:rPr>
                <w:sz w:val="20"/>
                <w:szCs w:val="20"/>
                <w:color w:val="auto"/>
              </w:rPr>
            </w:pPr>
            <w:r>
              <w:rPr>
                <w:rFonts w:ascii="Arial" w:cs="Arial" w:eastAsia="Arial" w:hAnsi="Arial"/>
                <w:sz w:val="16"/>
                <w:szCs w:val="16"/>
                <w:color w:val="252525"/>
              </w:rPr>
              <w:t>Celldex Therapeutics, Inc.</w:t>
            </w:r>
          </w:p>
        </w:tc>
        <w:tc>
          <w:tcPr>
            <w:tcW w:w="120" w:type="dxa"/>
            <w:vAlign w:val="bottom"/>
          </w:tcPr>
          <w:p>
            <w:pPr>
              <w:spacing w:after="0"/>
              <w:rPr>
                <w:sz w:val="20"/>
                <w:szCs w:val="20"/>
                <w:color w:val="auto"/>
              </w:rPr>
            </w:pPr>
          </w:p>
        </w:tc>
        <w:tc>
          <w:tcPr>
            <w:tcW w:w="380" w:type="dxa"/>
            <w:vAlign w:val="bottom"/>
            <w:tcBorders>
              <w:bottom w:val="single" w:sz="8" w:color="969696"/>
            </w:tcBorders>
          </w:tcPr>
          <w:p>
            <w:pPr>
              <w:spacing w:after="0"/>
              <w:rPr>
                <w:sz w:val="20"/>
                <w:szCs w:val="20"/>
                <w:color w:val="auto"/>
              </w:rPr>
            </w:pPr>
          </w:p>
        </w:tc>
        <w:tc>
          <w:tcPr>
            <w:tcW w:w="60" w:type="dxa"/>
            <w:vAlign w:val="bottom"/>
            <w:tcBorders>
              <w:bottom w:val="single" w:sz="8" w:color="969696"/>
            </w:tcBorders>
          </w:tcPr>
          <w:p>
            <w:pPr>
              <w:spacing w:after="0"/>
              <w:rPr>
                <w:sz w:val="20"/>
                <w:szCs w:val="20"/>
                <w:color w:val="auto"/>
              </w:rPr>
            </w:pPr>
          </w:p>
        </w:tc>
        <w:tc>
          <w:tcPr>
            <w:tcW w:w="3560" w:type="dxa"/>
            <w:vAlign w:val="bottom"/>
            <w:gridSpan w:val="11"/>
            <w:vMerge w:val="restart"/>
          </w:tcPr>
          <w:p>
            <w:pPr>
              <w:ind w:left="120"/>
              <w:spacing w:after="0"/>
              <w:rPr>
                <w:sz w:val="20"/>
                <w:szCs w:val="20"/>
                <w:color w:val="auto"/>
              </w:rPr>
            </w:pPr>
            <w:r>
              <w:rPr>
                <w:rFonts w:ascii="Arial" w:cs="Arial" w:eastAsia="Arial" w:hAnsi="Arial"/>
                <w:sz w:val="16"/>
                <w:szCs w:val="16"/>
                <w:color w:val="252525"/>
              </w:rPr>
              <w:t>Nasdaq Pharmaceutical (Subsector) Index</w:t>
            </w:r>
          </w:p>
        </w:tc>
        <w:tc>
          <w:tcPr>
            <w:tcW w:w="0" w:type="dxa"/>
            <w:vAlign w:val="bottom"/>
          </w:tcPr>
          <w:p>
            <w:pPr>
              <w:spacing w:after="0"/>
              <w:rPr>
                <w:sz w:val="1"/>
                <w:szCs w:val="1"/>
                <w:color w:val="auto"/>
              </w:rPr>
            </w:pPr>
          </w:p>
        </w:tc>
      </w:tr>
      <w:tr>
        <w:trPr>
          <w:trHeight w:val="72"/>
        </w:trPr>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6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356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810260</wp:posOffset>
                </wp:positionH>
                <wp:positionV relativeFrom="paragraph">
                  <wp:posOffset>-1494155</wp:posOffset>
                </wp:positionV>
                <wp:extent cx="3619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pt,-117.6499pt" to="66.65pt,-117.6499pt" o:allowincell="f" strokecolor="#262626" strokeweight="0.25pt"/>
            </w:pict>
          </mc:Fallback>
        </mc:AlternateContent>
        <mc:AlternateContent>
          <mc:Choice Requires="wps">
            <w:drawing>
              <wp:anchor simplePos="0" relativeHeight="251657728" behindDoc="1" locked="0" layoutInCell="0" allowOverlap="1">
                <wp:simplePos x="0" y="0"/>
                <wp:positionH relativeFrom="column">
                  <wp:posOffset>810260</wp:posOffset>
                </wp:positionH>
                <wp:positionV relativeFrom="paragraph">
                  <wp:posOffset>-1149350</wp:posOffset>
                </wp:positionV>
                <wp:extent cx="3619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pt,-90.4999pt" to="66.65pt,-90.4999pt" o:allowincell="f" strokecolor="#262626" strokeweight="0.25pt"/>
            </w:pict>
          </mc:Fallback>
        </mc:AlternateContent>
        <mc:AlternateContent>
          <mc:Choice Requires="wps">
            <w:drawing>
              <wp:anchor simplePos="0" relativeHeight="251657728" behindDoc="1" locked="0" layoutInCell="0" allowOverlap="1">
                <wp:simplePos x="0" y="0"/>
                <wp:positionH relativeFrom="column">
                  <wp:posOffset>1716405</wp:posOffset>
                </wp:positionH>
                <wp:positionV relativeFrom="paragraph">
                  <wp:posOffset>-1149350</wp:posOffset>
                </wp:positionV>
                <wp:extent cx="3619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5.15pt,-90.4999pt" to="138pt,-90.4999pt" o:allowincell="f" strokecolor="#262626" strokeweight="0.25pt"/>
            </w:pict>
          </mc:Fallback>
        </mc:AlternateContent>
        <w:drawing>
          <wp:anchor simplePos="0" relativeHeight="251657728" behindDoc="1" locked="0" layoutInCell="0" allowOverlap="1">
            <wp:simplePos x="0" y="0"/>
            <wp:positionH relativeFrom="column">
              <wp:posOffset>828675</wp:posOffset>
            </wp:positionH>
            <wp:positionV relativeFrom="paragraph">
              <wp:posOffset>-3152775</wp:posOffset>
            </wp:positionV>
            <wp:extent cx="3632200" cy="12204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7">
                      <a:extLst>
                        <a:ext uri="{28A0092B-C50C-407E-A947-70E740481C1C}"/>
                      </a:extLst>
                    </a:blip>
                    <a:srcRect/>
                    <a:stretch>
                      <a:fillRect/>
                    </a:stretch>
                  </pic:blipFill>
                  <pic:spPr bwMode="auto">
                    <a:xfrm>
                      <a:off x="0" y="0"/>
                      <a:ext cx="3632200" cy="1220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ind w:left="20"/>
              <w:spacing w:after="0"/>
              <w:rPr>
                <w:sz w:val="20"/>
                <w:szCs w:val="20"/>
                <w:color w:val="auto"/>
              </w:rPr>
            </w:pPr>
            <w:r>
              <w:rPr>
                <w:rFonts w:ascii="Arial" w:cs="Arial" w:eastAsia="Arial" w:hAnsi="Arial"/>
                <w:sz w:val="16"/>
                <w:szCs w:val="16"/>
                <w:color w:val="252525"/>
              </w:rPr>
              <w:t>300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4"/>
        </w:trPr>
        <w:tc>
          <w:tcPr>
            <w:tcW w:w="420" w:type="dxa"/>
            <w:vAlign w:val="bottom"/>
          </w:tcPr>
          <w:p>
            <w:pPr>
              <w:ind w:left="20"/>
              <w:spacing w:after="0"/>
              <w:rPr>
                <w:sz w:val="20"/>
                <w:szCs w:val="20"/>
                <w:color w:val="auto"/>
              </w:rPr>
            </w:pPr>
            <w:r>
              <w:rPr>
                <w:rFonts w:ascii="Arial" w:cs="Arial" w:eastAsia="Arial" w:hAnsi="Arial"/>
                <w:sz w:val="16"/>
                <w:szCs w:val="16"/>
                <w:color w:val="252525"/>
              </w:rPr>
              <w:t>250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420" w:type="dxa"/>
            <w:vAlign w:val="bottom"/>
            <w:vMerge w:val="restart"/>
          </w:tcPr>
          <w:p>
            <w:pPr>
              <w:ind w:left="20"/>
              <w:spacing w:after="0"/>
              <w:rPr>
                <w:sz w:val="20"/>
                <w:szCs w:val="20"/>
                <w:color w:val="auto"/>
              </w:rPr>
            </w:pPr>
            <w:r>
              <w:rPr>
                <w:rFonts w:ascii="Arial" w:cs="Arial" w:eastAsia="Arial" w:hAnsi="Arial"/>
                <w:sz w:val="16"/>
                <w:szCs w:val="16"/>
                <w:color w:val="252525"/>
              </w:rPr>
              <w:t>200</w:t>
            </w:r>
          </w:p>
        </w:tc>
        <w:tc>
          <w:tcPr>
            <w:tcW w:w="260" w:type="dxa"/>
            <w:vAlign w:val="bottom"/>
            <w:textDirection w:val="btLr"/>
          </w:tcPr>
          <w:p>
            <w:pPr>
              <w:ind w:left="76"/>
              <w:spacing w:after="0"/>
              <w:rPr>
                <w:sz w:val="20"/>
                <w:szCs w:val="20"/>
                <w:color w:val="auto"/>
              </w:rPr>
            </w:pPr>
            <w:r>
              <w:rPr>
                <w:rFonts w:ascii="Arial" w:cs="Arial" w:eastAsia="Arial" w:hAnsi="Arial"/>
                <w:sz w:val="16"/>
                <w:szCs w:val="16"/>
                <w:color w:val="252525"/>
                <w:w w:val="99"/>
              </w:rPr>
              <w:t>Return</w:t>
            </w: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260" w:type="dxa"/>
            <w:vAlign w:val="bottom"/>
            <w:vMerge w:val="restart"/>
            <w:textDirection w:val="btLr"/>
          </w:tcPr>
          <w:p>
            <w:pPr>
              <w:ind w:left="76"/>
              <w:spacing w:after="0"/>
              <w:rPr>
                <w:sz w:val="20"/>
                <w:szCs w:val="20"/>
                <w:color w:val="auto"/>
              </w:rPr>
            </w:pPr>
            <w:r>
              <w:rPr>
                <w:rFonts w:ascii="Arial" w:cs="Arial" w:eastAsia="Arial" w:hAnsi="Arial"/>
                <w:sz w:val="16"/>
                <w:szCs w:val="16"/>
                <w:color w:val="252525"/>
                <w:w w:val="82"/>
              </w:rPr>
              <w:t>Shareholder</w:t>
            </w:r>
          </w:p>
        </w:tc>
        <w:tc>
          <w:tcPr>
            <w:tcW w:w="0" w:type="dxa"/>
            <w:vAlign w:val="bottom"/>
          </w:tcPr>
          <w:p>
            <w:pPr>
              <w:spacing w:after="0"/>
              <w:rPr>
                <w:sz w:val="1"/>
                <w:szCs w:val="1"/>
                <w:color w:val="auto"/>
              </w:rPr>
            </w:pPr>
          </w:p>
        </w:tc>
      </w:tr>
      <w:tr>
        <w:trPr>
          <w:trHeight w:val="682"/>
        </w:trPr>
        <w:tc>
          <w:tcPr>
            <w:tcW w:w="420" w:type="dxa"/>
            <w:vAlign w:val="bottom"/>
            <w:vMerge w:val="restart"/>
          </w:tcPr>
          <w:p>
            <w:pPr>
              <w:ind w:left="20"/>
              <w:spacing w:after="0"/>
              <w:rPr>
                <w:sz w:val="20"/>
                <w:szCs w:val="20"/>
                <w:color w:val="auto"/>
              </w:rPr>
            </w:pPr>
            <w:r>
              <w:rPr>
                <w:rFonts w:ascii="Arial" w:cs="Arial" w:eastAsia="Arial" w:hAnsi="Arial"/>
                <w:sz w:val="16"/>
                <w:szCs w:val="16"/>
                <w:color w:val="252525"/>
              </w:rPr>
              <w:t>150</w:t>
            </w:r>
          </w:p>
        </w:tc>
        <w:tc>
          <w:tcPr>
            <w:tcW w:w="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2"/>
        </w:trPr>
        <w:tc>
          <w:tcPr>
            <w:tcW w:w="420" w:type="dxa"/>
            <w:vAlign w:val="bottom"/>
            <w:vMerge w:val="restart"/>
          </w:tcPr>
          <w:p>
            <w:pPr>
              <w:ind w:left="20"/>
              <w:spacing w:after="0"/>
              <w:rPr>
                <w:sz w:val="20"/>
                <w:szCs w:val="20"/>
                <w:color w:val="auto"/>
              </w:rPr>
            </w:pPr>
            <w:r>
              <w:rPr>
                <w:rFonts w:ascii="Arial" w:cs="Arial" w:eastAsia="Arial" w:hAnsi="Arial"/>
                <w:sz w:val="16"/>
                <w:szCs w:val="16"/>
                <w:color w:val="252525"/>
              </w:rPr>
              <w:t>100</w:t>
            </w:r>
          </w:p>
        </w:tc>
        <w:tc>
          <w:tcPr>
            <w:tcW w:w="260" w:type="dxa"/>
            <w:vAlign w:val="bottom"/>
            <w:textDirection w:val="btLr"/>
          </w:tcPr>
          <w:p>
            <w:pPr>
              <w:ind w:left="76"/>
              <w:spacing w:after="0"/>
              <w:rPr>
                <w:sz w:val="20"/>
                <w:szCs w:val="20"/>
                <w:color w:val="auto"/>
              </w:rPr>
            </w:pPr>
            <w:r>
              <w:rPr>
                <w:rFonts w:ascii="Arial" w:cs="Arial" w:eastAsia="Arial" w:hAnsi="Arial"/>
                <w:sz w:val="16"/>
                <w:szCs w:val="16"/>
                <w:color w:val="252525"/>
                <w:w w:val="89"/>
              </w:rPr>
              <w:t>Total</w:t>
            </w:r>
          </w:p>
        </w:tc>
        <w:tc>
          <w:tcPr>
            <w:tcW w:w="0" w:type="dxa"/>
            <w:vAlign w:val="bottom"/>
          </w:tcPr>
          <w:p>
            <w:pPr>
              <w:spacing w:after="0"/>
              <w:rPr>
                <w:sz w:val="1"/>
                <w:szCs w:val="1"/>
                <w:color w:val="auto"/>
              </w:rPr>
            </w:pPr>
          </w:p>
        </w:tc>
      </w:tr>
      <w:tr>
        <w:trPr>
          <w:trHeight w:val="42"/>
        </w:trPr>
        <w:tc>
          <w:tcPr>
            <w:tcW w:w="4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4"/>
        </w:trPr>
        <w:tc>
          <w:tcPr>
            <w:tcW w:w="420" w:type="dxa"/>
            <w:vAlign w:val="bottom"/>
          </w:tcPr>
          <w:p>
            <w:pPr>
              <w:spacing w:after="0"/>
              <w:rPr>
                <w:sz w:val="20"/>
                <w:szCs w:val="20"/>
                <w:color w:val="auto"/>
              </w:rPr>
            </w:pPr>
            <w:r>
              <w:rPr>
                <w:rFonts w:ascii="Arial" w:cs="Arial" w:eastAsia="Arial" w:hAnsi="Arial"/>
                <w:sz w:val="16"/>
                <w:szCs w:val="16"/>
                <w:color w:val="252525"/>
              </w:rPr>
              <w:t>50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420" w:type="dxa"/>
            <w:vAlign w:val="bottom"/>
          </w:tcPr>
          <w:p>
            <w:pPr>
              <w:spacing w:after="0"/>
              <w:rPr>
                <w:sz w:val="20"/>
                <w:szCs w:val="20"/>
                <w:color w:val="auto"/>
              </w:rPr>
            </w:pPr>
            <w:r>
              <w:rPr>
                <w:rFonts w:ascii="Arial" w:cs="Arial" w:eastAsia="Arial" w:hAnsi="Arial"/>
                <w:sz w:val="16"/>
                <w:szCs w:val="16"/>
                <w:color w:val="252525"/>
              </w:rPr>
              <w:t>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2" w:lineRule="exact"/>
        <w:rPr>
          <w:sz w:val="20"/>
          <w:szCs w:val="20"/>
          <w:color w:val="auto"/>
        </w:rPr>
      </w:pPr>
    </w:p>
    <w:p>
      <w:pPr>
        <w:sectPr>
          <w:pgSz w:w="11880" w:h="15480" w:orient="portrait"/>
          <w:cols w:equalWidth="0" w:num="3">
            <w:col w:w="923" w:space="97"/>
            <w:col w:w="7740" w:space="80"/>
            <w:col w:w="1280"/>
          </w:cols>
          <w:pgMar w:left="880" w:top="544" w:right="880" w:bottom="96"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Relationship between Compensation Actually Paid and Net Loss</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202020"/>
        </w:rPr>
        <w:t>The graph below illustrates the relationship between compensation actually paid to the Company’s PEO and other NEOs and the Company’s net loss.</w:t>
      </w:r>
    </w:p>
    <w:p>
      <w:pPr>
        <w:sectPr>
          <w:pgSz w:w="11880" w:h="15480" w:orient="portrait"/>
          <w:cols w:equalWidth="0" w:num="1">
            <w:col w:w="10120"/>
          </w:cols>
          <w:pgMar w:left="880" w:top="544" w:right="88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391" w:type="dxa"/>
        <w:tblCellMar>
          <w:top w:w="0" w:type="dxa"/>
          <w:left w:w="0" w:type="dxa"/>
          <w:bottom w:w="0" w:type="dxa"/>
          <w:right w:w="0" w:type="dxa"/>
        </w:tblCellMar>
      </w:tblPr>
      <w:tr>
        <w:trPr>
          <w:trHeight w:val="320"/>
        </w:trPr>
        <w:tc>
          <w:tcPr>
            <w:tcW w:w="172" w:type="dxa"/>
            <w:vAlign w:val="bottom"/>
            <w:textDirection w:val="btLr"/>
          </w:tcPr>
          <w:p>
            <w:pPr>
              <w:spacing w:after="0"/>
              <w:rPr>
                <w:sz w:val="20"/>
                <w:szCs w:val="20"/>
                <w:color w:val="auto"/>
              </w:rPr>
            </w:pPr>
            <w:r>
              <w:rPr>
                <w:rFonts w:ascii="Arial" w:cs="Arial" w:eastAsia="Arial" w:hAnsi="Arial"/>
                <w:sz w:val="15"/>
                <w:szCs w:val="15"/>
                <w:color w:val="252525"/>
              </w:rPr>
              <w:t>Paid</w:t>
            </w:r>
          </w:p>
        </w:tc>
      </w:tr>
    </w:tbl>
    <w:p>
      <w:pPr>
        <w:spacing w:after="0" w:line="40" w:lineRule="exact"/>
        <w:rPr>
          <w:sz w:val="20"/>
          <w:szCs w:val="20"/>
          <w:color w:val="auto"/>
        </w:rPr>
      </w:pPr>
    </w:p>
    <w:tbl>
      <w:tblPr>
        <w:tblLayout w:type="fixed"/>
        <w:tblInd w:w="331" w:type="dxa"/>
        <w:tblCellMar>
          <w:top w:w="0" w:type="dxa"/>
          <w:left w:w="0" w:type="dxa"/>
          <w:bottom w:w="0" w:type="dxa"/>
          <w:right w:w="0" w:type="dxa"/>
        </w:tblCellMar>
      </w:tblPr>
      <w:tr>
        <w:trPr>
          <w:trHeight w:val="1640"/>
        </w:trPr>
        <w:tc>
          <w:tcPr>
            <w:tcW w:w="412" w:type="dxa"/>
            <w:vAlign w:val="bottom"/>
            <w:textDirection w:val="btLr"/>
          </w:tcPr>
          <w:p>
            <w:pPr>
              <w:ind w:firstLine="489"/>
              <w:spacing w:after="0" w:line="269" w:lineRule="auto"/>
              <w:rPr>
                <w:sz w:val="20"/>
                <w:szCs w:val="20"/>
                <w:color w:val="auto"/>
              </w:rPr>
            </w:pPr>
            <w:r>
              <w:rPr>
                <w:rFonts w:ascii="Arial" w:cs="Arial" w:eastAsia="Arial" w:hAnsi="Arial"/>
                <w:sz w:val="16"/>
                <w:szCs w:val="16"/>
                <w:color w:val="252525"/>
              </w:rPr>
              <w:t>(in thousands) Compensation Actually</w:t>
            </w: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252525"/>
        </w:rPr>
        <w:t>16,000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375285</wp:posOffset>
                </wp:positionH>
                <wp:positionV relativeFrom="paragraph">
                  <wp:posOffset>-51435</wp:posOffset>
                </wp:positionV>
                <wp:extent cx="451485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14850"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4.0499pt" to="385.05pt,-4.0499pt" o:allowincell="f" strokecolor="#262626" strokeweight="0.25pt"/>
            </w:pict>
          </mc:Fallback>
        </mc:AlternateConten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14,000</w:t>
            </w:r>
          </w:p>
        </w:tc>
        <w:tc>
          <w:tcPr>
            <w:tcW w:w="680" w:type="dxa"/>
            <w:vAlign w:val="bottom"/>
            <w:gridSpan w:val="3"/>
          </w:tcPr>
          <w:p>
            <w:pPr>
              <w:jc w:val="right"/>
              <w:spacing w:after="0"/>
              <w:rPr>
                <w:sz w:val="20"/>
                <w:szCs w:val="20"/>
                <w:color w:val="auto"/>
              </w:rPr>
            </w:pPr>
            <w:r>
              <w:rPr>
                <w:rFonts w:ascii="Arial" w:cs="Arial" w:eastAsia="Arial" w:hAnsi="Arial"/>
                <w:sz w:val="16"/>
                <w:szCs w:val="16"/>
                <w:color w:val="252525"/>
              </w:rPr>
              <w:t>13,903</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900" w:type="dxa"/>
            <w:vAlign w:val="bottom"/>
            <w:gridSpan w:val="3"/>
            <w:vMerge w:val="restart"/>
          </w:tcPr>
          <w:p>
            <w:pPr>
              <w:ind w:left="100"/>
              <w:spacing w:after="0"/>
              <w:rPr>
                <w:sz w:val="20"/>
                <w:szCs w:val="20"/>
                <w:color w:val="auto"/>
              </w:rPr>
            </w:pPr>
            <w:r>
              <w:rPr>
                <w:rFonts w:ascii="Arial" w:cs="Arial" w:eastAsia="Arial" w:hAnsi="Arial"/>
                <w:sz w:val="16"/>
                <w:szCs w:val="16"/>
                <w:color w:val="686868"/>
              </w:rPr>
              <w:t>(70,511)</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12,000</w:t>
            </w:r>
          </w:p>
        </w:tc>
        <w:tc>
          <w:tcPr>
            <w:tcW w:w="160" w:type="dxa"/>
            <w:vAlign w:val="bottom"/>
          </w:tcPr>
          <w:p>
            <w:pPr>
              <w:spacing w:after="0"/>
              <w:rPr>
                <w:sz w:val="24"/>
                <w:szCs w:val="24"/>
                <w:color w:val="auto"/>
              </w:rPr>
            </w:pPr>
          </w:p>
        </w:tc>
        <w:tc>
          <w:tcPr>
            <w:tcW w:w="520" w:type="dxa"/>
            <w:vAlign w:val="bottom"/>
            <w:gridSpan w:val="2"/>
            <w:shd w:val="clear" w:color="auto" w:fill="202020"/>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600" w:type="dxa"/>
            <w:vAlign w:val="bottom"/>
            <w:gridSpan w:val="2"/>
            <w:vMerge w:val="continue"/>
          </w:tcPr>
          <w:p>
            <w:pPr>
              <w:spacing w:after="0"/>
              <w:rPr>
                <w:sz w:val="6"/>
                <w:szCs w:val="6"/>
                <w:color w:val="auto"/>
              </w:rPr>
            </w:pPr>
          </w:p>
        </w:tc>
        <w:tc>
          <w:tcPr>
            <w:tcW w:w="160" w:type="dxa"/>
            <w:vAlign w:val="bottom"/>
            <w:tcBorders>
              <w:bottom w:val="single" w:sz="8" w:color="262626"/>
            </w:tcBorders>
          </w:tcPr>
          <w:p>
            <w:pPr>
              <w:spacing w:after="0"/>
              <w:rPr>
                <w:sz w:val="6"/>
                <w:szCs w:val="6"/>
                <w:color w:val="auto"/>
              </w:rPr>
            </w:pPr>
          </w:p>
        </w:tc>
        <w:tc>
          <w:tcPr>
            <w:tcW w:w="100" w:type="dxa"/>
            <w:vAlign w:val="bottom"/>
            <w:tcBorders>
              <w:bottom w:val="single" w:sz="8" w:color="202020"/>
            </w:tcBorders>
            <w:shd w:val="clear" w:color="auto" w:fill="202020"/>
          </w:tcPr>
          <w:p>
            <w:pPr>
              <w:spacing w:after="0"/>
              <w:rPr>
                <w:sz w:val="6"/>
                <w:szCs w:val="6"/>
                <w:color w:val="auto"/>
              </w:rPr>
            </w:pPr>
          </w:p>
        </w:tc>
        <w:tc>
          <w:tcPr>
            <w:tcW w:w="42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252525"/>
              </w:rPr>
              <w:t>10,096</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shd w:val="clear" w:color="auto" w:fill="202020"/>
          </w:tcPr>
          <w:p>
            <w:pPr>
              <w:spacing w:after="0"/>
              <w:rPr>
                <w:sz w:val="13"/>
                <w:szCs w:val="13"/>
                <w:color w:val="auto"/>
              </w:rPr>
            </w:pPr>
          </w:p>
        </w:tc>
        <w:tc>
          <w:tcPr>
            <w:tcW w:w="420" w:type="dxa"/>
            <w:vAlign w:val="bottom"/>
            <w:shd w:val="clear" w:color="auto" w:fill="202020"/>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10,000</w:t>
            </w:r>
          </w:p>
        </w:tc>
        <w:tc>
          <w:tcPr>
            <w:tcW w:w="160" w:type="dxa"/>
            <w:vAlign w:val="bottom"/>
          </w:tcPr>
          <w:p>
            <w:pPr>
              <w:spacing w:after="0"/>
              <w:rPr>
                <w:sz w:val="18"/>
                <w:szCs w:val="18"/>
                <w:color w:val="auto"/>
              </w:rPr>
            </w:pPr>
          </w:p>
        </w:tc>
        <w:tc>
          <w:tcPr>
            <w:tcW w:w="100" w:type="dxa"/>
            <w:vAlign w:val="bottom"/>
            <w:shd w:val="clear" w:color="auto" w:fill="202020"/>
          </w:tcPr>
          <w:p>
            <w:pPr>
              <w:spacing w:after="0"/>
              <w:rPr>
                <w:sz w:val="18"/>
                <w:szCs w:val="18"/>
                <w:color w:val="auto"/>
              </w:rPr>
            </w:pPr>
          </w:p>
        </w:tc>
        <w:tc>
          <w:tcPr>
            <w:tcW w:w="420" w:type="dxa"/>
            <w:vAlign w:val="bottom"/>
            <w:shd w:val="clear" w:color="auto" w:fill="202020"/>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6"/>
                <w:szCs w:val="16"/>
                <w:color w:val="686868"/>
              </w:rPr>
              <w:t>(112,325)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600" w:type="dxa"/>
            <w:vAlign w:val="bottom"/>
            <w:gridSpan w:val="2"/>
            <w:vMerge w:val="continue"/>
          </w:tcPr>
          <w:p>
            <w:pPr>
              <w:spacing w:after="0"/>
              <w:rPr>
                <w:sz w:val="5"/>
                <w:szCs w:val="5"/>
                <w:color w:val="auto"/>
              </w:rPr>
            </w:pPr>
          </w:p>
        </w:tc>
        <w:tc>
          <w:tcPr>
            <w:tcW w:w="160" w:type="dxa"/>
            <w:vAlign w:val="bottom"/>
            <w:tcBorders>
              <w:bottom w:val="single" w:sz="8" w:color="262626"/>
            </w:tcBorders>
          </w:tcPr>
          <w:p>
            <w:pPr>
              <w:spacing w:after="0"/>
              <w:rPr>
                <w:sz w:val="5"/>
                <w:szCs w:val="5"/>
                <w:color w:val="auto"/>
              </w:rPr>
            </w:pPr>
          </w:p>
        </w:tc>
        <w:tc>
          <w:tcPr>
            <w:tcW w:w="100" w:type="dxa"/>
            <w:vAlign w:val="bottom"/>
            <w:tcBorders>
              <w:bottom w:val="single" w:sz="8" w:color="202020"/>
            </w:tcBorders>
            <w:shd w:val="clear" w:color="auto" w:fill="202020"/>
          </w:tcPr>
          <w:p>
            <w:pPr>
              <w:spacing w:after="0"/>
              <w:rPr>
                <w:sz w:val="5"/>
                <w:szCs w:val="5"/>
                <w:color w:val="auto"/>
              </w:rPr>
            </w:pPr>
          </w:p>
        </w:tc>
        <w:tc>
          <w:tcPr>
            <w:tcW w:w="420" w:type="dxa"/>
            <w:vAlign w:val="bottom"/>
            <w:tcBorders>
              <w:bottom w:val="single" w:sz="8" w:color="202020"/>
            </w:tcBorders>
            <w:shd w:val="clear" w:color="auto" w:fill="202020"/>
          </w:tcPr>
          <w:p>
            <w:pPr>
              <w:spacing w:after="0"/>
              <w:rPr>
                <w:sz w:val="5"/>
                <w:szCs w:val="5"/>
                <w:color w:val="auto"/>
              </w:rPr>
            </w:pPr>
          </w:p>
        </w:tc>
        <w:tc>
          <w:tcPr>
            <w:tcW w:w="60" w:type="dxa"/>
            <w:vAlign w:val="bottom"/>
            <w:tcBorders>
              <w:bottom w:val="single" w:sz="8" w:color="262626"/>
            </w:tcBorders>
          </w:tcPr>
          <w:p>
            <w:pPr>
              <w:spacing w:after="0"/>
              <w:rPr>
                <w:sz w:val="5"/>
                <w:szCs w:val="5"/>
                <w:color w:val="auto"/>
              </w:rPr>
            </w:pPr>
          </w:p>
        </w:tc>
        <w:tc>
          <w:tcPr>
            <w:tcW w:w="500" w:type="dxa"/>
            <w:vAlign w:val="bottom"/>
            <w:tcBorders>
              <w:bottom w:val="single" w:sz="8" w:color="262626"/>
            </w:tcBorders>
          </w:tcPr>
          <w:p>
            <w:pPr>
              <w:spacing w:after="0"/>
              <w:rPr>
                <w:sz w:val="5"/>
                <w:szCs w:val="5"/>
                <w:color w:val="auto"/>
              </w:rPr>
            </w:pPr>
          </w:p>
        </w:tc>
        <w:tc>
          <w:tcPr>
            <w:tcW w:w="340" w:type="dxa"/>
            <w:vAlign w:val="bottom"/>
            <w:tcBorders>
              <w:bottom w:val="single" w:sz="8" w:color="262626"/>
            </w:tcBorders>
          </w:tcPr>
          <w:p>
            <w:pPr>
              <w:spacing w:after="0"/>
              <w:rPr>
                <w:sz w:val="5"/>
                <w:szCs w:val="5"/>
                <w:color w:val="auto"/>
              </w:rPr>
            </w:pPr>
          </w:p>
        </w:tc>
        <w:tc>
          <w:tcPr>
            <w:tcW w:w="520" w:type="dxa"/>
            <w:vAlign w:val="bottom"/>
            <w:tcBorders>
              <w:bottom w:val="single" w:sz="8" w:color="202020"/>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gridSpan w:val="4"/>
            <w:vMerge w:val="restart"/>
          </w:tcPr>
          <w:p>
            <w:pPr>
              <w:jc w:val="right"/>
              <w:ind w:right="200"/>
              <w:spacing w:after="0"/>
              <w:rPr>
                <w:sz w:val="20"/>
                <w:szCs w:val="20"/>
                <w:color w:val="auto"/>
              </w:rPr>
            </w:pPr>
            <w:r>
              <w:rPr>
                <w:rFonts w:ascii="Arial" w:cs="Arial" w:eastAsia="Arial" w:hAnsi="Arial"/>
                <w:sz w:val="16"/>
                <w:szCs w:val="16"/>
                <w:color w:val="686868"/>
              </w:rPr>
              <w:t>(141,429)</w:t>
            </w: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shd w:val="clear" w:color="auto" w:fill="202020"/>
          </w:tcPr>
          <w:p>
            <w:pPr>
              <w:spacing w:after="0"/>
              <w:rPr>
                <w:sz w:val="16"/>
                <w:szCs w:val="16"/>
                <w:color w:val="auto"/>
              </w:rPr>
            </w:pPr>
          </w:p>
        </w:tc>
        <w:tc>
          <w:tcPr>
            <w:tcW w:w="420" w:type="dxa"/>
            <w:vAlign w:val="bottom"/>
            <w:shd w:val="clear" w:color="auto" w:fill="202020"/>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shd w:val="clear" w:color="auto" w:fill="202020"/>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8,000</w:t>
            </w:r>
          </w:p>
        </w:tc>
        <w:tc>
          <w:tcPr>
            <w:tcW w:w="160" w:type="dxa"/>
            <w:vAlign w:val="bottom"/>
            <w:tcBorders>
              <w:bottom w:val="single" w:sz="8" w:color="262626"/>
            </w:tcBorders>
          </w:tcPr>
          <w:p>
            <w:pPr>
              <w:spacing w:after="0"/>
              <w:rPr>
                <w:sz w:val="21"/>
                <w:szCs w:val="21"/>
                <w:color w:val="auto"/>
              </w:rPr>
            </w:pPr>
          </w:p>
        </w:tc>
        <w:tc>
          <w:tcPr>
            <w:tcW w:w="100" w:type="dxa"/>
            <w:vAlign w:val="bottom"/>
            <w:tcBorders>
              <w:bottom w:val="single" w:sz="8" w:color="202020"/>
            </w:tcBorders>
            <w:shd w:val="clear" w:color="auto" w:fill="202020"/>
          </w:tcPr>
          <w:p>
            <w:pPr>
              <w:spacing w:after="0"/>
              <w:rPr>
                <w:sz w:val="21"/>
                <w:szCs w:val="21"/>
                <w:color w:val="auto"/>
              </w:rPr>
            </w:pPr>
          </w:p>
        </w:tc>
        <w:tc>
          <w:tcPr>
            <w:tcW w:w="420" w:type="dxa"/>
            <w:vAlign w:val="bottom"/>
            <w:tcBorders>
              <w:bottom w:val="single" w:sz="8" w:color="202020"/>
            </w:tcBorders>
            <w:shd w:val="clear" w:color="auto" w:fill="202020"/>
          </w:tcPr>
          <w:p>
            <w:pPr>
              <w:spacing w:after="0"/>
              <w:rPr>
                <w:sz w:val="21"/>
                <w:szCs w:val="21"/>
                <w:color w:val="auto"/>
              </w:rPr>
            </w:pPr>
          </w:p>
        </w:tc>
        <w:tc>
          <w:tcPr>
            <w:tcW w:w="60" w:type="dxa"/>
            <w:vAlign w:val="bottom"/>
            <w:tcBorders>
              <w:bottom w:val="single" w:sz="8" w:color="262626"/>
            </w:tcBorders>
          </w:tcPr>
          <w:p>
            <w:pPr>
              <w:spacing w:after="0"/>
              <w:rPr>
                <w:sz w:val="21"/>
                <w:szCs w:val="21"/>
                <w:color w:val="auto"/>
              </w:rPr>
            </w:pPr>
          </w:p>
        </w:tc>
        <w:tc>
          <w:tcPr>
            <w:tcW w:w="500" w:type="dxa"/>
            <w:vAlign w:val="bottom"/>
            <w:tcBorders>
              <w:bottom w:val="single" w:sz="8" w:color="262626"/>
            </w:tcBorders>
          </w:tcPr>
          <w:p>
            <w:pPr>
              <w:spacing w:after="0"/>
              <w:rPr>
                <w:sz w:val="21"/>
                <w:szCs w:val="21"/>
                <w:color w:val="auto"/>
              </w:rPr>
            </w:pPr>
          </w:p>
        </w:tc>
        <w:tc>
          <w:tcPr>
            <w:tcW w:w="340" w:type="dxa"/>
            <w:vAlign w:val="bottom"/>
            <w:tcBorders>
              <w:bottom w:val="single" w:sz="8" w:color="262626"/>
            </w:tcBorders>
          </w:tcPr>
          <w:p>
            <w:pPr>
              <w:spacing w:after="0"/>
              <w:rPr>
                <w:sz w:val="21"/>
                <w:szCs w:val="21"/>
                <w:color w:val="auto"/>
              </w:rPr>
            </w:pPr>
          </w:p>
        </w:tc>
        <w:tc>
          <w:tcPr>
            <w:tcW w:w="520" w:type="dxa"/>
            <w:vAlign w:val="bottom"/>
            <w:tcBorders>
              <w:bottom w:val="single" w:sz="8" w:color="202020"/>
            </w:tcBorders>
            <w:shd w:val="clear" w:color="auto" w:fill="202020"/>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5"/>
            <w:vMerge w:val="restart"/>
          </w:tcPr>
          <w:p>
            <w:pPr>
              <w:jc w:val="right"/>
              <w:ind w:right="60"/>
              <w:spacing w:after="0"/>
              <w:rPr>
                <w:sz w:val="20"/>
                <w:szCs w:val="20"/>
                <w:color w:val="auto"/>
              </w:rPr>
            </w:pPr>
            <w:r>
              <w:rPr>
                <w:rFonts w:ascii="Arial" w:cs="Arial" w:eastAsia="Arial" w:hAnsi="Arial"/>
                <w:sz w:val="16"/>
                <w:szCs w:val="16"/>
                <w:color w:val="686868"/>
              </w:rPr>
              <w:t>(157,863)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shd w:val="clear" w:color="auto" w:fill="202020"/>
          </w:tcPr>
          <w:p>
            <w:pPr>
              <w:spacing w:after="0"/>
              <w:rPr>
                <w:sz w:val="9"/>
                <w:szCs w:val="9"/>
                <w:color w:val="auto"/>
              </w:rPr>
            </w:pPr>
          </w:p>
        </w:tc>
        <w:tc>
          <w:tcPr>
            <w:tcW w:w="420" w:type="dxa"/>
            <w:vAlign w:val="bottom"/>
            <w:shd w:val="clear" w:color="auto" w:fill="202020"/>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shd w:val="clear" w:color="auto" w:fill="202020"/>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6,000</w:t>
            </w:r>
          </w:p>
        </w:tc>
        <w:tc>
          <w:tcPr>
            <w:tcW w:w="160" w:type="dxa"/>
            <w:vAlign w:val="bottom"/>
            <w:tcBorders>
              <w:bottom w:val="single" w:sz="8" w:color="262626"/>
            </w:tcBorders>
          </w:tcPr>
          <w:p>
            <w:pPr>
              <w:spacing w:after="0"/>
              <w:rPr>
                <w:sz w:val="24"/>
                <w:szCs w:val="24"/>
                <w:color w:val="auto"/>
              </w:rPr>
            </w:pPr>
          </w:p>
        </w:tc>
        <w:tc>
          <w:tcPr>
            <w:tcW w:w="10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0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6"/>
                <w:szCs w:val="16"/>
                <w:color w:val="252525"/>
              </w:rPr>
              <w:t>5,116</w:t>
            </w: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shd w:val="clear" w:color="auto" w:fill="202020"/>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shd w:val="clear" w:color="auto" w:fill="202020"/>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4,000</w:t>
            </w:r>
          </w:p>
        </w:tc>
        <w:tc>
          <w:tcPr>
            <w:tcW w:w="160" w:type="dxa"/>
            <w:vAlign w:val="bottom"/>
            <w:tcBorders>
              <w:bottom w:val="single" w:sz="8" w:color="262626"/>
            </w:tcBorders>
          </w:tcPr>
          <w:p>
            <w:pPr>
              <w:spacing w:after="0"/>
              <w:rPr>
                <w:sz w:val="24"/>
                <w:szCs w:val="24"/>
                <w:color w:val="auto"/>
              </w:rPr>
            </w:pPr>
          </w:p>
        </w:tc>
        <w:tc>
          <w:tcPr>
            <w:tcW w:w="10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8F8F8F"/>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580" w:type="dxa"/>
            <w:vAlign w:val="bottom"/>
            <w:tcBorders>
              <w:bottom w:val="single" w:sz="8" w:color="262626"/>
            </w:tcBorders>
            <w:gridSpan w:val="3"/>
          </w:tcPr>
          <w:p>
            <w:pPr>
              <w:jc w:val="right"/>
              <w:ind w:right="60"/>
              <w:spacing w:after="0"/>
              <w:rPr>
                <w:sz w:val="20"/>
                <w:szCs w:val="20"/>
                <w:color w:val="auto"/>
              </w:rPr>
            </w:pPr>
            <w:r>
              <w:rPr>
                <w:rFonts w:ascii="Arial" w:cs="Arial" w:eastAsia="Arial" w:hAnsi="Arial"/>
                <w:sz w:val="16"/>
                <w:szCs w:val="16"/>
                <w:color w:val="252525"/>
              </w:rPr>
              <w:t>3,596</w:t>
            </w:r>
          </w:p>
        </w:tc>
        <w:tc>
          <w:tcPr>
            <w:tcW w:w="860" w:type="dxa"/>
            <w:vAlign w:val="bottom"/>
            <w:tcBorders>
              <w:bottom w:val="single" w:sz="8" w:color="262626"/>
            </w:tcBorders>
            <w:gridSpan w:val="2"/>
          </w:tcPr>
          <w:p>
            <w:pPr>
              <w:ind w:left="400"/>
              <w:spacing w:after="0"/>
              <w:rPr>
                <w:sz w:val="20"/>
                <w:szCs w:val="20"/>
                <w:color w:val="auto"/>
              </w:rPr>
            </w:pPr>
            <w:r>
              <w:rPr>
                <w:rFonts w:ascii="Arial" w:cs="Arial" w:eastAsia="Arial" w:hAnsi="Arial"/>
                <w:sz w:val="16"/>
                <w:szCs w:val="16"/>
                <w:color w:val="252525"/>
              </w:rPr>
              <w:t>3,738</w:t>
            </w:r>
          </w:p>
        </w:tc>
        <w:tc>
          <w:tcPr>
            <w:tcW w:w="4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36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400" w:type="dxa"/>
            <w:vAlign w:val="bottom"/>
            <w:tcBorders>
              <w:bottom w:val="single" w:sz="8" w:color="262626"/>
            </w:tcBorders>
          </w:tcPr>
          <w:p>
            <w:pPr>
              <w:spacing w:after="0"/>
              <w:rPr>
                <w:sz w:val="24"/>
                <w:szCs w:val="24"/>
                <w:color w:val="auto"/>
              </w:rPr>
            </w:pPr>
          </w:p>
        </w:tc>
        <w:tc>
          <w:tcPr>
            <w:tcW w:w="100" w:type="dxa"/>
            <w:vAlign w:val="bottom"/>
            <w:tcBorders>
              <w:bottom w:val="single" w:sz="8" w:color="262626"/>
            </w:tcBorders>
          </w:tcPr>
          <w:p>
            <w:pPr>
              <w:spacing w:after="0"/>
              <w:rPr>
                <w:sz w:val="24"/>
                <w:szCs w:val="24"/>
                <w:color w:val="auto"/>
              </w:rPr>
            </w:pPr>
          </w:p>
        </w:tc>
        <w:tc>
          <w:tcPr>
            <w:tcW w:w="320" w:type="dxa"/>
            <w:vAlign w:val="bottom"/>
            <w:tcBorders>
              <w:bottom w:val="single" w:sz="8" w:color="262626"/>
            </w:tcBorders>
          </w:tcPr>
          <w:p>
            <w:pPr>
              <w:spacing w:after="0"/>
              <w:rPr>
                <w:sz w:val="24"/>
                <w:szCs w:val="24"/>
                <w:color w:val="auto"/>
              </w:rPr>
            </w:pPr>
          </w:p>
        </w:tc>
        <w:tc>
          <w:tcPr>
            <w:tcW w:w="2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6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bottom w:val="single" w:sz="8" w:color="202020"/>
            </w:tcBorders>
            <w:shd w:val="clear" w:color="auto" w:fill="202020"/>
          </w:tcPr>
          <w:p>
            <w:pPr>
              <w:spacing w:after="0"/>
              <w:rPr>
                <w:sz w:val="6"/>
                <w:szCs w:val="6"/>
                <w:color w:val="auto"/>
              </w:rPr>
            </w:pPr>
          </w:p>
        </w:tc>
        <w:tc>
          <w:tcPr>
            <w:tcW w:w="42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8F8F8F"/>
            </w:tcBorders>
            <w:shd w:val="clear" w:color="auto" w:fill="8F8F8F"/>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2,000</w:t>
            </w:r>
          </w:p>
        </w:tc>
        <w:tc>
          <w:tcPr>
            <w:tcW w:w="160" w:type="dxa"/>
            <w:vAlign w:val="bottom"/>
            <w:tcBorders>
              <w:bottom w:val="single" w:sz="8" w:color="262626"/>
            </w:tcBorders>
          </w:tcPr>
          <w:p>
            <w:pPr>
              <w:spacing w:after="0"/>
              <w:rPr>
                <w:sz w:val="24"/>
                <w:szCs w:val="24"/>
                <w:color w:val="auto"/>
              </w:rPr>
            </w:pPr>
          </w:p>
        </w:tc>
        <w:tc>
          <w:tcPr>
            <w:tcW w:w="10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8F8F8F"/>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F8F8F"/>
            </w:tcBorders>
            <w:shd w:val="clear" w:color="auto" w:fill="8F8F8F"/>
          </w:tcPr>
          <w:p>
            <w:pPr>
              <w:spacing w:after="0"/>
              <w:rPr>
                <w:sz w:val="24"/>
                <w:szCs w:val="24"/>
                <w:color w:val="auto"/>
              </w:rPr>
            </w:pPr>
          </w:p>
        </w:tc>
        <w:tc>
          <w:tcPr>
            <w:tcW w:w="440" w:type="dxa"/>
            <w:vAlign w:val="bottom"/>
            <w:tcBorders>
              <w:bottom w:val="single" w:sz="8" w:color="8F8F8F"/>
              <w:right w:val="single" w:sz="8" w:color="8F8F8F"/>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4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36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400" w:type="dxa"/>
            <w:vAlign w:val="bottom"/>
            <w:tcBorders>
              <w:bottom w:val="single" w:sz="8" w:color="262626"/>
            </w:tcBorders>
          </w:tcPr>
          <w:p>
            <w:pPr>
              <w:spacing w:after="0"/>
              <w:rPr>
                <w:sz w:val="24"/>
                <w:szCs w:val="24"/>
                <w:color w:val="auto"/>
              </w:rPr>
            </w:pPr>
          </w:p>
        </w:tc>
        <w:tc>
          <w:tcPr>
            <w:tcW w:w="100" w:type="dxa"/>
            <w:vAlign w:val="bottom"/>
            <w:tcBorders>
              <w:bottom w:val="single" w:sz="8" w:color="262626"/>
            </w:tcBorders>
          </w:tcPr>
          <w:p>
            <w:pPr>
              <w:spacing w:after="0"/>
              <w:rPr>
                <w:sz w:val="24"/>
                <w:szCs w:val="24"/>
                <w:color w:val="auto"/>
              </w:rPr>
            </w:pPr>
          </w:p>
        </w:tc>
        <w:tc>
          <w:tcPr>
            <w:tcW w:w="320" w:type="dxa"/>
            <w:vAlign w:val="bottom"/>
            <w:tcBorders>
              <w:bottom w:val="single" w:sz="8" w:color="262626"/>
            </w:tcBorders>
          </w:tcPr>
          <w:p>
            <w:pPr>
              <w:spacing w:after="0"/>
              <w:rPr>
                <w:sz w:val="24"/>
                <w:szCs w:val="24"/>
                <w:color w:val="auto"/>
              </w:rPr>
            </w:pPr>
          </w:p>
        </w:tc>
        <w:tc>
          <w:tcPr>
            <w:tcW w:w="20" w:type="dxa"/>
            <w:vAlign w:val="bottom"/>
            <w:tcBorders>
              <w:bottom w:val="single" w:sz="8" w:color="262626"/>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shd w:val="clear" w:color="auto" w:fill="8F8F8F"/>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shd w:val="clear" w:color="auto" w:fill="8F8F8F"/>
          </w:tcPr>
          <w:p>
            <w:pPr>
              <w:spacing w:after="0"/>
              <w:rPr>
                <w:sz w:val="7"/>
                <w:szCs w:val="7"/>
                <w:color w:val="auto"/>
              </w:rPr>
            </w:pPr>
          </w:p>
        </w:tc>
        <w:tc>
          <w:tcPr>
            <w:tcW w:w="440" w:type="dxa"/>
            <w:vAlign w:val="bottom"/>
            <w:tcBorders>
              <w:right w:val="single" w:sz="8" w:color="8F8F8F"/>
            </w:tcBorders>
            <w:shd w:val="clear" w:color="auto" w:fill="8F8F8F"/>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shd w:val="clear" w:color="auto" w:fill="202020"/>
          </w:tcPr>
          <w:p>
            <w:pPr>
              <w:spacing w:after="0"/>
              <w:rPr>
                <w:sz w:val="7"/>
                <w:szCs w:val="7"/>
                <w:color w:val="auto"/>
              </w:rPr>
            </w:pPr>
          </w:p>
        </w:tc>
        <w:tc>
          <w:tcPr>
            <w:tcW w:w="560" w:type="dxa"/>
            <w:vAlign w:val="bottom"/>
            <w:gridSpan w:val="2"/>
            <w:vMerge w:val="restart"/>
          </w:tcPr>
          <w:p>
            <w:pPr>
              <w:jc w:val="right"/>
              <w:ind w:right="60"/>
              <w:spacing w:after="0" w:line="131" w:lineRule="exact"/>
              <w:rPr>
                <w:sz w:val="20"/>
                <w:szCs w:val="20"/>
                <w:color w:val="auto"/>
              </w:rPr>
            </w:pPr>
            <w:r>
              <w:rPr>
                <w:rFonts w:ascii="Arial" w:cs="Arial" w:eastAsia="Arial" w:hAnsi="Arial"/>
                <w:sz w:val="15"/>
                <w:szCs w:val="15"/>
                <w:color w:val="252525"/>
              </w:rPr>
              <w:t>1,457</w:t>
            </w: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202020"/>
          </w:tcPr>
          <w:p>
            <w:pPr>
              <w:spacing w:after="0"/>
              <w:rPr>
                <w:sz w:val="3"/>
                <w:szCs w:val="3"/>
                <w:color w:val="auto"/>
              </w:rPr>
            </w:pPr>
          </w:p>
        </w:tc>
        <w:tc>
          <w:tcPr>
            <w:tcW w:w="420" w:type="dxa"/>
            <w:vAlign w:val="bottom"/>
            <w:shd w:val="clear" w:color="auto" w:fill="202020"/>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shd w:val="clear" w:color="auto" w:fill="8F8F8F"/>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shd w:val="clear" w:color="auto" w:fill="202020"/>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8F8F8F"/>
          </w:tcPr>
          <w:p>
            <w:pPr>
              <w:spacing w:after="0"/>
              <w:rPr>
                <w:sz w:val="3"/>
                <w:szCs w:val="3"/>
                <w:color w:val="auto"/>
              </w:rPr>
            </w:pPr>
          </w:p>
        </w:tc>
        <w:tc>
          <w:tcPr>
            <w:tcW w:w="440" w:type="dxa"/>
            <w:vAlign w:val="bottom"/>
            <w:tcBorders>
              <w:right w:val="single" w:sz="8" w:color="8F8F8F"/>
            </w:tcBorders>
            <w:shd w:val="clear" w:color="auto" w:fill="8F8F8F"/>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shd w:val="clear" w:color="auto" w:fill="202020"/>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6"/>
        </w:trPr>
        <w:tc>
          <w:tcPr>
            <w:tcW w:w="6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252525"/>
              </w:rPr>
              <w:t>0</w:t>
            </w:r>
          </w:p>
        </w:tc>
        <w:tc>
          <w:tcPr>
            <w:tcW w:w="160" w:type="dxa"/>
            <w:vAlign w:val="bottom"/>
          </w:tcPr>
          <w:p>
            <w:pPr>
              <w:spacing w:after="0"/>
              <w:rPr>
                <w:sz w:val="24"/>
                <w:szCs w:val="24"/>
                <w:color w:val="auto"/>
              </w:rPr>
            </w:pPr>
          </w:p>
        </w:tc>
        <w:tc>
          <w:tcPr>
            <w:tcW w:w="10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8F8F8F"/>
            </w:tcBorders>
            <w:shd w:val="clear" w:color="auto" w:fill="8F8F8F"/>
          </w:tcPr>
          <w:p>
            <w:pPr>
              <w:spacing w:after="0"/>
              <w:rPr>
                <w:sz w:val="24"/>
                <w:szCs w:val="24"/>
                <w:color w:val="auto"/>
              </w:rPr>
            </w:pPr>
          </w:p>
        </w:tc>
        <w:tc>
          <w:tcPr>
            <w:tcW w:w="440" w:type="dxa"/>
            <w:vAlign w:val="bottom"/>
            <w:tcBorders>
              <w:bottom w:val="single" w:sz="8" w:color="8F8F8F"/>
              <w:right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202020"/>
            </w:tcBorders>
          </w:tcPr>
          <w:p>
            <w:pPr>
              <w:jc w:val="right"/>
              <w:spacing w:after="0"/>
              <w:rPr>
                <w:sz w:val="20"/>
                <w:szCs w:val="20"/>
                <w:color w:val="auto"/>
              </w:rPr>
            </w:pPr>
            <w:r>
              <w:rPr>
                <w:rFonts w:ascii="Arial" w:cs="Arial" w:eastAsia="Arial" w:hAnsi="Arial"/>
                <w:sz w:val="16"/>
                <w:szCs w:val="16"/>
                <w:color w:val="252525"/>
              </w:rPr>
              <w:t>76</w:t>
            </w:r>
          </w:p>
        </w:tc>
        <w:tc>
          <w:tcPr>
            <w:tcW w:w="160" w:type="dxa"/>
            <w:vAlign w:val="bottom"/>
            <w:tcBorders>
              <w:bottom w:val="single" w:sz="8" w:color="202020"/>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8F8F8F"/>
            </w:tcBorders>
          </w:tcPr>
          <w:p>
            <w:pPr>
              <w:jc w:val="right"/>
              <w:spacing w:after="0"/>
              <w:rPr>
                <w:sz w:val="20"/>
                <w:szCs w:val="20"/>
                <w:color w:val="auto"/>
              </w:rPr>
            </w:pPr>
            <w:r>
              <w:rPr>
                <w:rFonts w:ascii="Arial" w:cs="Arial" w:eastAsia="Arial" w:hAnsi="Arial"/>
                <w:sz w:val="16"/>
                <w:szCs w:val="16"/>
                <w:color w:val="252525"/>
              </w:rPr>
              <w:t>98</w:t>
            </w:r>
          </w:p>
        </w:tc>
        <w:tc>
          <w:tcPr>
            <w:tcW w:w="100" w:type="dxa"/>
            <w:vAlign w:val="bottom"/>
            <w:tcBorders>
              <w:bottom w:val="single" w:sz="8" w:color="8F8F8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5"/>
            <w:vMerge w:val="restart"/>
          </w:tcPr>
          <w:p>
            <w:pPr>
              <w:jc w:val="center"/>
              <w:ind w:right="320"/>
              <w:spacing w:after="0"/>
              <w:rPr>
                <w:sz w:val="20"/>
                <w:szCs w:val="20"/>
                <w:color w:val="auto"/>
              </w:rPr>
            </w:pPr>
            <w:r>
              <w:rPr>
                <w:rFonts w:ascii="Arial" w:cs="Arial" w:eastAsia="Arial" w:hAnsi="Arial"/>
                <w:sz w:val="16"/>
                <w:szCs w:val="16"/>
                <w:color w:val="252525"/>
              </w:rPr>
              <w:t>December 31,</w:t>
            </w:r>
          </w:p>
        </w:tc>
        <w:tc>
          <w:tcPr>
            <w:tcW w:w="1100" w:type="dxa"/>
            <w:vAlign w:val="bottom"/>
            <w:gridSpan w:val="4"/>
            <w:vMerge w:val="restart"/>
          </w:tcPr>
          <w:p>
            <w:pPr>
              <w:jc w:val="center"/>
              <w:spacing w:after="0"/>
              <w:rPr>
                <w:sz w:val="20"/>
                <w:szCs w:val="20"/>
                <w:color w:val="auto"/>
              </w:rPr>
            </w:pPr>
            <w:r>
              <w:rPr>
                <w:rFonts w:ascii="Arial" w:cs="Arial" w:eastAsia="Arial" w:hAnsi="Arial"/>
                <w:sz w:val="16"/>
                <w:szCs w:val="16"/>
                <w:color w:val="252525"/>
                <w:w w:val="99"/>
              </w:rPr>
              <w:t>December 31,</w:t>
            </w:r>
          </w:p>
        </w:tc>
        <w:tc>
          <w:tcPr>
            <w:tcW w:w="340" w:type="dxa"/>
            <w:vAlign w:val="bottom"/>
          </w:tcPr>
          <w:p>
            <w:pPr>
              <w:spacing w:after="0"/>
              <w:rPr>
                <w:sz w:val="9"/>
                <w:szCs w:val="9"/>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6"/>
                <w:szCs w:val="16"/>
                <w:color w:val="252525"/>
              </w:rPr>
              <w:t>December 31,</w:t>
            </w:r>
          </w:p>
        </w:tc>
        <w:tc>
          <w:tcPr>
            <w:tcW w:w="340" w:type="dxa"/>
            <w:vAlign w:val="bottom"/>
          </w:tcPr>
          <w:p>
            <w:pPr>
              <w:spacing w:after="0"/>
              <w:rPr>
                <w:sz w:val="9"/>
                <w:szCs w:val="9"/>
                <w:color w:val="auto"/>
              </w:rPr>
            </w:pPr>
          </w:p>
        </w:tc>
        <w:tc>
          <w:tcPr>
            <w:tcW w:w="1420" w:type="dxa"/>
            <w:vAlign w:val="bottom"/>
            <w:gridSpan w:val="7"/>
            <w:vMerge w:val="restart"/>
          </w:tcPr>
          <w:p>
            <w:pPr>
              <w:jc w:val="center"/>
              <w:ind w:right="320"/>
              <w:spacing w:after="0"/>
              <w:rPr>
                <w:sz w:val="20"/>
                <w:szCs w:val="20"/>
                <w:color w:val="auto"/>
              </w:rPr>
            </w:pPr>
            <w:r>
              <w:rPr>
                <w:rFonts w:ascii="Arial" w:cs="Arial" w:eastAsia="Arial" w:hAnsi="Arial"/>
                <w:sz w:val="16"/>
                <w:szCs w:val="16"/>
                <w:color w:val="252525"/>
              </w:rPr>
              <w:t>December 31,</w:t>
            </w: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5"/>
            <w:vMerge w:val="continue"/>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6"/>
                <w:szCs w:val="16"/>
                <w:color w:val="252525"/>
              </w:rPr>
              <w:t>2021</w:t>
            </w:r>
          </w:p>
        </w:tc>
        <w:tc>
          <w:tcPr>
            <w:tcW w:w="340" w:type="dxa"/>
            <w:vAlign w:val="bottom"/>
          </w:tcPr>
          <w:p>
            <w:pPr>
              <w:spacing w:after="0"/>
              <w:rPr>
                <w:sz w:val="18"/>
                <w:szCs w:val="18"/>
                <w:color w:val="auto"/>
              </w:rPr>
            </w:pPr>
          </w:p>
        </w:tc>
        <w:tc>
          <w:tcPr>
            <w:tcW w:w="1100" w:type="dxa"/>
            <w:vAlign w:val="bottom"/>
            <w:gridSpan w:val="4"/>
          </w:tcPr>
          <w:p>
            <w:pPr>
              <w:jc w:val="right"/>
              <w:ind w:right="360"/>
              <w:spacing w:after="0"/>
              <w:rPr>
                <w:sz w:val="20"/>
                <w:szCs w:val="20"/>
                <w:color w:val="auto"/>
              </w:rPr>
            </w:pPr>
            <w:r>
              <w:rPr>
                <w:rFonts w:ascii="Arial" w:cs="Arial" w:eastAsia="Arial" w:hAnsi="Arial"/>
                <w:sz w:val="16"/>
                <w:szCs w:val="16"/>
                <w:color w:val="252525"/>
              </w:rPr>
              <w:t>2022</w:t>
            </w:r>
          </w:p>
        </w:tc>
        <w:tc>
          <w:tcPr>
            <w:tcW w:w="1420" w:type="dxa"/>
            <w:vAlign w:val="bottom"/>
            <w:gridSpan w:val="4"/>
          </w:tcPr>
          <w:p>
            <w:pPr>
              <w:jc w:val="right"/>
              <w:ind w:right="360"/>
              <w:spacing w:after="0"/>
              <w:rPr>
                <w:sz w:val="20"/>
                <w:szCs w:val="20"/>
                <w:color w:val="auto"/>
              </w:rPr>
            </w:pPr>
            <w:r>
              <w:rPr>
                <w:rFonts w:ascii="Arial" w:cs="Arial" w:eastAsia="Arial" w:hAnsi="Arial"/>
                <w:sz w:val="16"/>
                <w:szCs w:val="16"/>
                <w:color w:val="252525"/>
              </w:rPr>
              <w:t>2023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6"/>
                <w:szCs w:val="16"/>
                <w:color w:val="252525"/>
                <w:w w:val="95"/>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40" w:type="dxa"/>
            <w:vAlign w:val="bottom"/>
          </w:tcPr>
          <w:p>
            <w:pPr>
              <w:spacing w:after="0"/>
              <w:rPr>
                <w:sz w:val="24"/>
                <w:szCs w:val="24"/>
                <w:color w:val="auto"/>
              </w:rPr>
            </w:pPr>
          </w:p>
        </w:tc>
        <w:tc>
          <w:tcPr>
            <w:tcW w:w="160" w:type="dxa"/>
            <w:vAlign w:val="bottom"/>
            <w:tcBorders>
              <w:bottom w:val="single" w:sz="8" w:color="202020"/>
            </w:tcBorders>
          </w:tcPr>
          <w:p>
            <w:pPr>
              <w:spacing w:after="0"/>
              <w:rPr>
                <w:sz w:val="24"/>
                <w:szCs w:val="24"/>
                <w:color w:val="auto"/>
              </w:rPr>
            </w:pPr>
          </w:p>
        </w:tc>
        <w:tc>
          <w:tcPr>
            <w:tcW w:w="160" w:type="dxa"/>
            <w:vAlign w:val="bottom"/>
            <w:tcBorders>
              <w:bottom w:val="single" w:sz="8" w:color="202020"/>
            </w:tcBorders>
          </w:tcPr>
          <w:p>
            <w:pPr>
              <w:spacing w:after="0"/>
              <w:rPr>
                <w:sz w:val="24"/>
                <w:szCs w:val="24"/>
                <w:color w:val="auto"/>
              </w:rPr>
            </w:pPr>
          </w:p>
        </w:tc>
        <w:tc>
          <w:tcPr>
            <w:tcW w:w="100" w:type="dxa"/>
            <w:vAlign w:val="bottom"/>
            <w:tcBorders>
              <w:bottom w:val="single" w:sz="8" w:color="202020"/>
            </w:tcBorders>
          </w:tcPr>
          <w:p>
            <w:pPr>
              <w:spacing w:after="0"/>
              <w:rPr>
                <w:sz w:val="24"/>
                <w:szCs w:val="24"/>
                <w:color w:val="auto"/>
              </w:rPr>
            </w:pPr>
          </w:p>
        </w:tc>
        <w:tc>
          <w:tcPr>
            <w:tcW w:w="1980" w:type="dxa"/>
            <w:vAlign w:val="bottom"/>
            <w:gridSpan w:val="7"/>
            <w:vMerge w:val="restart"/>
          </w:tcPr>
          <w:p>
            <w:pPr>
              <w:ind w:left="160"/>
              <w:spacing w:after="0"/>
              <w:rPr>
                <w:sz w:val="20"/>
                <w:szCs w:val="20"/>
                <w:color w:val="auto"/>
              </w:rPr>
            </w:pPr>
            <w:r>
              <w:rPr>
                <w:rFonts w:ascii="Arial" w:cs="Arial" w:eastAsia="Arial" w:hAnsi="Arial"/>
                <w:sz w:val="16"/>
                <w:szCs w:val="16"/>
                <w:color w:val="252525"/>
              </w:rPr>
              <w:t>Compensation: PEO</w:t>
            </w:r>
          </w:p>
        </w:tc>
        <w:tc>
          <w:tcPr>
            <w:tcW w:w="440" w:type="dxa"/>
            <w:vAlign w:val="bottom"/>
            <w:tcBorders>
              <w:bottom w:val="single" w:sz="8" w:color="8F8F8F"/>
            </w:tcBorders>
          </w:tcPr>
          <w:p>
            <w:pPr>
              <w:spacing w:after="0"/>
              <w:rPr>
                <w:sz w:val="24"/>
                <w:szCs w:val="24"/>
                <w:color w:val="auto"/>
              </w:rPr>
            </w:pPr>
          </w:p>
        </w:tc>
        <w:tc>
          <w:tcPr>
            <w:tcW w:w="2740" w:type="dxa"/>
            <w:vAlign w:val="bottom"/>
            <w:gridSpan w:val="9"/>
            <w:vMerge w:val="restart"/>
          </w:tcPr>
          <w:p>
            <w:pPr>
              <w:jc w:val="right"/>
              <w:ind w:right="280"/>
              <w:spacing w:after="0"/>
              <w:rPr>
                <w:sz w:val="20"/>
                <w:szCs w:val="20"/>
                <w:color w:val="auto"/>
              </w:rPr>
            </w:pPr>
            <w:r>
              <w:rPr>
                <w:rFonts w:ascii="Arial" w:cs="Arial" w:eastAsia="Arial" w:hAnsi="Arial"/>
                <w:sz w:val="16"/>
                <w:szCs w:val="16"/>
                <w:color w:val="252525"/>
              </w:rPr>
              <w:t>Compensation: Non-PEO NEOs</w:t>
            </w:r>
          </w:p>
        </w:tc>
        <w:tc>
          <w:tcPr>
            <w:tcW w:w="100" w:type="dxa"/>
            <w:vAlign w:val="bottom"/>
            <w:tcBorders>
              <w:bottom w:val="single" w:sz="8" w:color="686868"/>
            </w:tcBorders>
          </w:tcPr>
          <w:p>
            <w:pPr>
              <w:spacing w:after="0"/>
              <w:rPr>
                <w:sz w:val="24"/>
                <w:szCs w:val="24"/>
                <w:color w:val="auto"/>
              </w:rPr>
            </w:pPr>
          </w:p>
        </w:tc>
        <w:tc>
          <w:tcPr>
            <w:tcW w:w="320" w:type="dxa"/>
            <w:vAlign w:val="bottom"/>
            <w:tcBorders>
              <w:bottom w:val="single" w:sz="8" w:color="686868"/>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gridSpan w:val="7"/>
            <w:vMerge w:val="continue"/>
          </w:tcPr>
          <w:p>
            <w:pPr>
              <w:spacing w:after="0"/>
              <w:rPr>
                <w:sz w:val="3"/>
                <w:szCs w:val="3"/>
                <w:color w:val="auto"/>
              </w:rPr>
            </w:pPr>
          </w:p>
        </w:tc>
        <w:tc>
          <w:tcPr>
            <w:tcW w:w="440" w:type="dxa"/>
            <w:vAlign w:val="bottom"/>
          </w:tcPr>
          <w:p>
            <w:pPr>
              <w:spacing w:after="0"/>
              <w:rPr>
                <w:sz w:val="3"/>
                <w:szCs w:val="3"/>
                <w:color w:val="auto"/>
              </w:rPr>
            </w:pPr>
          </w:p>
        </w:tc>
        <w:tc>
          <w:tcPr>
            <w:tcW w:w="2740" w:type="dxa"/>
            <w:vAlign w:val="bottom"/>
            <w:gridSpan w:val="9"/>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375285</wp:posOffset>
                </wp:positionH>
                <wp:positionV relativeFrom="paragraph">
                  <wp:posOffset>-3040380</wp:posOffset>
                </wp:positionV>
                <wp:extent cx="451485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14850"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5pt,-239.3999pt" to="385.05pt,-239.3999pt" o:allowincell="f" strokecolor="#262626" strokeweight="0.25pt"/>
            </w:pict>
          </mc:Fallback>
        </mc:AlternateContent>
        <w:drawing>
          <wp:anchor simplePos="0" relativeHeight="251657728" behindDoc="1" locked="0" layoutInCell="0" allowOverlap="1">
            <wp:simplePos x="0" y="0"/>
            <wp:positionH relativeFrom="column">
              <wp:posOffset>375920</wp:posOffset>
            </wp:positionH>
            <wp:positionV relativeFrom="paragraph">
              <wp:posOffset>-2746375</wp:posOffset>
            </wp:positionV>
            <wp:extent cx="4529455" cy="21253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8">
                      <a:extLst>
                        <a:ext uri="{28A0092B-C50C-407E-A947-70E740481C1C}"/>
                      </a:extLst>
                    </a:blip>
                    <a:srcRect/>
                    <a:stretch>
                      <a:fillRect/>
                    </a:stretch>
                  </pic:blipFill>
                  <pic:spPr bwMode="auto">
                    <a:xfrm>
                      <a:off x="0" y="0"/>
                      <a:ext cx="4529455" cy="2125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spacing w:after="0"/>
              <w:rPr>
                <w:sz w:val="18"/>
                <w:szCs w:val="18"/>
                <w:color w:val="auto"/>
              </w:rPr>
            </w:pPr>
          </w:p>
        </w:tc>
        <w:tc>
          <w:tcPr>
            <w:tcW w:w="1320" w:type="dxa"/>
            <w:vAlign w:val="bottom"/>
          </w:tcPr>
          <w:p>
            <w:pPr>
              <w:ind w:left="460"/>
              <w:spacing w:after="0"/>
              <w:rPr>
                <w:sz w:val="20"/>
                <w:szCs w:val="20"/>
                <w:color w:val="auto"/>
              </w:rPr>
            </w:pPr>
            <w:r>
              <w:rPr>
                <w:rFonts w:ascii="Arial" w:cs="Arial" w:eastAsia="Arial" w:hAnsi="Arial"/>
                <w:sz w:val="16"/>
                <w:szCs w:val="16"/>
                <w:color w:val="252525"/>
              </w:rPr>
              <w:t>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4"/>
        </w:trPr>
        <w:tc>
          <w:tcPr>
            <w:tcW w:w="860" w:type="dxa"/>
            <w:vAlign w:val="bottom"/>
          </w:tcPr>
          <w:p>
            <w:pPr>
              <w:spacing w:after="0"/>
              <w:rPr>
                <w:sz w:val="24"/>
                <w:szCs w:val="24"/>
                <w:color w:val="auto"/>
              </w:rPr>
            </w:pPr>
          </w:p>
        </w:tc>
        <w:tc>
          <w:tcPr>
            <w:tcW w:w="1320" w:type="dxa"/>
            <w:vAlign w:val="bottom"/>
          </w:tcPr>
          <w:p>
            <w:pPr>
              <w:ind w:left="460"/>
              <w:spacing w:after="0"/>
              <w:rPr>
                <w:sz w:val="20"/>
                <w:szCs w:val="20"/>
                <w:color w:val="auto"/>
              </w:rPr>
            </w:pPr>
            <w:r>
              <w:rPr>
                <w:rFonts w:ascii="Arial" w:cs="Arial" w:eastAsia="Arial" w:hAnsi="Arial"/>
                <w:sz w:val="16"/>
                <w:szCs w:val="16"/>
                <w:color w:val="252525"/>
              </w:rPr>
              <w:t>(50,000)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860" w:type="dxa"/>
            <w:vAlign w:val="bottom"/>
          </w:tcPr>
          <w:p>
            <w:pPr>
              <w:spacing w:after="0"/>
              <w:rPr>
                <w:sz w:val="24"/>
                <w:szCs w:val="24"/>
                <w:color w:val="auto"/>
              </w:rPr>
            </w:pPr>
          </w:p>
        </w:tc>
        <w:tc>
          <w:tcPr>
            <w:tcW w:w="1320" w:type="dxa"/>
            <w:vAlign w:val="bottom"/>
          </w:tcPr>
          <w:p>
            <w:pPr>
              <w:ind w:left="460"/>
              <w:spacing w:after="0"/>
              <w:rPr>
                <w:sz w:val="20"/>
                <w:szCs w:val="20"/>
                <w:color w:val="auto"/>
              </w:rPr>
            </w:pPr>
            <w:r>
              <w:rPr>
                <w:rFonts w:ascii="Arial" w:cs="Arial" w:eastAsia="Arial" w:hAnsi="Arial"/>
                <w:sz w:val="16"/>
                <w:szCs w:val="16"/>
                <w:color w:val="252525"/>
              </w:rPr>
              <w:t>(100,000)</w:t>
            </w:r>
          </w:p>
        </w:tc>
        <w:tc>
          <w:tcPr>
            <w:tcW w:w="160" w:type="dxa"/>
            <w:vAlign w:val="bottom"/>
            <w:vMerge w:val="restart"/>
            <w:textDirection w:val="btLr"/>
          </w:tcPr>
          <w:p>
            <w:pPr>
              <w:ind w:left="1"/>
              <w:spacing w:after="0" w:line="208" w:lineRule="auto"/>
              <w:rPr>
                <w:sz w:val="20"/>
                <w:szCs w:val="20"/>
                <w:color w:val="auto"/>
              </w:rPr>
            </w:pPr>
            <w:r>
              <w:rPr>
                <w:rFonts w:ascii="Arial" w:cs="Arial" w:eastAsia="Arial" w:hAnsi="Arial"/>
                <w:sz w:val="16"/>
                <w:szCs w:val="16"/>
                <w:color w:val="252525"/>
              </w:rPr>
              <w:t>thousands)</w:t>
            </w:r>
          </w:p>
        </w:tc>
        <w:tc>
          <w:tcPr>
            <w:tcW w:w="0" w:type="dxa"/>
            <w:vAlign w:val="bottom"/>
          </w:tcPr>
          <w:p>
            <w:pPr>
              <w:spacing w:after="0"/>
              <w:rPr>
                <w:sz w:val="1"/>
                <w:szCs w:val="1"/>
                <w:color w:val="auto"/>
              </w:rPr>
            </w:pPr>
          </w:p>
        </w:tc>
      </w:tr>
      <w:tr>
        <w:trPr>
          <w:trHeight w:val="514"/>
        </w:trPr>
        <w:tc>
          <w:tcPr>
            <w:tcW w:w="860" w:type="dxa"/>
            <w:vAlign w:val="bottom"/>
          </w:tcPr>
          <w:p>
            <w:pPr>
              <w:spacing w:after="0"/>
              <w:rPr>
                <w:sz w:val="24"/>
                <w:szCs w:val="24"/>
                <w:color w:val="auto"/>
              </w:rPr>
            </w:pPr>
          </w:p>
        </w:tc>
        <w:tc>
          <w:tcPr>
            <w:tcW w:w="1320" w:type="dxa"/>
            <w:vAlign w:val="bottom"/>
            <w:textDirection w:val="btLr"/>
          </w:tcPr>
          <w:p>
            <w:pPr>
              <w:ind w:left="1171"/>
              <w:spacing w:after="0"/>
              <w:rPr>
                <w:sz w:val="20"/>
                <w:szCs w:val="20"/>
                <w:color w:val="auto"/>
              </w:rPr>
            </w:pPr>
            <w:r>
              <w:rPr>
                <w:rFonts w:ascii="Arial" w:cs="Arial" w:eastAsia="Arial" w:hAnsi="Arial"/>
                <w:sz w:val="13"/>
                <w:szCs w:val="13"/>
                <w:color w:val="252525"/>
                <w:w w:val="71"/>
              </w:rPr>
              <w:t>NetLoss</w:t>
            </w: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320" w:type="dxa"/>
            <w:vAlign w:val="bottom"/>
          </w:tcPr>
          <w:p>
            <w:pPr>
              <w:ind w:left="460"/>
              <w:spacing w:after="0"/>
              <w:rPr>
                <w:sz w:val="20"/>
                <w:szCs w:val="20"/>
                <w:color w:val="auto"/>
              </w:rPr>
            </w:pPr>
            <w:r>
              <w:rPr>
                <w:rFonts w:ascii="Arial" w:cs="Arial" w:eastAsia="Arial" w:hAnsi="Arial"/>
                <w:sz w:val="16"/>
                <w:szCs w:val="16"/>
                <w:color w:val="252525"/>
              </w:rPr>
              <w:t>(150,000)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extDirection w:val="btLr"/>
          </w:tcPr>
          <w:p>
            <w:pPr>
              <w:ind w:left="1"/>
              <w:spacing w:after="0" w:line="208" w:lineRule="auto"/>
              <w:rPr>
                <w:sz w:val="20"/>
                <w:szCs w:val="20"/>
                <w:color w:val="auto"/>
              </w:rPr>
            </w:pPr>
            <w:r>
              <w:rPr>
                <w:rFonts w:ascii="Arial" w:cs="Arial" w:eastAsia="Arial" w:hAnsi="Arial"/>
                <w:sz w:val="16"/>
                <w:szCs w:val="16"/>
                <w:color w:val="252525"/>
              </w:rPr>
              <w:t>(in</w:t>
            </w:r>
          </w:p>
        </w:tc>
        <w:tc>
          <w:tcPr>
            <w:tcW w:w="0" w:type="dxa"/>
            <w:vAlign w:val="bottom"/>
          </w:tcPr>
          <w:p>
            <w:pPr>
              <w:spacing w:after="0"/>
              <w:rPr>
                <w:sz w:val="1"/>
                <w:szCs w:val="1"/>
                <w:color w:val="auto"/>
              </w:rPr>
            </w:pPr>
          </w:p>
        </w:tc>
      </w:tr>
      <w:tr>
        <w:trPr>
          <w:trHeight w:val="334"/>
        </w:trPr>
        <w:tc>
          <w:tcPr>
            <w:tcW w:w="860" w:type="dxa"/>
            <w:vAlign w:val="bottom"/>
          </w:tcPr>
          <w:p>
            <w:pPr>
              <w:jc w:val="right"/>
              <w:ind w:right="380"/>
              <w:spacing w:after="0"/>
              <w:rPr>
                <w:sz w:val="20"/>
                <w:szCs w:val="20"/>
                <w:color w:val="auto"/>
              </w:rPr>
            </w:pPr>
            <w:r>
              <w:rPr>
                <w:rFonts w:ascii="Arial" w:cs="Arial" w:eastAsia="Arial" w:hAnsi="Arial"/>
                <w:sz w:val="16"/>
                <w:szCs w:val="16"/>
                <w:color w:val="252525"/>
                <w:w w:val="94"/>
              </w:rPr>
              <w:t>4,835</w:t>
            </w:r>
          </w:p>
        </w:tc>
        <w:tc>
          <w:tcPr>
            <w:tcW w:w="1320" w:type="dxa"/>
            <w:vAlign w:val="bottom"/>
          </w:tcPr>
          <w:p>
            <w:pPr>
              <w:ind w:left="460"/>
              <w:spacing w:after="0"/>
              <w:rPr>
                <w:sz w:val="20"/>
                <w:szCs w:val="20"/>
                <w:color w:val="auto"/>
              </w:rPr>
            </w:pPr>
            <w:r>
              <w:rPr>
                <w:rFonts w:ascii="Arial" w:cs="Arial" w:eastAsia="Arial" w:hAnsi="Arial"/>
                <w:sz w:val="16"/>
                <w:szCs w:val="16"/>
                <w:color w:val="252525"/>
              </w:rPr>
              <w:t>(200,000)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480"/>
        <w:spacing w:after="0"/>
        <w:rPr>
          <w:sz w:val="20"/>
          <w:szCs w:val="20"/>
          <w:color w:val="auto"/>
        </w:rPr>
      </w:pPr>
      <w:r>
        <w:rPr>
          <w:rFonts w:ascii="Arial" w:cs="Arial" w:eastAsia="Arial" w:hAnsi="Arial"/>
          <w:sz w:val="16"/>
          <w:szCs w:val="16"/>
          <w:color w:val="686868"/>
        </w:rPr>
        <w:t>(258,757)</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252525"/>
              </w:rPr>
              <w:t>1,728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252525"/>
              </w:rPr>
              <w:t>(250,000)</w:t>
            </w:r>
          </w:p>
        </w:tc>
        <w:tc>
          <w:tcPr>
            <w:tcW w:w="0" w:type="dxa"/>
            <w:vAlign w:val="bottom"/>
          </w:tcPr>
          <w:p>
            <w:pPr>
              <w:spacing w:after="0"/>
              <w:rPr>
                <w:sz w:val="1"/>
                <w:szCs w:val="1"/>
                <w:color w:val="auto"/>
              </w:rPr>
            </w:pPr>
          </w:p>
        </w:tc>
      </w:tr>
      <w:tr>
        <w:trPr>
          <w:trHeight w:val="76"/>
        </w:trPr>
        <w:tc>
          <w:tcPr>
            <w:tcW w:w="580" w:type="dxa"/>
            <w:vAlign w:val="bottom"/>
            <w:tcBorders>
              <w:bottom w:val="single" w:sz="8" w:color="262626"/>
            </w:tcBorders>
            <w:gridSpan w:val="2"/>
            <w:vMerge w:val="continue"/>
          </w:tcPr>
          <w:p>
            <w:pPr>
              <w:spacing w:after="0"/>
              <w:rPr>
                <w:sz w:val="6"/>
                <w:szCs w:val="6"/>
                <w:color w:val="auto"/>
              </w:rPr>
            </w:pPr>
          </w:p>
        </w:tc>
        <w:tc>
          <w:tcPr>
            <w:tcW w:w="140" w:type="dxa"/>
            <w:vAlign w:val="bottom"/>
            <w:tcBorders>
              <w:bottom w:val="single" w:sz="8" w:color="262626"/>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252525"/>
              </w:rPr>
              <w:t>(300,000)</w:t>
            </w:r>
          </w:p>
        </w:tc>
        <w:tc>
          <w:tcPr>
            <w:tcW w:w="0" w:type="dxa"/>
            <w:vAlign w:val="bottom"/>
          </w:tcPr>
          <w:p>
            <w:pPr>
              <w:spacing w:after="0"/>
              <w:rPr>
                <w:sz w:val="1"/>
                <w:szCs w:val="1"/>
                <w:color w:val="auto"/>
              </w:rPr>
            </w:pPr>
          </w:p>
        </w:tc>
      </w:tr>
      <w:tr>
        <w:trPr>
          <w:trHeight w:val="470"/>
        </w:trPr>
        <w:tc>
          <w:tcPr>
            <w:tcW w:w="60" w:type="dxa"/>
            <w:vAlign w:val="bottom"/>
          </w:tcPr>
          <w:p>
            <w:pPr>
              <w:spacing w:after="0"/>
              <w:rPr>
                <w:sz w:val="24"/>
                <w:szCs w:val="24"/>
                <w:color w:val="auto"/>
              </w:rPr>
            </w:pPr>
          </w:p>
        </w:tc>
        <w:tc>
          <w:tcPr>
            <w:tcW w:w="520" w:type="dxa"/>
            <w:vAlign w:val="bottom"/>
            <w:shd w:val="clear" w:color="auto" w:fill="8F8F8F"/>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1760"/>
        <w:spacing w:after="0"/>
        <w:rPr>
          <w:sz w:val="20"/>
          <w:szCs w:val="20"/>
          <w:color w:val="auto"/>
        </w:rPr>
      </w:pPr>
      <w:r>
        <w:rPr>
          <w:rFonts w:ascii="Arial" w:cs="Arial" w:eastAsia="Arial" w:hAnsi="Arial"/>
          <w:sz w:val="15"/>
          <w:szCs w:val="15"/>
          <w:color w:val="252525"/>
        </w:rPr>
        <w:t>December 31,</w:t>
      </w:r>
    </w:p>
    <w:p>
      <w:pPr>
        <w:spacing w:after="0" w:line="34"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252525"/>
        </w:rPr>
        <w:t>2025</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6"/>
          <w:szCs w:val="16"/>
          <w:color w:val="252525"/>
        </w:rPr>
        <w:t>Net Loss (in thousands)</w:t>
      </w:r>
    </w:p>
    <w:p>
      <w:pPr>
        <w:spacing w:after="0" w:line="232" w:lineRule="exact"/>
        <w:rPr>
          <w:sz w:val="20"/>
          <w:szCs w:val="20"/>
          <w:color w:val="auto"/>
        </w:rPr>
      </w:pPr>
    </w:p>
    <w:p>
      <w:pPr>
        <w:sectPr>
          <w:pgSz w:w="11880" w:h="15480" w:orient="portrait"/>
          <w:cols w:equalWidth="0" w:num="3">
            <w:col w:w="744" w:space="96"/>
            <w:col w:w="6460" w:space="60"/>
            <w:col w:w="2760"/>
          </w:cols>
          <w:pgMar w:left="880" w:top="544" w:right="880" w:bottom="96" w:gutter="0" w:footer="0" w:header="0"/>
          <w:type w:val="continuous"/>
        </w:sectPr>
      </w:pPr>
    </w:p>
    <w:p>
      <w:pPr>
        <w:spacing w:after="0" w:line="39"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45</w:t>
      </w:r>
    </w:p>
    <w:p>
      <w:pPr>
        <w:sectPr>
          <w:pgSz w:w="11880" w:h="15480" w:orient="portrait"/>
          <w:cols w:equalWidth="0" w:num="1">
            <w:col w:w="10120"/>
          </w:cols>
          <w:pgMar w:left="880" w:top="544" w:right="880" w:bottom="96"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Relationship between Compensation Actually Paid and Year-End Cash &amp; Investment Balance</w:t>
      </w:r>
    </w:p>
    <w:p>
      <w:pPr>
        <w:spacing w:after="0" w:line="180" w:lineRule="exact"/>
        <w:rPr>
          <w:sz w:val="20"/>
          <w:szCs w:val="20"/>
          <w:color w:val="auto"/>
        </w:rPr>
      </w:pPr>
    </w:p>
    <w:p>
      <w:pPr>
        <w:ind w:right="140"/>
        <w:spacing w:after="0" w:line="297" w:lineRule="auto"/>
        <w:rPr>
          <w:sz w:val="20"/>
          <w:szCs w:val="20"/>
          <w:color w:val="auto"/>
        </w:rPr>
      </w:pPr>
      <w:r>
        <w:rPr>
          <w:rFonts w:ascii="Arial" w:cs="Arial" w:eastAsia="Arial" w:hAnsi="Arial"/>
          <w:sz w:val="18"/>
          <w:szCs w:val="18"/>
          <w:color w:val="202020"/>
        </w:rPr>
        <w:t>The graph below illustrates the relationship between compensation actually paid to the Company’s PEO and other NEOs and the Company’s year-end cash and investment balance.</w:t>
      </w:r>
    </w:p>
    <w:p>
      <w:pPr>
        <w:sectPr>
          <w:pgSz w:w="11880" w:h="15480" w:orient="portrait"/>
          <w:cols w:equalWidth="0" w:num="1">
            <w:col w:w="10140"/>
          </w:cols>
          <w:pgMar w:left="880" w:top="544" w:right="86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21" w:type="dxa"/>
        <w:tblCellMar>
          <w:top w:w="0" w:type="dxa"/>
          <w:left w:w="0" w:type="dxa"/>
          <w:bottom w:w="0" w:type="dxa"/>
          <w:right w:w="0" w:type="dxa"/>
        </w:tblCellMar>
      </w:tblPr>
      <w:tr>
        <w:trPr>
          <w:trHeight w:val="320"/>
        </w:trPr>
        <w:tc>
          <w:tcPr>
            <w:tcW w:w="172" w:type="dxa"/>
            <w:vAlign w:val="bottom"/>
            <w:textDirection w:val="btLr"/>
          </w:tcPr>
          <w:p>
            <w:pPr>
              <w:spacing w:after="0"/>
              <w:rPr>
                <w:sz w:val="20"/>
                <w:szCs w:val="20"/>
                <w:color w:val="auto"/>
              </w:rPr>
            </w:pPr>
            <w:r>
              <w:rPr>
                <w:rFonts w:ascii="Arial" w:cs="Arial" w:eastAsia="Arial" w:hAnsi="Arial"/>
                <w:sz w:val="15"/>
                <w:szCs w:val="15"/>
                <w:color w:val="252525"/>
              </w:rPr>
              <w:t>Paid</w:t>
            </w:r>
          </w:p>
        </w:tc>
      </w:tr>
    </w:tbl>
    <w:p>
      <w:pPr>
        <w:spacing w:after="0" w:line="40" w:lineRule="exact"/>
        <w:rPr>
          <w:sz w:val="20"/>
          <w:szCs w:val="20"/>
          <w:color w:val="auto"/>
        </w:rPr>
      </w:pPr>
    </w:p>
    <w:tbl>
      <w:tblPr>
        <w:tblLayout w:type="fixed"/>
        <w:tblInd w:w="384" w:type="dxa"/>
        <w:tblCellMar>
          <w:top w:w="0" w:type="dxa"/>
          <w:left w:w="0" w:type="dxa"/>
          <w:bottom w:w="0" w:type="dxa"/>
          <w:right w:w="0" w:type="dxa"/>
        </w:tblCellMar>
      </w:tblPr>
      <w:tr>
        <w:trPr>
          <w:trHeight w:val="1620"/>
        </w:trPr>
        <w:tc>
          <w:tcPr>
            <w:tcW w:w="390" w:type="dxa"/>
            <w:vAlign w:val="bottom"/>
            <w:textDirection w:val="btLr"/>
          </w:tcPr>
          <w:p>
            <w:pPr>
              <w:ind w:firstLine="489"/>
              <w:spacing w:after="0" w:line="271" w:lineRule="auto"/>
              <w:rPr>
                <w:sz w:val="20"/>
                <w:szCs w:val="20"/>
                <w:color w:val="auto"/>
              </w:rPr>
            </w:pPr>
            <w:r>
              <w:rPr>
                <w:rFonts w:ascii="Arial" w:cs="Arial" w:eastAsia="Arial" w:hAnsi="Arial"/>
                <w:sz w:val="15"/>
                <w:szCs w:val="15"/>
                <w:color w:val="252525"/>
              </w:rPr>
              <w:t>(in thousands) Compensation Actually</w:t>
            </w: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252525"/>
        </w:rPr>
        <w:t>16,000</w:t>
      </w:r>
    </w:p>
    <w:p>
      <w:pPr>
        <w:spacing w:after="0" w:line="277"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color w:val="252525"/>
        </w:rPr>
        <w:t>14,000</w:t>
      </w:r>
      <w:r>
        <w:rPr>
          <w:sz w:val="20"/>
          <w:szCs w:val="20"/>
          <w:color w:val="auto"/>
        </w:rPr>
        <w:tab/>
      </w:r>
      <w:r>
        <w:rPr>
          <w:rFonts w:ascii="Arial" w:cs="Arial" w:eastAsia="Arial" w:hAnsi="Arial"/>
          <w:sz w:val="32"/>
          <w:szCs w:val="32"/>
          <w:color w:val="252525"/>
          <w:vertAlign w:val="superscript"/>
        </w:rPr>
        <w:t>13,903</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252525"/>
        </w:rPr>
        <w:t>12,000</w:t>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252525"/>
        </w:rPr>
        <w:t>10,000</w:t>
      </w:r>
    </w:p>
    <w:p>
      <w:pPr>
        <w:ind w:left="80"/>
        <w:spacing w:after="0"/>
        <w:tabs>
          <w:tab w:leader="none" w:pos="1360" w:val="left"/>
        </w:tabs>
        <w:rPr>
          <w:sz w:val="20"/>
          <w:szCs w:val="20"/>
          <w:color w:val="auto"/>
        </w:rPr>
      </w:pPr>
      <w:r>
        <w:rPr>
          <w:rFonts w:ascii="Arial" w:cs="Arial" w:eastAsia="Arial" w:hAnsi="Arial"/>
          <w:sz w:val="30"/>
          <w:szCs w:val="30"/>
          <w:color w:val="252525"/>
          <w:vertAlign w:val="subscript"/>
        </w:rPr>
        <w:t>8,000</w:t>
      </w:r>
      <w:r>
        <w:rPr>
          <w:sz w:val="20"/>
          <w:szCs w:val="20"/>
          <w:color w:val="auto"/>
        </w:rPr>
        <w:tab/>
      </w:r>
      <w:r>
        <w:rPr>
          <w:rFonts w:ascii="Arial" w:cs="Arial" w:eastAsia="Arial" w:hAnsi="Arial"/>
          <w:sz w:val="16"/>
          <w:szCs w:val="16"/>
          <w:color w:val="686868"/>
        </w:rPr>
        <w:t>408,250</w:t>
      </w: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Arial" w:cs="Arial" w:eastAsia="Arial" w:hAnsi="Arial"/>
          <w:sz w:val="15"/>
          <w:szCs w:val="15"/>
          <w:color w:val="252525"/>
        </w:rPr>
        <w:t>6,000</w:t>
      </w:r>
    </w:p>
    <w:p>
      <w:pPr>
        <w:ind w:left="1380"/>
        <w:spacing w:after="0" w:line="217" w:lineRule="auto"/>
        <w:rPr>
          <w:sz w:val="20"/>
          <w:szCs w:val="20"/>
          <w:color w:val="auto"/>
        </w:rPr>
      </w:pPr>
      <w:r>
        <w:rPr>
          <w:rFonts w:ascii="Arial" w:cs="Arial" w:eastAsia="Arial" w:hAnsi="Arial"/>
          <w:sz w:val="16"/>
          <w:szCs w:val="16"/>
          <w:color w:val="252525"/>
        </w:rPr>
        <w:t>5,116</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5"/>
          <w:szCs w:val="15"/>
          <w:color w:val="252525"/>
        </w:rPr>
        <w:t>4,000</w:t>
      </w:r>
    </w:p>
    <w:p>
      <w:pPr>
        <w:spacing w:after="0" w:line="371" w:lineRule="exact"/>
        <w:rPr>
          <w:sz w:val="20"/>
          <w:szCs w:val="20"/>
          <w:color w:val="auto"/>
        </w:rPr>
      </w:pPr>
    </w:p>
    <w:p>
      <w:pPr>
        <w:ind w:left="80"/>
        <w:spacing w:after="0"/>
        <w:rPr>
          <w:sz w:val="20"/>
          <w:szCs w:val="20"/>
          <w:color w:val="auto"/>
        </w:rPr>
      </w:pPr>
      <w:r>
        <w:rPr>
          <w:rFonts w:ascii="Arial" w:cs="Arial" w:eastAsia="Arial" w:hAnsi="Arial"/>
          <w:sz w:val="15"/>
          <w:szCs w:val="15"/>
          <w:color w:val="252525"/>
        </w:rPr>
        <w:t>2,000</w:t>
      </w:r>
    </w:p>
    <w:p>
      <w:pPr>
        <w:spacing w:after="0" w:line="371" w:lineRule="exact"/>
        <w:rPr>
          <w:sz w:val="20"/>
          <w:szCs w:val="20"/>
          <w:color w:val="auto"/>
        </w:rPr>
      </w:pPr>
    </w:p>
    <w:p>
      <w:pPr>
        <w:ind w:left="380"/>
        <w:spacing w:after="0"/>
        <w:rPr>
          <w:sz w:val="20"/>
          <w:szCs w:val="20"/>
          <w:color w:val="auto"/>
        </w:rPr>
      </w:pPr>
      <w:r>
        <w:rPr>
          <w:rFonts w:ascii="Arial" w:cs="Arial" w:eastAsia="Arial" w:hAnsi="Arial"/>
          <w:sz w:val="15"/>
          <w:szCs w:val="15"/>
          <w:color w:val="252525"/>
        </w:rPr>
        <w:t>0</w:t>
      </w:r>
    </w:p>
    <w:p>
      <w:pPr>
        <w:spacing w:after="0" w:line="168" w:lineRule="exact"/>
        <w:rPr>
          <w:sz w:val="20"/>
          <w:szCs w:val="20"/>
          <w:color w:val="auto"/>
        </w:rPr>
      </w:pPr>
    </w:p>
    <w:p>
      <w:pPr>
        <w:jc w:val="center"/>
        <w:ind w:left="-639"/>
        <w:spacing w:after="0"/>
        <w:rPr>
          <w:sz w:val="20"/>
          <w:szCs w:val="20"/>
          <w:color w:val="auto"/>
        </w:rPr>
      </w:pPr>
      <w:r>
        <w:rPr>
          <w:rFonts w:ascii="Arial" w:cs="Arial" w:eastAsia="Arial" w:hAnsi="Arial"/>
          <w:sz w:val="16"/>
          <w:szCs w:val="16"/>
          <w:color w:val="252525"/>
        </w:rPr>
        <w:t>December 31,</w:t>
      </w:r>
    </w:p>
    <w:p>
      <w:pPr>
        <w:spacing w:after="0" w:line="24" w:lineRule="exact"/>
        <w:rPr>
          <w:sz w:val="20"/>
          <w:szCs w:val="20"/>
          <w:color w:val="auto"/>
        </w:rPr>
      </w:pPr>
    </w:p>
    <w:p>
      <w:pPr>
        <w:jc w:val="center"/>
        <w:ind w:left="-639"/>
        <w:spacing w:after="0"/>
        <w:rPr>
          <w:sz w:val="20"/>
          <w:szCs w:val="20"/>
          <w:color w:val="auto"/>
        </w:rPr>
      </w:pPr>
      <w:r>
        <w:rPr>
          <w:rFonts w:ascii="Arial" w:cs="Arial" w:eastAsia="Arial" w:hAnsi="Arial"/>
          <w:sz w:val="16"/>
          <w:szCs w:val="16"/>
          <w:color w:val="252525"/>
        </w:rPr>
        <w:t>2021</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252525"/>
        </w:rPr>
        <w:t>Compensation: PEO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-132080</wp:posOffset>
                </wp:positionH>
                <wp:positionV relativeFrom="paragraph">
                  <wp:posOffset>-41910</wp:posOffset>
                </wp:positionV>
                <wp:extent cx="27178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780" cy="4763"/>
                        </a:xfrm>
                        <a:prstGeom prst="line">
                          <a:avLst/>
                        </a:prstGeom>
                        <a:solidFill>
                          <a:srgbClr val="FFFFFF"/>
                        </a:solidFill>
                        <a:ln w="54038">
                          <a:solidFill>
                            <a:srgbClr val="20202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999pt,-3.2999pt" to="11pt,-3.2999pt" o:allowincell="f" strokecolor="#202020" strokeweight="4.255pt"/>
            </w:pict>
          </mc:Fallback>
        </mc:AlternateConten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6"/>
                <w:szCs w:val="16"/>
                <w:color w:val="252525"/>
              </w:rPr>
              <w:t>800,000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16"/>
                <w:szCs w:val="16"/>
                <w:color w:val="686868"/>
              </w:rPr>
              <w:t>725,281</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700,000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20" w:type="dxa"/>
            <w:vAlign w:val="bottom"/>
            <w:vMerge w:val="restart"/>
            <w:textDirection w:val="btLr"/>
          </w:tcPr>
          <w:p>
            <w:pPr>
              <w:ind w:left="15"/>
              <w:spacing w:after="0"/>
              <w:rPr>
                <w:sz w:val="20"/>
                <w:szCs w:val="20"/>
                <w:color w:val="auto"/>
              </w:rPr>
            </w:pPr>
            <w:r>
              <w:rPr>
                <w:rFonts w:ascii="Arial" w:cs="Arial" w:eastAsia="Arial" w:hAnsi="Arial"/>
                <w:sz w:val="16"/>
                <w:szCs w:val="16"/>
                <w:color w:val="252525"/>
                <w:w w:val="99"/>
              </w:rPr>
              <w:t>balance</w:t>
            </w: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600,000</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520" w:type="dxa"/>
            <w:vAlign w:val="bottom"/>
            <w:tcBorders>
              <w:bottom w:val="single" w:sz="8" w:color="202020"/>
            </w:tcBorders>
            <w:gridSpan w:val="3"/>
          </w:tcPr>
          <w:p>
            <w:pPr>
              <w:jc w:val="right"/>
              <w:ind w:right="20"/>
              <w:spacing w:after="0"/>
              <w:rPr>
                <w:sz w:val="20"/>
                <w:szCs w:val="20"/>
                <w:color w:val="auto"/>
              </w:rPr>
            </w:pPr>
            <w:r>
              <w:rPr>
                <w:rFonts w:ascii="Arial" w:cs="Arial" w:eastAsia="Arial" w:hAnsi="Arial"/>
                <w:sz w:val="16"/>
                <w:szCs w:val="16"/>
                <w:color w:val="252525"/>
                <w:w w:val="98"/>
              </w:rPr>
              <w:t>10,096</w:t>
            </w:r>
          </w:p>
        </w:tc>
        <w:tc>
          <w:tcPr>
            <w:tcW w:w="60" w:type="dxa"/>
            <w:vAlign w:val="bottom"/>
            <w:tcBorders>
              <w:bottom w:val="single" w:sz="8" w:color="262626"/>
            </w:tcBorders>
          </w:tcPr>
          <w:p>
            <w:pPr>
              <w:spacing w:after="0"/>
              <w:rPr>
                <w:sz w:val="24"/>
                <w:szCs w:val="24"/>
                <w:color w:val="auto"/>
              </w:rPr>
            </w:pPr>
          </w:p>
        </w:tc>
        <w:tc>
          <w:tcPr>
            <w:tcW w:w="50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200" w:type="dxa"/>
            <w:vAlign w:val="bottom"/>
            <w:tcBorders>
              <w:bottom w:val="single" w:sz="8" w:color="262626"/>
            </w:tcBorders>
          </w:tcPr>
          <w:p>
            <w:pPr>
              <w:spacing w:after="0"/>
              <w:rPr>
                <w:sz w:val="24"/>
                <w:szCs w:val="24"/>
                <w:color w:val="auto"/>
              </w:rPr>
            </w:pPr>
          </w:p>
        </w:tc>
        <w:tc>
          <w:tcPr>
            <w:tcW w:w="3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1240" w:type="dxa"/>
            <w:vAlign w:val="bottom"/>
            <w:tcBorders>
              <w:bottom w:val="single" w:sz="8" w:color="262626"/>
            </w:tcBorders>
            <w:gridSpan w:val="4"/>
          </w:tcPr>
          <w:p>
            <w:pPr>
              <w:jc w:val="right"/>
              <w:spacing w:after="0"/>
              <w:rPr>
                <w:sz w:val="20"/>
                <w:szCs w:val="20"/>
                <w:color w:val="auto"/>
              </w:rPr>
            </w:pPr>
            <w:r>
              <w:rPr>
                <w:rFonts w:ascii="Arial" w:cs="Arial" w:eastAsia="Arial" w:hAnsi="Arial"/>
                <w:sz w:val="16"/>
                <w:szCs w:val="16"/>
                <w:color w:val="686868"/>
              </w:rPr>
              <w:t>518,573</w:t>
            </w:r>
          </w:p>
        </w:tc>
        <w:tc>
          <w:tcPr>
            <w:tcW w:w="60" w:type="dxa"/>
            <w:vAlign w:val="bottom"/>
          </w:tcPr>
          <w:p>
            <w:pPr>
              <w:spacing w:after="0"/>
              <w:rPr>
                <w:sz w:val="24"/>
                <w:szCs w:val="24"/>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500,000</w:t>
            </w:r>
          </w:p>
        </w:tc>
        <w:tc>
          <w:tcPr>
            <w:tcW w:w="320" w:type="dxa"/>
            <w:vAlign w:val="bottom"/>
            <w:vMerge w:val="restart"/>
            <w:textDirection w:val="btLr"/>
          </w:tcPr>
          <w:p>
            <w:pPr>
              <w:ind w:left="228"/>
              <w:spacing w:after="0"/>
              <w:rPr>
                <w:sz w:val="20"/>
                <w:szCs w:val="20"/>
                <w:color w:val="auto"/>
              </w:rPr>
            </w:pPr>
            <w:r>
              <w:rPr>
                <w:rFonts w:ascii="Arial" w:cs="Arial" w:eastAsia="Arial" w:hAnsi="Arial"/>
                <w:sz w:val="8"/>
                <w:szCs w:val="8"/>
                <w:color w:val="252525"/>
                <w:w w:val="73"/>
              </w:rPr>
              <w:t>cash&amp;investment(inthousands)</w:t>
            </w:r>
          </w:p>
        </w:tc>
        <w:tc>
          <w:tcPr>
            <w:tcW w:w="0" w:type="dxa"/>
            <w:vAlign w:val="bottom"/>
          </w:tcPr>
          <w:p>
            <w:pPr>
              <w:spacing w:after="0"/>
              <w:rPr>
                <w:sz w:val="1"/>
                <w:szCs w:val="1"/>
                <w:color w:val="auto"/>
              </w:rPr>
            </w:pPr>
          </w:p>
        </w:tc>
      </w:tr>
      <w:tr>
        <w:trPr>
          <w:trHeight w:val="92"/>
        </w:trPr>
        <w:tc>
          <w:tcPr>
            <w:tcW w:w="2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8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gridSpan w:val="4"/>
            <w:vMerge w:val="restart"/>
          </w:tcPr>
          <w:p>
            <w:pPr>
              <w:ind w:left="640"/>
              <w:spacing w:after="0"/>
              <w:rPr>
                <w:sz w:val="20"/>
                <w:szCs w:val="20"/>
                <w:color w:val="auto"/>
              </w:rPr>
            </w:pPr>
            <w:r>
              <w:rPr>
                <w:rFonts w:ascii="Arial" w:cs="Arial" w:eastAsia="Arial" w:hAnsi="Arial"/>
                <w:sz w:val="16"/>
                <w:szCs w:val="16"/>
                <w:color w:val="686868"/>
              </w:rPr>
              <w:t>423,598</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20" w:type="dxa"/>
            <w:vAlign w:val="bottom"/>
            <w:shd w:val="clear" w:color="auto" w:fill="202020"/>
          </w:tcPr>
          <w:p>
            <w:pPr>
              <w:spacing w:after="0"/>
              <w:rPr>
                <w:sz w:val="24"/>
                <w:szCs w:val="24"/>
                <w:color w:val="auto"/>
              </w:rPr>
            </w:pPr>
          </w:p>
        </w:tc>
        <w:tc>
          <w:tcPr>
            <w:tcW w:w="420" w:type="dxa"/>
            <w:vAlign w:val="bottom"/>
            <w:shd w:val="clear" w:color="auto" w:fill="202020"/>
          </w:tcPr>
          <w:p>
            <w:pPr>
              <w:spacing w:after="0"/>
              <w:rPr>
                <w:sz w:val="24"/>
                <w:szCs w:val="24"/>
                <w:color w:val="auto"/>
              </w:rPr>
            </w:pPr>
          </w:p>
        </w:tc>
        <w:tc>
          <w:tcPr>
            <w:tcW w:w="80" w:type="dxa"/>
            <w:vAlign w:val="bottom"/>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6"/>
                <w:szCs w:val="16"/>
                <w:color w:val="252525"/>
              </w:rPr>
              <w:t>300,000</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shd w:val="clear" w:color="auto" w:fill="202020"/>
          </w:tcPr>
          <w:p>
            <w:pPr>
              <w:spacing w:after="0"/>
              <w:rPr>
                <w:sz w:val="6"/>
                <w:szCs w:val="6"/>
                <w:color w:val="auto"/>
              </w:rPr>
            </w:pPr>
          </w:p>
        </w:tc>
        <w:tc>
          <w:tcPr>
            <w:tcW w:w="420" w:type="dxa"/>
            <w:vAlign w:val="bottom"/>
            <w:shd w:val="clear" w:color="auto" w:fill="202020"/>
          </w:tcPr>
          <w:p>
            <w:pPr>
              <w:spacing w:after="0"/>
              <w:rPr>
                <w:sz w:val="6"/>
                <w:szCs w:val="6"/>
                <w:color w:val="auto"/>
              </w:rPr>
            </w:pPr>
          </w:p>
        </w:tc>
        <w:tc>
          <w:tcPr>
            <w:tcW w:w="8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400,000</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202020"/>
            </w:tcBorders>
            <w:shd w:val="clear" w:color="auto" w:fill="202020"/>
          </w:tcPr>
          <w:p>
            <w:pPr>
              <w:spacing w:after="0"/>
              <w:rPr>
                <w:sz w:val="2"/>
                <w:szCs w:val="2"/>
                <w:color w:val="auto"/>
              </w:rPr>
            </w:pPr>
          </w:p>
        </w:tc>
        <w:tc>
          <w:tcPr>
            <w:tcW w:w="420" w:type="dxa"/>
            <w:vAlign w:val="bottom"/>
            <w:tcBorders>
              <w:bottom w:val="single" w:sz="8" w:color="202020"/>
            </w:tcBorders>
            <w:shd w:val="clear" w:color="auto" w:fill="202020"/>
          </w:tcPr>
          <w:p>
            <w:pPr>
              <w:spacing w:after="0"/>
              <w:rPr>
                <w:sz w:val="2"/>
                <w:szCs w:val="2"/>
                <w:color w:val="auto"/>
              </w:rPr>
            </w:pPr>
          </w:p>
        </w:tc>
        <w:tc>
          <w:tcPr>
            <w:tcW w:w="80" w:type="dxa"/>
            <w:vAlign w:val="bottom"/>
            <w:tcBorders>
              <w:bottom w:val="single" w:sz="8" w:color="202020"/>
            </w:tcBorders>
            <w:shd w:val="clear" w:color="auto" w:fill="202020"/>
          </w:tcPr>
          <w:p>
            <w:pPr>
              <w:spacing w:after="0"/>
              <w:rPr>
                <w:sz w:val="2"/>
                <w:szCs w:val="2"/>
                <w:color w:val="auto"/>
              </w:rPr>
            </w:pPr>
          </w:p>
        </w:tc>
        <w:tc>
          <w:tcPr>
            <w:tcW w:w="60" w:type="dxa"/>
            <w:vAlign w:val="bottom"/>
            <w:tcBorders>
              <w:bottom w:val="single" w:sz="8" w:color="262626"/>
            </w:tcBorders>
          </w:tcPr>
          <w:p>
            <w:pPr>
              <w:spacing w:after="0"/>
              <w:rPr>
                <w:sz w:val="2"/>
                <w:szCs w:val="2"/>
                <w:color w:val="auto"/>
              </w:rPr>
            </w:pPr>
          </w:p>
        </w:tc>
        <w:tc>
          <w:tcPr>
            <w:tcW w:w="500" w:type="dxa"/>
            <w:vAlign w:val="bottom"/>
            <w:tcBorders>
              <w:bottom w:val="single" w:sz="8" w:color="262626"/>
            </w:tcBorders>
          </w:tcPr>
          <w:p>
            <w:pPr>
              <w:spacing w:after="0"/>
              <w:rPr>
                <w:sz w:val="2"/>
                <w:szCs w:val="2"/>
                <w:color w:val="auto"/>
              </w:rPr>
            </w:pPr>
          </w:p>
        </w:tc>
        <w:tc>
          <w:tcPr>
            <w:tcW w:w="340" w:type="dxa"/>
            <w:vAlign w:val="bottom"/>
            <w:tcBorders>
              <w:bottom w:val="single" w:sz="8" w:color="262626"/>
            </w:tcBorders>
          </w:tcPr>
          <w:p>
            <w:pPr>
              <w:spacing w:after="0"/>
              <w:rPr>
                <w:sz w:val="2"/>
                <w:szCs w:val="2"/>
                <w:color w:val="auto"/>
              </w:rPr>
            </w:pPr>
          </w:p>
        </w:tc>
        <w:tc>
          <w:tcPr>
            <w:tcW w:w="520" w:type="dxa"/>
            <w:vAlign w:val="bottom"/>
            <w:tcBorders>
              <w:bottom w:val="single" w:sz="8" w:color="262626"/>
            </w:tcBorders>
          </w:tcPr>
          <w:p>
            <w:pPr>
              <w:spacing w:after="0"/>
              <w:rPr>
                <w:sz w:val="2"/>
                <w:szCs w:val="2"/>
                <w:color w:val="auto"/>
              </w:rPr>
            </w:pPr>
          </w:p>
        </w:tc>
        <w:tc>
          <w:tcPr>
            <w:tcW w:w="60" w:type="dxa"/>
            <w:vAlign w:val="bottom"/>
            <w:tcBorders>
              <w:bottom w:val="single" w:sz="8" w:color="262626"/>
            </w:tcBorders>
          </w:tcPr>
          <w:p>
            <w:pPr>
              <w:spacing w:after="0"/>
              <w:rPr>
                <w:sz w:val="2"/>
                <w:szCs w:val="2"/>
                <w:color w:val="auto"/>
              </w:rPr>
            </w:pPr>
          </w:p>
        </w:tc>
        <w:tc>
          <w:tcPr>
            <w:tcW w:w="520" w:type="dxa"/>
            <w:vAlign w:val="bottom"/>
            <w:tcBorders>
              <w:bottom w:val="single" w:sz="8" w:color="262626"/>
            </w:tcBorders>
          </w:tcPr>
          <w:p>
            <w:pPr>
              <w:spacing w:after="0"/>
              <w:rPr>
                <w:sz w:val="2"/>
                <w:szCs w:val="2"/>
                <w:color w:val="auto"/>
              </w:rPr>
            </w:pPr>
          </w:p>
        </w:tc>
        <w:tc>
          <w:tcPr>
            <w:tcW w:w="340" w:type="dxa"/>
            <w:vAlign w:val="bottom"/>
            <w:tcBorders>
              <w:bottom w:val="single" w:sz="8" w:color="262626"/>
            </w:tcBorders>
          </w:tcPr>
          <w:p>
            <w:pPr>
              <w:spacing w:after="0"/>
              <w:rPr>
                <w:sz w:val="2"/>
                <w:szCs w:val="2"/>
                <w:color w:val="auto"/>
              </w:rPr>
            </w:pPr>
          </w:p>
        </w:tc>
        <w:tc>
          <w:tcPr>
            <w:tcW w:w="340" w:type="dxa"/>
            <w:vAlign w:val="bottom"/>
            <w:tcBorders>
              <w:bottom w:val="single" w:sz="8" w:color="262626"/>
            </w:tcBorders>
          </w:tcPr>
          <w:p>
            <w:pPr>
              <w:spacing w:after="0"/>
              <w:rPr>
                <w:sz w:val="2"/>
                <w:szCs w:val="2"/>
                <w:color w:val="auto"/>
              </w:rPr>
            </w:pPr>
          </w:p>
        </w:tc>
        <w:tc>
          <w:tcPr>
            <w:tcW w:w="160" w:type="dxa"/>
            <w:vAlign w:val="bottom"/>
            <w:tcBorders>
              <w:bottom w:val="single" w:sz="8" w:color="262626"/>
            </w:tcBorders>
          </w:tcPr>
          <w:p>
            <w:pPr>
              <w:spacing w:after="0"/>
              <w:rPr>
                <w:sz w:val="2"/>
                <w:szCs w:val="2"/>
                <w:color w:val="auto"/>
              </w:rPr>
            </w:pPr>
          </w:p>
        </w:tc>
        <w:tc>
          <w:tcPr>
            <w:tcW w:w="60" w:type="dxa"/>
            <w:vAlign w:val="bottom"/>
            <w:tcBorders>
              <w:bottom w:val="single" w:sz="8" w:color="262626"/>
            </w:tcBorders>
          </w:tcPr>
          <w:p>
            <w:pPr>
              <w:spacing w:after="0"/>
              <w:rPr>
                <w:sz w:val="2"/>
                <w:szCs w:val="2"/>
                <w:color w:val="auto"/>
              </w:rPr>
            </w:pPr>
          </w:p>
        </w:tc>
        <w:tc>
          <w:tcPr>
            <w:tcW w:w="200" w:type="dxa"/>
            <w:vAlign w:val="bottom"/>
            <w:tcBorders>
              <w:bottom w:val="single" w:sz="8" w:color="262626"/>
            </w:tcBorders>
          </w:tcPr>
          <w:p>
            <w:pPr>
              <w:spacing w:after="0"/>
              <w:rPr>
                <w:sz w:val="2"/>
                <w:szCs w:val="2"/>
                <w:color w:val="auto"/>
              </w:rPr>
            </w:pPr>
          </w:p>
        </w:tc>
        <w:tc>
          <w:tcPr>
            <w:tcW w:w="320" w:type="dxa"/>
            <w:vAlign w:val="bottom"/>
            <w:tcBorders>
              <w:bottom w:val="single" w:sz="8" w:color="262626"/>
            </w:tcBorders>
          </w:tcPr>
          <w:p>
            <w:pPr>
              <w:spacing w:after="0"/>
              <w:rPr>
                <w:sz w:val="2"/>
                <w:szCs w:val="2"/>
                <w:color w:val="auto"/>
              </w:rPr>
            </w:pPr>
          </w:p>
        </w:tc>
        <w:tc>
          <w:tcPr>
            <w:tcW w:w="340" w:type="dxa"/>
            <w:vAlign w:val="bottom"/>
            <w:tcBorders>
              <w:bottom w:val="single" w:sz="8" w:color="262626"/>
            </w:tcBorders>
          </w:tcPr>
          <w:p>
            <w:pPr>
              <w:spacing w:after="0"/>
              <w:rPr>
                <w:sz w:val="2"/>
                <w:szCs w:val="2"/>
                <w:color w:val="auto"/>
              </w:rPr>
            </w:pPr>
          </w:p>
        </w:tc>
        <w:tc>
          <w:tcPr>
            <w:tcW w:w="520" w:type="dxa"/>
            <w:vAlign w:val="bottom"/>
            <w:tcBorders>
              <w:bottom w:val="single" w:sz="8" w:color="262626"/>
            </w:tcBorders>
          </w:tcPr>
          <w:p>
            <w:pPr>
              <w:spacing w:after="0"/>
              <w:rPr>
                <w:sz w:val="2"/>
                <w:szCs w:val="2"/>
                <w:color w:val="auto"/>
              </w:rPr>
            </w:pPr>
          </w:p>
        </w:tc>
        <w:tc>
          <w:tcPr>
            <w:tcW w:w="60" w:type="dxa"/>
            <w:vAlign w:val="bottom"/>
            <w:tcBorders>
              <w:bottom w:val="single" w:sz="8" w:color="262626"/>
            </w:tcBorders>
          </w:tcPr>
          <w:p>
            <w:pPr>
              <w:spacing w:after="0"/>
              <w:rPr>
                <w:sz w:val="2"/>
                <w:szCs w:val="2"/>
                <w:color w:val="auto"/>
              </w:rPr>
            </w:pPr>
          </w:p>
        </w:tc>
        <w:tc>
          <w:tcPr>
            <w:tcW w:w="500" w:type="dxa"/>
            <w:vAlign w:val="bottom"/>
            <w:tcBorders>
              <w:bottom w:val="single" w:sz="8" w:color="262626"/>
            </w:tcBorders>
          </w:tcPr>
          <w:p>
            <w:pPr>
              <w:spacing w:after="0"/>
              <w:rPr>
                <w:sz w:val="2"/>
                <w:szCs w:val="2"/>
                <w:color w:val="auto"/>
              </w:rPr>
            </w:pPr>
          </w:p>
        </w:tc>
        <w:tc>
          <w:tcPr>
            <w:tcW w:w="160" w:type="dxa"/>
            <w:vAlign w:val="bottom"/>
            <w:tcBorders>
              <w:bottom w:val="single" w:sz="8" w:color="262626"/>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202020"/>
          </w:tcPr>
          <w:p>
            <w:pPr>
              <w:spacing w:after="0"/>
              <w:rPr>
                <w:sz w:val="7"/>
                <w:szCs w:val="7"/>
                <w:color w:val="auto"/>
              </w:rPr>
            </w:pPr>
          </w:p>
        </w:tc>
        <w:tc>
          <w:tcPr>
            <w:tcW w:w="420" w:type="dxa"/>
            <w:vAlign w:val="bottom"/>
            <w:shd w:val="clear" w:color="auto" w:fill="202020"/>
          </w:tcPr>
          <w:p>
            <w:pPr>
              <w:spacing w:after="0"/>
              <w:rPr>
                <w:sz w:val="7"/>
                <w:szCs w:val="7"/>
                <w:color w:val="auto"/>
              </w:rPr>
            </w:pPr>
          </w:p>
        </w:tc>
        <w:tc>
          <w:tcPr>
            <w:tcW w:w="80" w:type="dxa"/>
            <w:vAlign w:val="bottom"/>
            <w:shd w:val="clear" w:color="auto" w:fill="202020"/>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3"/>
        </w:trPr>
        <w:tc>
          <w:tcPr>
            <w:tcW w:w="2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8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0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200" w:type="dxa"/>
            <w:vAlign w:val="bottom"/>
            <w:tcBorders>
              <w:bottom w:val="single" w:sz="8" w:color="262626"/>
            </w:tcBorders>
          </w:tcPr>
          <w:p>
            <w:pPr>
              <w:spacing w:after="0"/>
              <w:rPr>
                <w:sz w:val="24"/>
                <w:szCs w:val="24"/>
                <w:color w:val="auto"/>
              </w:rPr>
            </w:pPr>
          </w:p>
        </w:tc>
        <w:tc>
          <w:tcPr>
            <w:tcW w:w="3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0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202020"/>
          </w:tcPr>
          <w:p>
            <w:pPr>
              <w:spacing w:after="0"/>
              <w:rPr>
                <w:sz w:val="16"/>
                <w:szCs w:val="16"/>
                <w:color w:val="auto"/>
              </w:rPr>
            </w:pPr>
          </w:p>
        </w:tc>
        <w:tc>
          <w:tcPr>
            <w:tcW w:w="420" w:type="dxa"/>
            <w:vAlign w:val="bottom"/>
            <w:shd w:val="clear" w:color="auto" w:fill="202020"/>
          </w:tcPr>
          <w:p>
            <w:pPr>
              <w:spacing w:after="0"/>
              <w:rPr>
                <w:sz w:val="16"/>
                <w:szCs w:val="16"/>
                <w:color w:val="auto"/>
              </w:rPr>
            </w:pPr>
          </w:p>
        </w:tc>
        <w:tc>
          <w:tcPr>
            <w:tcW w:w="80" w:type="dxa"/>
            <w:vAlign w:val="bottom"/>
            <w:shd w:val="clear" w:color="auto" w:fill="202020"/>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6"/>
                <w:szCs w:val="16"/>
                <w:color w:val="686868"/>
              </w:rPr>
              <w:t>304,952</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6"/>
                <w:szCs w:val="16"/>
                <w:color w:val="252525"/>
              </w:rPr>
              <w:t>4,835</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vMerge w:val="restart"/>
            <w:textDirection w:val="btLr"/>
          </w:tcPr>
          <w:p>
            <w:pPr>
              <w:ind w:left="27"/>
              <w:spacing w:after="0"/>
              <w:rPr>
                <w:sz w:val="20"/>
                <w:szCs w:val="20"/>
                <w:color w:val="auto"/>
              </w:rPr>
            </w:pPr>
            <w:r>
              <w:rPr>
                <w:rFonts w:ascii="Arial" w:cs="Arial" w:eastAsia="Arial" w:hAnsi="Arial"/>
                <w:sz w:val="15"/>
                <w:szCs w:val="15"/>
                <w:color w:val="252525"/>
                <w:w w:val="73"/>
              </w:rPr>
              <w:t>-end</w:t>
            </w:r>
          </w:p>
        </w:tc>
        <w:tc>
          <w:tcPr>
            <w:tcW w:w="0" w:type="dxa"/>
            <w:vAlign w:val="bottom"/>
          </w:tcPr>
          <w:p>
            <w:pPr>
              <w:spacing w:after="0"/>
              <w:rPr>
                <w:sz w:val="1"/>
                <w:szCs w:val="1"/>
                <w:color w:val="auto"/>
              </w:rPr>
            </w:pPr>
          </w:p>
        </w:tc>
      </w:tr>
      <w:tr>
        <w:trPr>
          <w:trHeight w:val="42"/>
        </w:trPr>
        <w:tc>
          <w:tcPr>
            <w:tcW w:w="20" w:type="dxa"/>
            <w:vAlign w:val="bottom"/>
            <w:shd w:val="clear" w:color="auto" w:fill="202020"/>
          </w:tcPr>
          <w:p>
            <w:pPr>
              <w:spacing w:after="0"/>
              <w:rPr>
                <w:sz w:val="3"/>
                <w:szCs w:val="3"/>
                <w:color w:val="auto"/>
              </w:rPr>
            </w:pPr>
          </w:p>
        </w:tc>
        <w:tc>
          <w:tcPr>
            <w:tcW w:w="420" w:type="dxa"/>
            <w:vAlign w:val="bottom"/>
            <w:shd w:val="clear" w:color="auto" w:fill="202020"/>
          </w:tcPr>
          <w:p>
            <w:pPr>
              <w:spacing w:after="0"/>
              <w:rPr>
                <w:sz w:val="3"/>
                <w:szCs w:val="3"/>
                <w:color w:val="auto"/>
              </w:rPr>
            </w:pPr>
          </w:p>
        </w:tc>
        <w:tc>
          <w:tcPr>
            <w:tcW w:w="80" w:type="dxa"/>
            <w:vAlign w:val="bottom"/>
            <w:shd w:val="clear" w:color="auto" w:fill="202020"/>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20" w:type="dxa"/>
            <w:vAlign w:val="bottom"/>
            <w:shd w:val="clear" w:color="auto" w:fill="202020"/>
          </w:tcPr>
          <w:p>
            <w:pPr>
              <w:spacing w:after="0"/>
              <w:rPr>
                <w:sz w:val="4"/>
                <w:szCs w:val="4"/>
                <w:color w:val="auto"/>
              </w:rPr>
            </w:pPr>
          </w:p>
        </w:tc>
        <w:tc>
          <w:tcPr>
            <w:tcW w:w="420" w:type="dxa"/>
            <w:vAlign w:val="bottom"/>
            <w:shd w:val="clear" w:color="auto" w:fill="202020"/>
          </w:tcPr>
          <w:p>
            <w:pPr>
              <w:spacing w:after="0"/>
              <w:rPr>
                <w:sz w:val="4"/>
                <w:szCs w:val="4"/>
                <w:color w:val="auto"/>
              </w:rPr>
            </w:pPr>
          </w:p>
        </w:tc>
        <w:tc>
          <w:tcPr>
            <w:tcW w:w="80" w:type="dxa"/>
            <w:vAlign w:val="bottom"/>
            <w:shd w:val="clear" w:color="auto" w:fill="202020"/>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202020"/>
          </w:tcPr>
          <w:p>
            <w:pPr>
              <w:spacing w:after="0" w:line="20" w:lineRule="exact"/>
              <w:rPr>
                <w:sz w:val="1"/>
                <w:szCs w:val="1"/>
                <w:color w:val="auto"/>
              </w:rPr>
            </w:pPr>
          </w:p>
        </w:tc>
        <w:tc>
          <w:tcPr>
            <w:tcW w:w="420" w:type="dxa"/>
            <w:vAlign w:val="bottom"/>
            <w:shd w:val="clear" w:color="auto" w:fill="202020"/>
          </w:tcPr>
          <w:p>
            <w:pPr>
              <w:spacing w:after="0" w:line="20" w:lineRule="exact"/>
              <w:rPr>
                <w:sz w:val="1"/>
                <w:szCs w:val="1"/>
                <w:color w:val="auto"/>
              </w:rPr>
            </w:pPr>
          </w:p>
        </w:tc>
        <w:tc>
          <w:tcPr>
            <w:tcW w:w="80" w:type="dxa"/>
            <w:vAlign w:val="bottom"/>
            <w:shd w:val="clear" w:color="auto" w:fill="202020"/>
          </w:tcPr>
          <w:p>
            <w:pPr>
              <w:spacing w:after="0" w:line="20" w:lineRule="exact"/>
              <w:rPr>
                <w:sz w:val="1"/>
                <w:szCs w:val="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252525"/>
              </w:rPr>
              <w:t>3,596</w:t>
            </w:r>
          </w:p>
        </w:tc>
        <w:tc>
          <w:tcPr>
            <w:tcW w:w="340" w:type="dxa"/>
            <w:vAlign w:val="bottom"/>
          </w:tcPr>
          <w:p>
            <w:pPr>
              <w:spacing w:after="0" w:line="20" w:lineRule="exact"/>
              <w:rPr>
                <w:sz w:val="1"/>
                <w:szCs w:val="1"/>
                <w:color w:val="auto"/>
              </w:rPr>
            </w:pPr>
          </w:p>
        </w:tc>
        <w:tc>
          <w:tcPr>
            <w:tcW w:w="520" w:type="dxa"/>
            <w:vAlign w:val="bottom"/>
            <w:vMerge w:val="restart"/>
          </w:tcPr>
          <w:p>
            <w:pPr>
              <w:ind w:left="60"/>
              <w:spacing w:after="0"/>
              <w:rPr>
                <w:sz w:val="20"/>
                <w:szCs w:val="20"/>
                <w:color w:val="auto"/>
              </w:rPr>
            </w:pPr>
            <w:r>
              <w:rPr>
                <w:rFonts w:ascii="Arial" w:cs="Arial" w:eastAsia="Arial" w:hAnsi="Arial"/>
                <w:sz w:val="16"/>
                <w:szCs w:val="16"/>
                <w:color w:val="252525"/>
              </w:rPr>
              <w:t>3,738</w:t>
            </w: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200,000</w:t>
            </w:r>
          </w:p>
        </w:tc>
        <w:tc>
          <w:tcPr>
            <w:tcW w:w="320" w:type="dxa"/>
            <w:vAlign w:val="bottom"/>
            <w:vMerge w:val="restart"/>
            <w:textDirection w:val="btLr"/>
          </w:tcPr>
          <w:p>
            <w:pPr>
              <w:ind w:left="15"/>
              <w:spacing w:after="0"/>
              <w:rPr>
                <w:sz w:val="20"/>
                <w:szCs w:val="20"/>
                <w:color w:val="auto"/>
              </w:rPr>
            </w:pPr>
            <w:r>
              <w:rPr>
                <w:rFonts w:ascii="Arial" w:cs="Arial" w:eastAsia="Arial" w:hAnsi="Arial"/>
                <w:sz w:val="16"/>
                <w:szCs w:val="16"/>
                <w:color w:val="252525"/>
                <w:w w:val="88"/>
              </w:rPr>
              <w:t>Year</w:t>
            </w:r>
          </w:p>
        </w:tc>
        <w:tc>
          <w:tcPr>
            <w:tcW w:w="0" w:type="dxa"/>
            <w:vAlign w:val="bottom"/>
          </w:tcPr>
          <w:p>
            <w:pPr>
              <w:spacing w:after="0" w:line="20" w:lineRule="exact"/>
              <w:rPr>
                <w:sz w:val="1"/>
                <w:szCs w:val="1"/>
                <w:color w:val="auto"/>
              </w:rPr>
            </w:pPr>
          </w:p>
        </w:tc>
      </w:tr>
      <w:tr>
        <w:trPr>
          <w:trHeight w:val="224"/>
        </w:trPr>
        <w:tc>
          <w:tcPr>
            <w:tcW w:w="20" w:type="dxa"/>
            <w:vAlign w:val="bottom"/>
            <w:tcBorders>
              <w:bottom w:val="single" w:sz="8" w:color="202020"/>
            </w:tcBorders>
            <w:shd w:val="clear" w:color="auto" w:fill="202020"/>
          </w:tcPr>
          <w:p>
            <w:pPr>
              <w:spacing w:after="0"/>
              <w:rPr>
                <w:sz w:val="19"/>
                <w:szCs w:val="19"/>
                <w:color w:val="auto"/>
              </w:rPr>
            </w:pPr>
          </w:p>
        </w:tc>
        <w:tc>
          <w:tcPr>
            <w:tcW w:w="420" w:type="dxa"/>
            <w:vAlign w:val="bottom"/>
            <w:tcBorders>
              <w:bottom w:val="single" w:sz="8" w:color="202020"/>
            </w:tcBorders>
            <w:shd w:val="clear" w:color="auto" w:fill="202020"/>
          </w:tcPr>
          <w:p>
            <w:pPr>
              <w:spacing w:after="0"/>
              <w:rPr>
                <w:sz w:val="19"/>
                <w:szCs w:val="19"/>
                <w:color w:val="auto"/>
              </w:rPr>
            </w:pPr>
          </w:p>
        </w:tc>
        <w:tc>
          <w:tcPr>
            <w:tcW w:w="80" w:type="dxa"/>
            <w:vAlign w:val="bottom"/>
            <w:tcBorders>
              <w:bottom w:val="single" w:sz="8" w:color="202020"/>
            </w:tcBorders>
            <w:shd w:val="clear" w:color="auto" w:fill="202020"/>
          </w:tcPr>
          <w:p>
            <w:pPr>
              <w:spacing w:after="0"/>
              <w:rPr>
                <w:sz w:val="19"/>
                <w:szCs w:val="19"/>
                <w:color w:val="auto"/>
              </w:rPr>
            </w:pPr>
          </w:p>
        </w:tc>
        <w:tc>
          <w:tcPr>
            <w:tcW w:w="560" w:type="dxa"/>
            <w:vAlign w:val="bottom"/>
            <w:tcBorders>
              <w:bottom w:val="single" w:sz="8" w:color="262626"/>
            </w:tcBorders>
            <w:gridSpan w:val="2"/>
            <w:vMerge w:val="continue"/>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520" w:type="dxa"/>
            <w:vAlign w:val="bottom"/>
            <w:tcBorders>
              <w:bottom w:val="single" w:sz="8" w:color="262626"/>
            </w:tcBorders>
            <w:vMerge w:val="continue"/>
          </w:tcPr>
          <w:p>
            <w:pPr>
              <w:spacing w:after="0"/>
              <w:rPr>
                <w:sz w:val="19"/>
                <w:szCs w:val="19"/>
                <w:color w:val="auto"/>
              </w:rPr>
            </w:pPr>
          </w:p>
        </w:tc>
        <w:tc>
          <w:tcPr>
            <w:tcW w:w="60" w:type="dxa"/>
            <w:vAlign w:val="bottom"/>
            <w:tcBorders>
              <w:bottom w:val="single" w:sz="8" w:color="262626"/>
            </w:tcBorders>
          </w:tcPr>
          <w:p>
            <w:pPr>
              <w:spacing w:after="0"/>
              <w:rPr>
                <w:sz w:val="19"/>
                <w:szCs w:val="19"/>
                <w:color w:val="auto"/>
              </w:rPr>
            </w:pPr>
          </w:p>
        </w:tc>
        <w:tc>
          <w:tcPr>
            <w:tcW w:w="520" w:type="dxa"/>
            <w:vAlign w:val="bottom"/>
            <w:tcBorders>
              <w:bottom w:val="single" w:sz="8" w:color="262626"/>
            </w:tcBorders>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60" w:type="dxa"/>
            <w:vAlign w:val="bottom"/>
            <w:tcBorders>
              <w:bottom w:val="single" w:sz="8" w:color="262626"/>
            </w:tcBorders>
          </w:tcPr>
          <w:p>
            <w:pPr>
              <w:spacing w:after="0"/>
              <w:rPr>
                <w:sz w:val="19"/>
                <w:szCs w:val="19"/>
                <w:color w:val="auto"/>
              </w:rPr>
            </w:pPr>
          </w:p>
        </w:tc>
        <w:tc>
          <w:tcPr>
            <w:tcW w:w="200" w:type="dxa"/>
            <w:vAlign w:val="bottom"/>
            <w:tcBorders>
              <w:bottom w:val="single" w:sz="8" w:color="262626"/>
            </w:tcBorders>
          </w:tcPr>
          <w:p>
            <w:pPr>
              <w:spacing w:after="0"/>
              <w:rPr>
                <w:sz w:val="19"/>
                <w:szCs w:val="19"/>
                <w:color w:val="auto"/>
              </w:rPr>
            </w:pPr>
          </w:p>
        </w:tc>
        <w:tc>
          <w:tcPr>
            <w:tcW w:w="320" w:type="dxa"/>
            <w:vAlign w:val="bottom"/>
            <w:tcBorders>
              <w:bottom w:val="single" w:sz="8" w:color="262626"/>
            </w:tcBorders>
          </w:tcPr>
          <w:p>
            <w:pPr>
              <w:spacing w:after="0"/>
              <w:rPr>
                <w:sz w:val="19"/>
                <w:szCs w:val="19"/>
                <w:color w:val="auto"/>
              </w:rPr>
            </w:pPr>
          </w:p>
        </w:tc>
        <w:tc>
          <w:tcPr>
            <w:tcW w:w="340" w:type="dxa"/>
            <w:vAlign w:val="bottom"/>
            <w:tcBorders>
              <w:bottom w:val="single" w:sz="8" w:color="262626"/>
            </w:tcBorders>
          </w:tcPr>
          <w:p>
            <w:pPr>
              <w:spacing w:after="0"/>
              <w:rPr>
                <w:sz w:val="19"/>
                <w:szCs w:val="19"/>
                <w:color w:val="auto"/>
              </w:rPr>
            </w:pPr>
          </w:p>
        </w:tc>
        <w:tc>
          <w:tcPr>
            <w:tcW w:w="520" w:type="dxa"/>
            <w:vAlign w:val="bottom"/>
            <w:tcBorders>
              <w:bottom w:val="single" w:sz="8" w:color="202020"/>
            </w:tcBorders>
            <w:shd w:val="clear" w:color="auto" w:fill="202020"/>
          </w:tcPr>
          <w:p>
            <w:pPr>
              <w:spacing w:after="0"/>
              <w:rPr>
                <w:sz w:val="19"/>
                <w:szCs w:val="19"/>
                <w:color w:val="auto"/>
              </w:rPr>
            </w:pPr>
          </w:p>
        </w:tc>
        <w:tc>
          <w:tcPr>
            <w:tcW w:w="60" w:type="dxa"/>
            <w:vAlign w:val="bottom"/>
            <w:tcBorders>
              <w:bottom w:val="single" w:sz="8" w:color="262626"/>
            </w:tcBorders>
          </w:tcPr>
          <w:p>
            <w:pPr>
              <w:spacing w:after="0"/>
              <w:rPr>
                <w:sz w:val="19"/>
                <w:szCs w:val="19"/>
                <w:color w:val="auto"/>
              </w:rPr>
            </w:pPr>
          </w:p>
        </w:tc>
        <w:tc>
          <w:tcPr>
            <w:tcW w:w="500" w:type="dxa"/>
            <w:vAlign w:val="bottom"/>
            <w:tcBorders>
              <w:bottom w:val="single" w:sz="8" w:color="262626"/>
            </w:tcBorders>
          </w:tcPr>
          <w:p>
            <w:pPr>
              <w:spacing w:after="0"/>
              <w:rPr>
                <w:sz w:val="19"/>
                <w:szCs w:val="19"/>
                <w:color w:val="auto"/>
              </w:rPr>
            </w:pPr>
          </w:p>
        </w:tc>
        <w:tc>
          <w:tcPr>
            <w:tcW w:w="160" w:type="dxa"/>
            <w:vAlign w:val="bottom"/>
            <w:tcBorders>
              <w:bottom w:val="single" w:sz="8" w:color="262626"/>
            </w:tcBorders>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20" w:type="dxa"/>
            <w:vAlign w:val="bottom"/>
            <w:tcBorders>
              <w:bottom w:val="single" w:sz="8" w:color="202020"/>
            </w:tcBorders>
            <w:shd w:val="clear" w:color="auto" w:fill="202020"/>
          </w:tcPr>
          <w:p>
            <w:pPr>
              <w:spacing w:after="0"/>
              <w:rPr>
                <w:sz w:val="6"/>
                <w:szCs w:val="6"/>
                <w:color w:val="auto"/>
              </w:rPr>
            </w:pPr>
          </w:p>
        </w:tc>
        <w:tc>
          <w:tcPr>
            <w:tcW w:w="420" w:type="dxa"/>
            <w:vAlign w:val="bottom"/>
            <w:tcBorders>
              <w:bottom w:val="single" w:sz="8" w:color="202020"/>
            </w:tcBorders>
            <w:shd w:val="clear" w:color="auto" w:fill="202020"/>
          </w:tcPr>
          <w:p>
            <w:pPr>
              <w:spacing w:after="0"/>
              <w:rPr>
                <w:sz w:val="6"/>
                <w:szCs w:val="6"/>
                <w:color w:val="auto"/>
              </w:rPr>
            </w:pPr>
          </w:p>
        </w:tc>
        <w:tc>
          <w:tcPr>
            <w:tcW w:w="8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Borders>
              <w:bottom w:val="single" w:sz="8" w:color="202020"/>
            </w:tcBorders>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1"/>
        </w:trPr>
        <w:tc>
          <w:tcPr>
            <w:tcW w:w="2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8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8F8F8F"/>
            </w:tcBorders>
            <w:shd w:val="clear" w:color="auto" w:fill="8F8F8F"/>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5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160" w:type="dxa"/>
            <w:vAlign w:val="bottom"/>
            <w:tcBorders>
              <w:bottom w:val="single" w:sz="8" w:color="262626"/>
            </w:tcBorders>
          </w:tcPr>
          <w:p>
            <w:pPr>
              <w:spacing w:after="0"/>
              <w:rPr>
                <w:sz w:val="24"/>
                <w:szCs w:val="24"/>
                <w:color w:val="auto"/>
              </w:rPr>
            </w:pPr>
          </w:p>
        </w:tc>
        <w:tc>
          <w:tcPr>
            <w:tcW w:w="60" w:type="dxa"/>
            <w:vAlign w:val="bottom"/>
            <w:tcBorders>
              <w:bottom w:val="single" w:sz="8" w:color="262626"/>
            </w:tcBorders>
          </w:tcPr>
          <w:p>
            <w:pPr>
              <w:spacing w:after="0"/>
              <w:rPr>
                <w:sz w:val="24"/>
                <w:szCs w:val="24"/>
                <w:color w:val="auto"/>
              </w:rPr>
            </w:pPr>
          </w:p>
        </w:tc>
        <w:tc>
          <w:tcPr>
            <w:tcW w:w="200" w:type="dxa"/>
            <w:vAlign w:val="bottom"/>
            <w:tcBorders>
              <w:bottom w:val="single" w:sz="8" w:color="262626"/>
            </w:tcBorders>
          </w:tcPr>
          <w:p>
            <w:pPr>
              <w:spacing w:after="0"/>
              <w:rPr>
                <w:sz w:val="24"/>
                <w:szCs w:val="24"/>
                <w:color w:val="auto"/>
              </w:rPr>
            </w:pPr>
          </w:p>
        </w:tc>
        <w:tc>
          <w:tcPr>
            <w:tcW w:w="320" w:type="dxa"/>
            <w:vAlign w:val="bottom"/>
            <w:tcBorders>
              <w:bottom w:val="single" w:sz="8" w:color="262626"/>
            </w:tcBorders>
          </w:tcPr>
          <w:p>
            <w:pPr>
              <w:spacing w:after="0"/>
              <w:rPr>
                <w:sz w:val="24"/>
                <w:szCs w:val="24"/>
                <w:color w:val="auto"/>
              </w:rPr>
            </w:pPr>
          </w:p>
        </w:tc>
        <w:tc>
          <w:tcPr>
            <w:tcW w:w="340" w:type="dxa"/>
            <w:vAlign w:val="bottom"/>
            <w:tcBorders>
              <w:bottom w:val="single" w:sz="8" w:color="262626"/>
            </w:tcBorders>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560" w:type="dxa"/>
            <w:vAlign w:val="bottom"/>
            <w:tcBorders>
              <w:bottom w:val="single" w:sz="8" w:color="262626"/>
            </w:tcBorders>
            <w:gridSpan w:val="2"/>
          </w:tcPr>
          <w:p>
            <w:pPr>
              <w:jc w:val="right"/>
              <w:ind w:right="60"/>
              <w:spacing w:after="0"/>
              <w:rPr>
                <w:sz w:val="20"/>
                <w:szCs w:val="20"/>
                <w:color w:val="auto"/>
              </w:rPr>
            </w:pPr>
            <w:r>
              <w:rPr>
                <w:rFonts w:ascii="Arial" w:cs="Arial" w:eastAsia="Arial" w:hAnsi="Arial"/>
                <w:sz w:val="16"/>
                <w:szCs w:val="16"/>
                <w:color w:val="252525"/>
              </w:rPr>
              <w:t>1,728</w:t>
            </w:r>
          </w:p>
        </w:tc>
        <w:tc>
          <w:tcPr>
            <w:tcW w:w="160" w:type="dxa"/>
            <w:vAlign w:val="bottom"/>
            <w:tcBorders>
              <w:bottom w:val="single" w:sz="8" w:color="262626"/>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100,000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0" w:type="dxa"/>
            <w:vAlign w:val="bottom"/>
            <w:shd w:val="clear" w:color="auto" w:fill="202020"/>
          </w:tcPr>
          <w:p>
            <w:pPr>
              <w:spacing w:after="0"/>
              <w:rPr>
                <w:sz w:val="4"/>
                <w:szCs w:val="4"/>
                <w:color w:val="auto"/>
              </w:rPr>
            </w:pPr>
          </w:p>
        </w:tc>
        <w:tc>
          <w:tcPr>
            <w:tcW w:w="420" w:type="dxa"/>
            <w:vAlign w:val="bottom"/>
            <w:shd w:val="clear" w:color="auto" w:fill="202020"/>
          </w:tcPr>
          <w:p>
            <w:pPr>
              <w:spacing w:after="0"/>
              <w:rPr>
                <w:sz w:val="4"/>
                <w:szCs w:val="4"/>
                <w:color w:val="auto"/>
              </w:rPr>
            </w:pPr>
          </w:p>
        </w:tc>
        <w:tc>
          <w:tcPr>
            <w:tcW w:w="80" w:type="dxa"/>
            <w:vAlign w:val="bottom"/>
            <w:shd w:val="clear" w:color="auto" w:fill="202020"/>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shd w:val="clear" w:color="auto" w:fill="8F8F8F"/>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shd w:val="clear" w:color="auto" w:fill="202020"/>
          </w:tcPr>
          <w:p>
            <w:pPr>
              <w:spacing w:after="0"/>
              <w:rPr>
                <w:sz w:val="4"/>
                <w:szCs w:val="4"/>
                <w:color w:val="auto"/>
              </w:rPr>
            </w:pPr>
          </w:p>
        </w:tc>
        <w:tc>
          <w:tcPr>
            <w:tcW w:w="580" w:type="dxa"/>
            <w:vAlign w:val="bottom"/>
            <w:gridSpan w:val="2"/>
            <w:vMerge w:val="restart"/>
          </w:tcPr>
          <w:p>
            <w:pPr>
              <w:ind w:left="120"/>
              <w:spacing w:after="0" w:line="131" w:lineRule="exact"/>
              <w:rPr>
                <w:sz w:val="20"/>
                <w:szCs w:val="20"/>
                <w:color w:val="auto"/>
              </w:rPr>
            </w:pPr>
            <w:r>
              <w:rPr>
                <w:rFonts w:ascii="Arial" w:cs="Arial" w:eastAsia="Arial" w:hAnsi="Arial"/>
                <w:sz w:val="15"/>
                <w:szCs w:val="15"/>
                <w:color w:val="252525"/>
              </w:rPr>
              <w:t>1,457</w:t>
            </w:r>
          </w:p>
        </w:tc>
        <w:tc>
          <w:tcPr>
            <w:tcW w:w="340" w:type="dxa"/>
            <w:vAlign w:val="bottom"/>
          </w:tcPr>
          <w:p>
            <w:pPr>
              <w:spacing w:after="0"/>
              <w:rPr>
                <w:sz w:val="4"/>
                <w:szCs w:val="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252525"/>
              </w:rPr>
              <w:t>76</w:t>
            </w:r>
          </w:p>
        </w:tc>
        <w:tc>
          <w:tcPr>
            <w:tcW w:w="16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252525"/>
              </w:rPr>
              <w:t>98</w:t>
            </w:r>
          </w:p>
        </w:tc>
        <w:tc>
          <w:tcPr>
            <w:tcW w:w="340" w:type="dxa"/>
            <w:vAlign w:val="bottom"/>
          </w:tcPr>
          <w:p>
            <w:pPr>
              <w:spacing w:after="0"/>
              <w:rPr>
                <w:sz w:val="4"/>
                <w:szCs w:val="4"/>
                <w:color w:val="auto"/>
              </w:rPr>
            </w:pPr>
          </w:p>
        </w:tc>
        <w:tc>
          <w:tcPr>
            <w:tcW w:w="520" w:type="dxa"/>
            <w:vAlign w:val="bottom"/>
            <w:shd w:val="clear" w:color="auto" w:fill="202020"/>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202020"/>
          </w:tcPr>
          <w:p>
            <w:pPr>
              <w:spacing w:after="0"/>
              <w:rPr>
                <w:sz w:val="6"/>
                <w:szCs w:val="6"/>
                <w:color w:val="auto"/>
              </w:rPr>
            </w:pPr>
          </w:p>
        </w:tc>
        <w:tc>
          <w:tcPr>
            <w:tcW w:w="420" w:type="dxa"/>
            <w:vAlign w:val="bottom"/>
            <w:shd w:val="clear" w:color="auto" w:fill="202020"/>
          </w:tcPr>
          <w:p>
            <w:pPr>
              <w:spacing w:after="0"/>
              <w:rPr>
                <w:sz w:val="6"/>
                <w:szCs w:val="6"/>
                <w:color w:val="auto"/>
              </w:rPr>
            </w:pPr>
          </w:p>
        </w:tc>
        <w:tc>
          <w:tcPr>
            <w:tcW w:w="8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shd w:val="clear" w:color="auto" w:fill="8F8F8F"/>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shd w:val="clear" w:color="auto" w:fill="202020"/>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shd w:val="clear" w:color="auto" w:fill="202020"/>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shd w:val="clear" w:color="auto" w:fill="8F8F8F"/>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6"/>
                <w:szCs w:val="16"/>
                <w:color w:val="252525"/>
              </w:rPr>
              <w:t>0</w:t>
            </w: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02020"/>
            </w:tcBorders>
            <w:shd w:val="clear" w:color="auto" w:fill="202020"/>
          </w:tcPr>
          <w:p>
            <w:pPr>
              <w:spacing w:after="0"/>
              <w:rPr>
                <w:sz w:val="24"/>
                <w:szCs w:val="24"/>
                <w:color w:val="auto"/>
              </w:rPr>
            </w:pPr>
          </w:p>
        </w:tc>
        <w:tc>
          <w:tcPr>
            <w:tcW w:w="420" w:type="dxa"/>
            <w:vAlign w:val="bottom"/>
            <w:tcBorders>
              <w:bottom w:val="single" w:sz="8" w:color="202020"/>
            </w:tcBorders>
            <w:shd w:val="clear" w:color="auto" w:fill="202020"/>
          </w:tcPr>
          <w:p>
            <w:pPr>
              <w:spacing w:after="0"/>
              <w:rPr>
                <w:sz w:val="24"/>
                <w:szCs w:val="24"/>
                <w:color w:val="auto"/>
              </w:rPr>
            </w:pPr>
          </w:p>
        </w:tc>
        <w:tc>
          <w:tcPr>
            <w:tcW w:w="8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8F8F8F"/>
            </w:tcBorders>
            <w:shd w:val="clear" w:color="auto" w:fill="8F8F8F"/>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Borders>
              <w:bottom w:val="single" w:sz="8" w:color="202020"/>
            </w:tcBorders>
            <w:vMerge w:val="continue"/>
          </w:tcPr>
          <w:p>
            <w:pPr>
              <w:spacing w:after="0"/>
              <w:rPr>
                <w:sz w:val="24"/>
                <w:szCs w:val="24"/>
                <w:color w:val="auto"/>
              </w:rPr>
            </w:pPr>
          </w:p>
        </w:tc>
        <w:tc>
          <w:tcPr>
            <w:tcW w:w="160" w:type="dxa"/>
            <w:vAlign w:val="bottom"/>
            <w:tcBorders>
              <w:bottom w:val="single" w:sz="8" w:color="202020"/>
            </w:tcBorders>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520" w:type="dxa"/>
            <w:vAlign w:val="bottom"/>
            <w:tcBorders>
              <w:bottom w:val="single" w:sz="8" w:color="8F8F8F"/>
            </w:tcBorders>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bottom w:val="single" w:sz="8" w:color="202020"/>
            </w:tcBorders>
            <w:shd w:val="clear" w:color="auto" w:fill="202020"/>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bottom w:val="single" w:sz="8" w:color="8F8F8F"/>
            </w:tcBorders>
            <w:shd w:val="clear" w:color="auto" w:fill="8F8F8F"/>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400" w:type="dxa"/>
            <w:vAlign w:val="bottom"/>
            <w:gridSpan w:val="5"/>
            <w:vMerge w:val="restart"/>
          </w:tcPr>
          <w:p>
            <w:pPr>
              <w:jc w:val="center"/>
              <w:ind w:right="340"/>
              <w:spacing w:after="0"/>
              <w:rPr>
                <w:sz w:val="20"/>
                <w:szCs w:val="20"/>
                <w:color w:val="auto"/>
              </w:rPr>
            </w:pPr>
            <w:r>
              <w:rPr>
                <w:rFonts w:ascii="Arial" w:cs="Arial" w:eastAsia="Arial" w:hAnsi="Arial"/>
                <w:sz w:val="16"/>
                <w:szCs w:val="16"/>
                <w:color w:val="252525"/>
              </w:rPr>
              <w:t>December 31,</w:t>
            </w:r>
          </w:p>
        </w:tc>
        <w:tc>
          <w:tcPr>
            <w:tcW w:w="1440" w:type="dxa"/>
            <w:vAlign w:val="bottom"/>
            <w:gridSpan w:val="4"/>
            <w:vMerge w:val="restart"/>
          </w:tcPr>
          <w:p>
            <w:pPr>
              <w:ind w:left="60"/>
              <w:spacing w:after="0"/>
              <w:rPr>
                <w:sz w:val="20"/>
                <w:szCs w:val="20"/>
                <w:color w:val="auto"/>
              </w:rPr>
            </w:pPr>
            <w:r>
              <w:rPr>
                <w:rFonts w:ascii="Arial" w:cs="Arial" w:eastAsia="Arial" w:hAnsi="Arial"/>
                <w:sz w:val="16"/>
                <w:szCs w:val="16"/>
                <w:color w:val="252525"/>
              </w:rPr>
              <w:t>December 31,</w:t>
            </w:r>
          </w:p>
        </w:tc>
        <w:tc>
          <w:tcPr>
            <w:tcW w:w="1420" w:type="dxa"/>
            <w:vAlign w:val="bottom"/>
            <w:gridSpan w:val="6"/>
            <w:vMerge w:val="restart"/>
          </w:tcPr>
          <w:p>
            <w:pPr>
              <w:jc w:val="center"/>
              <w:ind w:right="340"/>
              <w:spacing w:after="0"/>
              <w:rPr>
                <w:sz w:val="20"/>
                <w:szCs w:val="20"/>
                <w:color w:val="auto"/>
              </w:rPr>
            </w:pPr>
            <w:r>
              <w:rPr>
                <w:rFonts w:ascii="Arial" w:cs="Arial" w:eastAsia="Arial" w:hAnsi="Arial"/>
                <w:sz w:val="16"/>
                <w:szCs w:val="16"/>
                <w:color w:val="252525"/>
                <w:w w:val="99"/>
              </w:rPr>
              <w:t>December 31,</w:t>
            </w:r>
          </w:p>
        </w:tc>
        <w:tc>
          <w:tcPr>
            <w:tcW w:w="1300" w:type="dxa"/>
            <w:vAlign w:val="bottom"/>
            <w:gridSpan w:val="5"/>
            <w:vMerge w:val="restart"/>
          </w:tcPr>
          <w:p>
            <w:pPr>
              <w:ind w:left="40"/>
              <w:spacing w:after="0"/>
              <w:rPr>
                <w:sz w:val="20"/>
                <w:szCs w:val="20"/>
                <w:color w:val="auto"/>
              </w:rPr>
            </w:pPr>
            <w:r>
              <w:rPr>
                <w:rFonts w:ascii="Arial" w:cs="Arial" w:eastAsia="Arial" w:hAnsi="Arial"/>
                <w:sz w:val="16"/>
                <w:szCs w:val="16"/>
                <w:color w:val="252525"/>
              </w:rPr>
              <w:t>December 31,</w:t>
            </w:r>
          </w:p>
        </w:tc>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00" w:type="dxa"/>
            <w:vAlign w:val="bottom"/>
            <w:gridSpan w:val="5"/>
            <w:vMerge w:val="continue"/>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420" w:type="dxa"/>
            <w:vAlign w:val="bottom"/>
            <w:gridSpan w:val="6"/>
            <w:vMerge w:val="continue"/>
          </w:tcPr>
          <w:p>
            <w:pPr>
              <w:spacing w:after="0"/>
              <w:rPr>
                <w:sz w:val="24"/>
                <w:szCs w:val="24"/>
                <w:color w:val="auto"/>
              </w:rPr>
            </w:pPr>
          </w:p>
        </w:tc>
        <w:tc>
          <w:tcPr>
            <w:tcW w:w="1300" w:type="dxa"/>
            <w:vAlign w:val="bottom"/>
            <w:gridSpan w:val="5"/>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80" w:type="dxa"/>
            <w:vAlign w:val="bottom"/>
            <w:gridSpan w:val="5"/>
          </w:tcPr>
          <w:p>
            <w:pPr>
              <w:jc w:val="right"/>
              <w:ind w:right="360"/>
              <w:spacing w:after="0"/>
              <w:rPr>
                <w:sz w:val="20"/>
                <w:szCs w:val="20"/>
                <w:color w:val="auto"/>
              </w:rPr>
            </w:pPr>
            <w:r>
              <w:rPr>
                <w:rFonts w:ascii="Arial" w:cs="Arial" w:eastAsia="Arial" w:hAnsi="Arial"/>
                <w:sz w:val="16"/>
                <w:szCs w:val="16"/>
                <w:color w:val="252525"/>
              </w:rPr>
              <w:t>2022</w:t>
            </w:r>
          </w:p>
        </w:tc>
        <w:tc>
          <w:tcPr>
            <w:tcW w:w="34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252525"/>
              </w:rPr>
              <w:t>2023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6"/>
                <w:szCs w:val="16"/>
                <w:color w:val="252525"/>
              </w:rPr>
              <w:t>2024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6"/>
                <w:szCs w:val="16"/>
                <w:color w:val="252525"/>
              </w:rPr>
              <w:t>2025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20" w:type="dxa"/>
            <w:vAlign w:val="bottom"/>
            <w:tcBorders>
              <w:bottom w:val="single" w:sz="8" w:color="8F8F8F"/>
            </w:tcBorders>
          </w:tcPr>
          <w:p>
            <w:pPr>
              <w:spacing w:after="0"/>
              <w:rPr>
                <w:sz w:val="23"/>
                <w:szCs w:val="23"/>
                <w:color w:val="auto"/>
              </w:rPr>
            </w:pPr>
          </w:p>
        </w:tc>
        <w:tc>
          <w:tcPr>
            <w:tcW w:w="80" w:type="dxa"/>
            <w:vAlign w:val="bottom"/>
          </w:tcPr>
          <w:p>
            <w:pPr>
              <w:spacing w:after="0"/>
              <w:rPr>
                <w:sz w:val="23"/>
                <w:szCs w:val="23"/>
                <w:color w:val="auto"/>
              </w:rPr>
            </w:pPr>
          </w:p>
        </w:tc>
        <w:tc>
          <w:tcPr>
            <w:tcW w:w="2340" w:type="dxa"/>
            <w:vAlign w:val="bottom"/>
            <w:gridSpan w:val="7"/>
          </w:tcPr>
          <w:p>
            <w:pPr>
              <w:ind w:left="40"/>
              <w:spacing w:after="0"/>
              <w:rPr>
                <w:sz w:val="20"/>
                <w:szCs w:val="20"/>
                <w:color w:val="auto"/>
              </w:rPr>
            </w:pPr>
            <w:r>
              <w:rPr>
                <w:rFonts w:ascii="Arial" w:cs="Arial" w:eastAsia="Arial" w:hAnsi="Arial"/>
                <w:sz w:val="16"/>
                <w:szCs w:val="16"/>
                <w:color w:val="252525"/>
              </w:rPr>
              <w:t>Compensation: Non-PEO NEOs</w:t>
            </w:r>
          </w:p>
        </w:tc>
        <w:tc>
          <w:tcPr>
            <w:tcW w:w="340" w:type="dxa"/>
            <w:vAlign w:val="bottom"/>
          </w:tcPr>
          <w:p>
            <w:pPr>
              <w:spacing w:after="0"/>
              <w:rPr>
                <w:sz w:val="23"/>
                <w:szCs w:val="23"/>
                <w:color w:val="auto"/>
              </w:rPr>
            </w:pPr>
          </w:p>
        </w:tc>
        <w:tc>
          <w:tcPr>
            <w:tcW w:w="160" w:type="dxa"/>
            <w:vAlign w:val="bottom"/>
            <w:tcBorders>
              <w:bottom w:val="single" w:sz="8" w:color="686868"/>
            </w:tcBorders>
          </w:tcPr>
          <w:p>
            <w:pPr>
              <w:spacing w:after="0"/>
              <w:rPr>
                <w:sz w:val="23"/>
                <w:szCs w:val="23"/>
                <w:color w:val="auto"/>
              </w:rPr>
            </w:pPr>
          </w:p>
        </w:tc>
        <w:tc>
          <w:tcPr>
            <w:tcW w:w="60" w:type="dxa"/>
            <w:vAlign w:val="bottom"/>
            <w:tcBorders>
              <w:bottom w:val="single" w:sz="8" w:color="686868"/>
            </w:tcBorders>
          </w:tcPr>
          <w:p>
            <w:pPr>
              <w:spacing w:after="0"/>
              <w:rPr>
                <w:sz w:val="23"/>
                <w:szCs w:val="23"/>
                <w:color w:val="auto"/>
              </w:rPr>
            </w:pPr>
          </w:p>
        </w:tc>
        <w:tc>
          <w:tcPr>
            <w:tcW w:w="200" w:type="dxa"/>
            <w:vAlign w:val="bottom"/>
            <w:tcBorders>
              <w:bottom w:val="single" w:sz="8" w:color="686868"/>
            </w:tcBorders>
          </w:tcPr>
          <w:p>
            <w:pPr>
              <w:spacing w:after="0"/>
              <w:rPr>
                <w:sz w:val="23"/>
                <w:szCs w:val="23"/>
                <w:color w:val="auto"/>
              </w:rPr>
            </w:pPr>
          </w:p>
        </w:tc>
        <w:tc>
          <w:tcPr>
            <w:tcW w:w="2980" w:type="dxa"/>
            <w:vAlign w:val="bottom"/>
            <w:gridSpan w:val="9"/>
          </w:tcPr>
          <w:p>
            <w:pPr>
              <w:ind w:left="160"/>
              <w:spacing w:after="0"/>
              <w:rPr>
                <w:sz w:val="20"/>
                <w:szCs w:val="20"/>
                <w:color w:val="auto"/>
              </w:rPr>
            </w:pPr>
            <w:r>
              <w:rPr>
                <w:rFonts w:ascii="Arial" w:cs="Arial" w:eastAsia="Arial" w:hAnsi="Arial"/>
                <w:sz w:val="16"/>
                <w:szCs w:val="16"/>
                <w:color w:val="252525"/>
              </w:rPr>
              <w:t>Year-end cash &amp; investment balance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7"/>
          </w:tcPr>
          <w:p>
            <w:pPr>
              <w:ind w:left="160"/>
              <w:spacing w:after="0"/>
              <w:rPr>
                <w:sz w:val="20"/>
                <w:szCs w:val="20"/>
                <w:color w:val="auto"/>
              </w:rPr>
            </w:pPr>
            <w:r>
              <w:rPr>
                <w:rFonts w:ascii="Arial" w:cs="Arial" w:eastAsia="Arial" w:hAnsi="Arial"/>
                <w:sz w:val="16"/>
                <w:szCs w:val="16"/>
                <w:color w:val="252525"/>
              </w:rPr>
              <w:t>(in thousands)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-3502025</wp:posOffset>
            </wp:positionV>
            <wp:extent cx="4514850" cy="2766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9">
                      <a:extLst>
                        <a:ext uri="{28A0092B-C50C-407E-A947-70E740481C1C}"/>
                      </a:extLst>
                    </a:blip>
                    <a:srcRect/>
                    <a:stretch>
                      <a:fillRect/>
                    </a:stretch>
                  </pic:blipFill>
                  <pic:spPr bwMode="auto">
                    <a:xfrm>
                      <a:off x="0" y="0"/>
                      <a:ext cx="4514850" cy="276606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3">
            <w:col w:w="774" w:space="106"/>
            <w:col w:w="1960" w:space="220"/>
            <w:col w:w="7080"/>
          </w:cols>
          <w:pgMar w:left="880" w:top="544" w:right="860" w:bottom="96"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Tabular List</w:t>
      </w:r>
    </w:p>
    <w:p>
      <w:pPr>
        <w:spacing w:after="0" w:line="180" w:lineRule="exact"/>
        <w:rPr>
          <w:sz w:val="20"/>
          <w:szCs w:val="20"/>
          <w:color w:val="auto"/>
        </w:rPr>
      </w:pPr>
    </w:p>
    <w:p>
      <w:pPr>
        <w:ind w:right="260"/>
        <w:spacing w:after="0" w:line="297" w:lineRule="auto"/>
        <w:rPr>
          <w:sz w:val="20"/>
          <w:szCs w:val="20"/>
          <w:color w:val="auto"/>
        </w:rPr>
      </w:pPr>
      <w:r>
        <w:rPr>
          <w:rFonts w:ascii="Arial" w:cs="Arial" w:eastAsia="Arial" w:hAnsi="Arial"/>
          <w:sz w:val="18"/>
          <w:szCs w:val="18"/>
          <w:color w:val="202020"/>
        </w:rPr>
        <w:t>The following table sets forth the sole financial performance measure we used to determine the compensation paid to our PEO and other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1268095</wp:posOffset>
                </wp:positionH>
                <wp:positionV relativeFrom="paragraph">
                  <wp:posOffset>100330</wp:posOffset>
                </wp:positionV>
                <wp:extent cx="3890010" cy="23495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0010" cy="234950"/>
                        </a:xfrm>
                        <a:prstGeom prst="rect">
                          <a:avLst/>
                        </a:prstGeom>
                        <a:solidFill>
                          <a:srgbClr val="E9E9E9"/>
                        </a:solidFill>
                      </wps:spPr>
                      <wps:bodyPr/>
                    </wps:wsp>
                  </a:graphicData>
                </a:graphic>
              </wp:anchor>
            </w:drawing>
          </mc:Choice>
          <mc:Fallback>
            <w:pict>
              <v:rect id="Shape 176" o:spid="_x0000_s1201" style="position:absolute;margin-left:99.85pt;margin-top:7.9pt;width:306.3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9E9E9" stroked="f"/>
            </w:pict>
          </mc:Fallback>
        </mc:AlternateContent>
        <mc:AlternateContent>
          <mc:Choice Requires="wps">
            <w:drawing>
              <wp:anchor simplePos="0" relativeHeight="251657728" behindDoc="1" locked="0" layoutInCell="0" allowOverlap="1">
                <wp:simplePos x="0" y="0"/>
                <wp:positionH relativeFrom="column">
                  <wp:posOffset>1267460</wp:posOffset>
                </wp:positionH>
                <wp:positionV relativeFrom="paragraph">
                  <wp:posOffset>104775</wp:posOffset>
                </wp:positionV>
                <wp:extent cx="389064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064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8pt,8.25pt" to="406.15pt,8.25pt" o:allowincell="f" strokecolor="#202020" strokeweight="0.748pt"/>
            </w:pict>
          </mc:Fallback>
        </mc:AlternateConten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202020"/>
        </w:rPr>
        <w:t>Year-end cash and investment balance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1267460</wp:posOffset>
                </wp:positionH>
                <wp:positionV relativeFrom="paragraph">
                  <wp:posOffset>58420</wp:posOffset>
                </wp:positionV>
                <wp:extent cx="389064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90645" cy="4763"/>
                        </a:xfrm>
                        <a:prstGeom prst="line">
                          <a:avLst/>
                        </a:prstGeom>
                        <a:solidFill>
                          <a:srgbClr val="FFFFFF"/>
                        </a:solidFill>
                        <a:ln w="9499">
                          <a:solidFill>
                            <a:srgbClr val="20202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9.8pt,4.6pt" to="406.15pt,4.6pt" o:allowincell="f" strokecolor="#202020" strokeweight="0.748pt"/>
            </w:pict>
          </mc:Fallback>
        </mc:AlternateContent>
      </w:r>
    </w:p>
    <w:p>
      <w:pPr>
        <w:spacing w:after="0" w:line="235" w:lineRule="exact"/>
        <w:rPr>
          <w:sz w:val="20"/>
          <w:szCs w:val="20"/>
          <w:color w:val="auto"/>
        </w:rPr>
      </w:pPr>
    </w:p>
    <w:p>
      <w:pPr>
        <w:ind w:right="120"/>
        <w:spacing w:after="0" w:line="289" w:lineRule="auto"/>
        <w:rPr>
          <w:sz w:val="20"/>
          <w:szCs w:val="20"/>
          <w:color w:val="auto"/>
        </w:rPr>
      </w:pPr>
      <w:r>
        <w:rPr>
          <w:rFonts w:ascii="Arial" w:cs="Arial" w:eastAsia="Arial" w:hAnsi="Arial"/>
          <w:sz w:val="21"/>
          <w:szCs w:val="21"/>
          <w:b w:val="1"/>
          <w:bCs w:val="1"/>
          <w:color w:val="202020"/>
        </w:rPr>
        <w:t>Policies and Practices Related to the Grant of Certain Equity Awards Close in Time to the Release of Material Nonpublic Information</w:t>
      </w:r>
    </w:p>
    <w:p>
      <w:pPr>
        <w:spacing w:after="0" w:line="89" w:lineRule="exact"/>
        <w:rPr>
          <w:sz w:val="20"/>
          <w:szCs w:val="20"/>
          <w:color w:val="auto"/>
        </w:rPr>
      </w:pPr>
    </w:p>
    <w:p>
      <w:pPr>
        <w:spacing w:after="0" w:line="258" w:lineRule="auto"/>
        <w:rPr>
          <w:sz w:val="20"/>
          <w:szCs w:val="20"/>
          <w:color w:val="auto"/>
        </w:rPr>
      </w:pPr>
      <w:r>
        <w:rPr>
          <w:rFonts w:ascii="Arial" w:cs="Arial" w:eastAsia="Arial" w:hAnsi="Arial"/>
          <w:sz w:val="18"/>
          <w:szCs w:val="18"/>
          <w:color w:val="202020"/>
        </w:rPr>
        <w:t>We have an Equity Award Grant Policy pursuant to which we may grant equity awards, including stock options, to our employees, including the named executive officers, and our non-employee directors. It is our policy that we shall not backdate any equity grant, or manipulate the timing of the public release of material information or of any equity award with the intent of benefiting a grantee under an equity award. We generally grant stock options only on a regularly scheduled basis. Pursuant to our Equity Award Grant Policy, we grant new-hire equity awards, which may include stock options, as of the date of the new hire’s employment start date or date of promotion. In addition, we make annual equity awards, which have historically been in the form of stock options, to our employees, including our named executive officers, on an annual basis on the date of our annual meeting of stockholders. Our non-employee directors receive grants of initial and annual stock option awards, at the time of a director’s initial appointment or election to the board and at the time of each annual meeting of our stockholders, respectively, regardless of whether or not we then have material non-public information (“MNPI”), as further described under the heading “Director Compensation” below. We have not timed the release of MNPI for the purpose of affecting the value of executive compensation.</w:t>
      </w:r>
    </w:p>
    <w:p>
      <w:pPr>
        <w:sectPr>
          <w:pgSz w:w="11880" w:h="15480" w:orient="portrait"/>
          <w:cols w:equalWidth="0" w:num="1">
            <w:col w:w="10140"/>
          </w:cols>
          <w:pgMar w:left="880" w:top="544" w:right="86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46 |</w:t>
        <w:tab/>
        <w:t>Celldex Therapeutics</w:t>
      </w:r>
    </w:p>
    <w:p>
      <w:pPr>
        <w:sectPr>
          <w:pgSz w:w="11880" w:h="15480" w:orient="portrait"/>
          <w:cols w:equalWidth="0" w:num="1">
            <w:col w:w="10140"/>
          </w:cols>
          <w:pgMar w:left="880" w:top="544" w:right="860" w:bottom="96" w:gutter="0" w:footer="0" w:header="0"/>
          <w:type w:val="continuous"/>
        </w:sectPr>
      </w:pPr>
    </w:p>
    <w:bookmarkStart w:id="50" w:name="page51"/>
    <w:bookmarkEnd w:id="50"/>
    <w:p>
      <w:pPr>
        <w:ind w:left="8300"/>
        <w:spacing w:after="0"/>
        <w:rPr>
          <w:sz w:val="20"/>
          <w:szCs w:val="20"/>
          <w:color w:val="auto"/>
        </w:rPr>
      </w:pPr>
      <w:r>
        <w:rPr>
          <w:rFonts w:ascii="Arial" w:cs="Arial" w:eastAsia="Arial" w:hAnsi="Arial"/>
          <w:sz w:val="16"/>
          <w:szCs w:val="16"/>
          <w:color w:val="202020"/>
        </w:rPr>
        <w:t>Executive Compensation</w:t>
      </w:r>
    </w:p>
    <w:p>
      <w:pPr>
        <w:spacing w:after="0" w:line="214"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color w:val="202020"/>
        </w:rPr>
        <w:t>The following table sets forth information relating to the grant of stock options close in time to the filing of certain SEC reports.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Arial" w:cs="Arial" w:eastAsia="Arial" w:hAnsi="Arial"/>
                <w:sz w:val="16"/>
                <w:szCs w:val="16"/>
                <w:b w:val="1"/>
                <w:bCs w:val="1"/>
                <w:color w:val="202020"/>
              </w:rPr>
              <w:t>Percentage change in the closing</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market price of the securities</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underlying the award between the</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trading day ending immediately prior to</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202020"/>
              </w:rPr>
              <w:t>Number of</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the disclosure of material nonpublic</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information and the trading day</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securities</w:t>
            </w:r>
          </w:p>
        </w:tc>
        <w:tc>
          <w:tcPr>
            <w:tcW w:w="1240" w:type="dxa"/>
            <w:vAlign w:val="bottom"/>
          </w:tcPr>
          <w:p>
            <w:pPr>
              <w:jc w:val="right"/>
              <w:spacing w:after="0" w:line="180" w:lineRule="exact"/>
              <w:rPr>
                <w:sz w:val="20"/>
                <w:szCs w:val="20"/>
                <w:color w:val="auto"/>
              </w:rPr>
            </w:pPr>
            <w:r>
              <w:rPr>
                <w:rFonts w:ascii="Arial" w:cs="Arial" w:eastAsia="Arial" w:hAnsi="Arial"/>
                <w:sz w:val="16"/>
                <w:szCs w:val="16"/>
                <w:b w:val="1"/>
                <w:bCs w:val="1"/>
                <w:color w:val="202020"/>
              </w:rPr>
              <w:t>Exercise price</w:t>
            </w:r>
          </w:p>
        </w:tc>
        <w:tc>
          <w:tcPr>
            <w:tcW w:w="1120" w:type="dxa"/>
            <w:vAlign w:val="bottom"/>
          </w:tcPr>
          <w:p>
            <w:pPr>
              <w:jc w:val="right"/>
              <w:ind w:right="60"/>
              <w:spacing w:after="0" w:line="180" w:lineRule="exact"/>
              <w:rPr>
                <w:sz w:val="20"/>
                <w:szCs w:val="20"/>
                <w:color w:val="auto"/>
              </w:rPr>
            </w:pPr>
            <w:r>
              <w:rPr>
                <w:rFonts w:ascii="Arial" w:cs="Arial" w:eastAsia="Arial" w:hAnsi="Arial"/>
                <w:sz w:val="16"/>
                <w:szCs w:val="16"/>
                <w:b w:val="1"/>
                <w:bCs w:val="1"/>
                <w:color w:val="202020"/>
              </w:rPr>
              <w:t>Grant date</w:t>
            </w:r>
          </w:p>
        </w:tc>
        <w:tc>
          <w:tcPr>
            <w:tcW w:w="338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beginning immediately following the</w:t>
            </w:r>
          </w:p>
        </w:tc>
        <w:tc>
          <w:tcPr>
            <w:tcW w:w="0" w:type="dxa"/>
            <w:vAlign w:val="bottom"/>
          </w:tcPr>
          <w:p>
            <w:pPr>
              <w:spacing w:after="0"/>
              <w:rPr>
                <w:sz w:val="1"/>
                <w:szCs w:val="1"/>
                <w:color w:val="auto"/>
              </w:rPr>
            </w:pPr>
          </w:p>
        </w:tc>
      </w:tr>
      <w:tr>
        <w:trPr>
          <w:trHeight w:val="179"/>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underlying</w:t>
            </w:r>
          </w:p>
        </w:tc>
        <w:tc>
          <w:tcPr>
            <w:tcW w:w="124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of the award</w:t>
            </w:r>
          </w:p>
        </w:tc>
        <w:tc>
          <w:tcPr>
            <w:tcW w:w="1120" w:type="dxa"/>
            <w:vAlign w:val="bottom"/>
          </w:tcPr>
          <w:p>
            <w:pPr>
              <w:jc w:val="right"/>
              <w:spacing w:after="0" w:line="179" w:lineRule="exact"/>
              <w:rPr>
                <w:sz w:val="20"/>
                <w:szCs w:val="20"/>
                <w:color w:val="auto"/>
              </w:rPr>
            </w:pPr>
            <w:r>
              <w:rPr>
                <w:rFonts w:ascii="Arial" w:cs="Arial" w:eastAsia="Arial" w:hAnsi="Arial"/>
                <w:sz w:val="16"/>
                <w:szCs w:val="16"/>
                <w:b w:val="1"/>
                <w:bCs w:val="1"/>
                <w:color w:val="202020"/>
              </w:rPr>
              <w:t>fair value of</w:t>
            </w:r>
          </w:p>
        </w:tc>
        <w:tc>
          <w:tcPr>
            <w:tcW w:w="3380" w:type="dxa"/>
            <w:vAlign w:val="bottom"/>
          </w:tcPr>
          <w:p>
            <w:pPr>
              <w:jc w:val="center"/>
              <w:spacing w:after="0" w:line="179" w:lineRule="exact"/>
              <w:rPr>
                <w:sz w:val="20"/>
                <w:szCs w:val="20"/>
                <w:color w:val="auto"/>
              </w:rPr>
            </w:pPr>
            <w:r>
              <w:rPr>
                <w:rFonts w:ascii="Arial" w:cs="Arial" w:eastAsia="Arial" w:hAnsi="Arial"/>
                <w:sz w:val="16"/>
                <w:szCs w:val="16"/>
                <w:b w:val="1"/>
                <w:bCs w:val="1"/>
                <w:color w:val="202020"/>
              </w:rPr>
              <w:t>disclosure of material nonpublic</w:t>
            </w:r>
          </w:p>
        </w:tc>
        <w:tc>
          <w:tcPr>
            <w:tcW w:w="0" w:type="dxa"/>
            <w:vAlign w:val="bottom"/>
          </w:tcPr>
          <w:p>
            <w:pPr>
              <w:spacing w:after="0"/>
              <w:rPr>
                <w:sz w:val="1"/>
                <w:szCs w:val="1"/>
                <w:color w:val="auto"/>
              </w:rPr>
            </w:pPr>
          </w:p>
        </w:tc>
      </w:tr>
      <w:tr>
        <w:trPr>
          <w:trHeight w:val="261"/>
        </w:trPr>
        <w:tc>
          <w:tcPr>
            <w:tcW w:w="220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Name</w:t>
            </w:r>
          </w:p>
        </w:tc>
        <w:tc>
          <w:tcPr>
            <w:tcW w:w="1160" w:type="dxa"/>
            <w:vAlign w:val="bottom"/>
            <w:tcBorders>
              <w:bottom w:val="single" w:sz="8" w:color="202020"/>
            </w:tcBorders>
          </w:tcPr>
          <w:p>
            <w:pPr>
              <w:jc w:val="right"/>
              <w:spacing w:after="0"/>
              <w:rPr>
                <w:sz w:val="20"/>
                <w:szCs w:val="20"/>
                <w:color w:val="auto"/>
              </w:rPr>
            </w:pPr>
            <w:r>
              <w:rPr>
                <w:rFonts w:ascii="Arial" w:cs="Arial" w:eastAsia="Arial" w:hAnsi="Arial"/>
                <w:sz w:val="16"/>
                <w:szCs w:val="16"/>
                <w:b w:val="1"/>
                <w:bCs w:val="1"/>
                <w:color w:val="202020"/>
              </w:rPr>
              <w:t>Grant date</w:t>
            </w:r>
          </w:p>
        </w:tc>
        <w:tc>
          <w:tcPr>
            <w:tcW w:w="102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the award</w:t>
            </w:r>
          </w:p>
        </w:tc>
        <w:tc>
          <w:tcPr>
            <w:tcW w:w="124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($/Sh)</w:t>
            </w:r>
          </w:p>
        </w:tc>
        <w:tc>
          <w:tcPr>
            <w:tcW w:w="1120" w:type="dxa"/>
            <w:vAlign w:val="bottom"/>
            <w:tcBorders>
              <w:bottom w:val="single" w:sz="8" w:color="202020"/>
            </w:tcBorders>
          </w:tcPr>
          <w:p>
            <w:pPr>
              <w:jc w:val="right"/>
              <w:spacing w:after="0"/>
              <w:rPr>
                <w:sz w:val="20"/>
                <w:szCs w:val="20"/>
                <w:color w:val="auto"/>
              </w:rPr>
            </w:pPr>
            <w:r>
              <w:rPr>
                <w:rFonts w:ascii="Arial" w:cs="Arial" w:eastAsia="Arial" w:hAnsi="Arial"/>
                <w:sz w:val="16"/>
                <w:szCs w:val="16"/>
                <w:b w:val="1"/>
                <w:bCs w:val="1"/>
                <w:color w:val="202020"/>
              </w:rPr>
              <w:t>the award</w:t>
            </w:r>
            <w:r>
              <w:rPr>
                <w:rFonts w:ascii="Arial" w:cs="Arial" w:eastAsia="Arial" w:hAnsi="Arial"/>
                <w:sz w:val="19"/>
                <w:szCs w:val="19"/>
                <w:b w:val="1"/>
                <w:bCs w:val="1"/>
                <w:color w:val="202020"/>
                <w:vertAlign w:val="superscript"/>
              </w:rPr>
              <w:t>(1)</w:t>
            </w:r>
          </w:p>
        </w:tc>
        <w:tc>
          <w:tcPr>
            <w:tcW w:w="33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information</w:t>
            </w:r>
            <w:r>
              <w:rPr>
                <w:rFonts w:ascii="Arial" w:cs="Arial" w:eastAsia="Arial" w:hAnsi="Arial"/>
                <w:sz w:val="19"/>
                <w:szCs w:val="19"/>
                <w:b w:val="1"/>
                <w:bCs w:val="1"/>
                <w:color w:val="202020"/>
                <w:vertAlign w:val="superscript"/>
              </w:rPr>
              <w:t>(2)</w:t>
            </w:r>
          </w:p>
        </w:tc>
        <w:tc>
          <w:tcPr>
            <w:tcW w:w="0" w:type="dxa"/>
            <w:vAlign w:val="bottom"/>
          </w:tcPr>
          <w:p>
            <w:pPr>
              <w:spacing w:after="0"/>
              <w:rPr>
                <w:sz w:val="1"/>
                <w:szCs w:val="1"/>
                <w:color w:val="auto"/>
              </w:rPr>
            </w:pPr>
          </w:p>
        </w:tc>
      </w:tr>
      <w:tr>
        <w:trPr>
          <w:trHeight w:val="226"/>
        </w:trPr>
        <w:tc>
          <w:tcPr>
            <w:tcW w:w="2200" w:type="dxa"/>
            <w:vAlign w:val="bottom"/>
          </w:tcPr>
          <w:p>
            <w:pPr>
              <w:ind w:left="60"/>
              <w:spacing w:after="0"/>
              <w:rPr>
                <w:sz w:val="20"/>
                <w:szCs w:val="20"/>
                <w:color w:val="auto"/>
              </w:rPr>
            </w:pPr>
            <w:r>
              <w:rPr>
                <w:rFonts w:ascii="Arial" w:cs="Arial" w:eastAsia="Arial" w:hAnsi="Arial"/>
                <w:sz w:val="16"/>
                <w:szCs w:val="16"/>
                <w:b w:val="1"/>
                <w:bCs w:val="1"/>
                <w:color w:val="202020"/>
              </w:rPr>
              <w:t>(a)</w:t>
            </w:r>
          </w:p>
        </w:tc>
        <w:tc>
          <w:tcPr>
            <w:tcW w:w="1160" w:type="dxa"/>
            <w:vAlign w:val="bottom"/>
          </w:tcPr>
          <w:p>
            <w:pPr>
              <w:jc w:val="right"/>
              <w:ind w:right="340"/>
              <w:spacing w:after="0"/>
              <w:rPr>
                <w:sz w:val="20"/>
                <w:szCs w:val="20"/>
                <w:color w:val="auto"/>
              </w:rPr>
            </w:pPr>
            <w:r>
              <w:rPr>
                <w:rFonts w:ascii="Arial" w:cs="Arial" w:eastAsia="Arial" w:hAnsi="Arial"/>
                <w:sz w:val="16"/>
                <w:szCs w:val="16"/>
                <w:b w:val="1"/>
                <w:bCs w:val="1"/>
                <w:color w:val="202020"/>
              </w:rPr>
              <w:t>(b)</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202020"/>
              </w:rPr>
              <w:t>(c)</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202020"/>
                <w:w w:val="97"/>
              </w:rPr>
              <w:t>(d)</w:t>
            </w:r>
          </w:p>
        </w:tc>
        <w:tc>
          <w:tcPr>
            <w:tcW w:w="1120" w:type="dxa"/>
            <w:vAlign w:val="bottom"/>
          </w:tcPr>
          <w:p>
            <w:pPr>
              <w:jc w:val="right"/>
              <w:ind w:right="380"/>
              <w:spacing w:after="0"/>
              <w:rPr>
                <w:sz w:val="20"/>
                <w:szCs w:val="20"/>
                <w:color w:val="auto"/>
              </w:rPr>
            </w:pPr>
            <w:r>
              <w:rPr>
                <w:rFonts w:ascii="Arial" w:cs="Arial" w:eastAsia="Arial" w:hAnsi="Arial"/>
                <w:sz w:val="16"/>
                <w:szCs w:val="16"/>
                <w:b w:val="1"/>
                <w:bCs w:val="1"/>
                <w:color w:val="202020"/>
              </w:rPr>
              <w:t>(e)</w:t>
            </w:r>
          </w:p>
        </w:tc>
        <w:tc>
          <w:tcPr>
            <w:tcW w:w="3380" w:type="dxa"/>
            <w:vAlign w:val="bottom"/>
          </w:tcPr>
          <w:p>
            <w:pPr>
              <w:jc w:val="center"/>
              <w:spacing w:after="0"/>
              <w:rPr>
                <w:sz w:val="20"/>
                <w:szCs w:val="20"/>
                <w:color w:val="auto"/>
              </w:rPr>
            </w:pPr>
            <w:r>
              <w:rPr>
                <w:rFonts w:ascii="Arial" w:cs="Arial" w:eastAsia="Arial" w:hAnsi="Arial"/>
                <w:sz w:val="16"/>
                <w:szCs w:val="16"/>
                <w:b w:val="1"/>
                <w:bCs w:val="1"/>
                <w:color w:val="202020"/>
              </w:rPr>
              <w:t>(f)</w:t>
            </w:r>
          </w:p>
        </w:tc>
        <w:tc>
          <w:tcPr>
            <w:tcW w:w="0" w:type="dxa"/>
            <w:vAlign w:val="bottom"/>
          </w:tcPr>
          <w:p>
            <w:pPr>
              <w:spacing w:after="0"/>
              <w:rPr>
                <w:sz w:val="1"/>
                <w:szCs w:val="1"/>
                <w:color w:val="auto"/>
              </w:rPr>
            </w:pPr>
          </w:p>
        </w:tc>
      </w:tr>
      <w:tr>
        <w:trPr>
          <w:trHeight w:val="44"/>
        </w:trPr>
        <w:tc>
          <w:tcPr>
            <w:tcW w:w="2200" w:type="dxa"/>
            <w:vAlign w:val="bottom"/>
            <w:tcBorders>
              <w:bottom w:val="single" w:sz="8" w:color="202020"/>
            </w:tcBorders>
          </w:tcPr>
          <w:p>
            <w:pPr>
              <w:spacing w:after="0"/>
              <w:rPr>
                <w:sz w:val="3"/>
                <w:szCs w:val="3"/>
                <w:color w:val="auto"/>
              </w:rPr>
            </w:pPr>
          </w:p>
        </w:tc>
        <w:tc>
          <w:tcPr>
            <w:tcW w:w="1160" w:type="dxa"/>
            <w:vAlign w:val="bottom"/>
            <w:tcBorders>
              <w:bottom w:val="single" w:sz="8" w:color="202020"/>
            </w:tcBorders>
          </w:tcPr>
          <w:p>
            <w:pPr>
              <w:spacing w:after="0"/>
              <w:rPr>
                <w:sz w:val="3"/>
                <w:szCs w:val="3"/>
                <w:color w:val="auto"/>
              </w:rPr>
            </w:pPr>
          </w:p>
        </w:tc>
        <w:tc>
          <w:tcPr>
            <w:tcW w:w="1020" w:type="dxa"/>
            <w:vAlign w:val="bottom"/>
            <w:tcBorders>
              <w:bottom w:val="single" w:sz="8" w:color="202020"/>
            </w:tcBorders>
          </w:tcPr>
          <w:p>
            <w:pPr>
              <w:spacing w:after="0"/>
              <w:rPr>
                <w:sz w:val="3"/>
                <w:szCs w:val="3"/>
                <w:color w:val="auto"/>
              </w:rPr>
            </w:pPr>
          </w:p>
        </w:tc>
        <w:tc>
          <w:tcPr>
            <w:tcW w:w="1240" w:type="dxa"/>
            <w:vAlign w:val="bottom"/>
            <w:tcBorders>
              <w:bottom w:val="single" w:sz="8" w:color="202020"/>
            </w:tcBorders>
          </w:tcPr>
          <w:p>
            <w:pPr>
              <w:spacing w:after="0"/>
              <w:rPr>
                <w:sz w:val="3"/>
                <w:szCs w:val="3"/>
                <w:color w:val="auto"/>
              </w:rPr>
            </w:pPr>
          </w:p>
        </w:tc>
        <w:tc>
          <w:tcPr>
            <w:tcW w:w="1120" w:type="dxa"/>
            <w:vAlign w:val="bottom"/>
            <w:tcBorders>
              <w:bottom w:val="single" w:sz="8" w:color="202020"/>
            </w:tcBorders>
          </w:tcPr>
          <w:p>
            <w:pPr>
              <w:spacing w:after="0"/>
              <w:rPr>
                <w:sz w:val="3"/>
                <w:szCs w:val="3"/>
                <w:color w:val="auto"/>
              </w:rPr>
            </w:pPr>
          </w:p>
        </w:tc>
        <w:tc>
          <w:tcPr>
            <w:tcW w:w="3380" w:type="dxa"/>
            <w:vAlign w:val="bottom"/>
            <w:tcBorders>
              <w:bottom w:val="single" w:sz="8" w:color="202020"/>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2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Anthony S. Marucci</w:t>
            </w:r>
          </w:p>
        </w:tc>
        <w:tc>
          <w:tcPr>
            <w:tcW w:w="11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6/5/2025</w:t>
            </w:r>
          </w:p>
        </w:tc>
        <w:tc>
          <w:tcPr>
            <w:tcW w:w="10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300,000</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11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$13.43</w:t>
            </w:r>
          </w:p>
        </w:tc>
        <w:tc>
          <w:tcPr>
            <w:tcW w:w="3380" w:type="dxa"/>
            <w:vAlign w:val="bottom"/>
            <w:tcBorders>
              <w:bottom w:val="single" w:sz="8" w:color="E9E9E9"/>
            </w:tcBorders>
            <w:shd w:val="clear" w:color="auto" w:fill="E9E9E9"/>
          </w:tcPr>
          <w:p>
            <w:pPr>
              <w:ind w:left="2240"/>
              <w:spacing w:after="0"/>
              <w:rPr>
                <w:sz w:val="20"/>
                <w:szCs w:val="20"/>
                <w:color w:val="auto"/>
              </w:rPr>
            </w:pPr>
            <w:r>
              <w:rPr>
                <w:rFonts w:ascii="Arial" w:cs="Arial" w:eastAsia="Arial" w:hAnsi="Arial"/>
                <w:sz w:val="16"/>
                <w:szCs w:val="16"/>
                <w:color w:val="202020"/>
              </w:rPr>
              <w:t>6.0% increase</w:t>
            </w:r>
          </w:p>
        </w:tc>
        <w:tc>
          <w:tcPr>
            <w:tcW w:w="0" w:type="dxa"/>
            <w:vAlign w:val="bottom"/>
          </w:tcPr>
          <w:p>
            <w:pPr>
              <w:spacing w:after="0"/>
              <w:rPr>
                <w:sz w:val="1"/>
                <w:szCs w:val="1"/>
                <w:color w:val="auto"/>
              </w:rPr>
            </w:pPr>
          </w:p>
        </w:tc>
      </w:tr>
      <w:tr>
        <w:trPr>
          <w:trHeight w:val="226"/>
        </w:trPr>
        <w:tc>
          <w:tcPr>
            <w:tcW w:w="2200" w:type="dxa"/>
            <w:vAlign w:val="bottom"/>
          </w:tcPr>
          <w:p>
            <w:pPr>
              <w:ind w:left="60"/>
              <w:spacing w:after="0"/>
              <w:rPr>
                <w:sz w:val="20"/>
                <w:szCs w:val="20"/>
                <w:color w:val="auto"/>
              </w:rPr>
            </w:pPr>
            <w:r>
              <w:rPr>
                <w:rFonts w:ascii="Arial" w:cs="Arial" w:eastAsia="Arial" w:hAnsi="Arial"/>
                <w:sz w:val="16"/>
                <w:szCs w:val="16"/>
                <w:color w:val="202020"/>
              </w:rPr>
              <w:t>Tibor Keler, Ph.D.</w:t>
            </w:r>
          </w:p>
        </w:tc>
        <w:tc>
          <w:tcPr>
            <w:tcW w:w="1160" w:type="dxa"/>
            <w:vAlign w:val="bottom"/>
          </w:tcPr>
          <w:p>
            <w:pPr>
              <w:jc w:val="right"/>
              <w:spacing w:after="0"/>
              <w:rPr>
                <w:sz w:val="20"/>
                <w:szCs w:val="20"/>
                <w:color w:val="auto"/>
              </w:rPr>
            </w:pPr>
            <w:r>
              <w:rPr>
                <w:rFonts w:ascii="Arial" w:cs="Arial" w:eastAsia="Arial" w:hAnsi="Arial"/>
                <w:sz w:val="16"/>
                <w:szCs w:val="16"/>
                <w:color w:val="202020"/>
              </w:rPr>
              <w:t>6/5/2025</w:t>
            </w:r>
          </w:p>
        </w:tc>
        <w:tc>
          <w:tcPr>
            <w:tcW w:w="1020" w:type="dxa"/>
            <w:vAlign w:val="bottom"/>
          </w:tcPr>
          <w:p>
            <w:pPr>
              <w:jc w:val="right"/>
              <w:spacing w:after="0"/>
              <w:rPr>
                <w:sz w:val="20"/>
                <w:szCs w:val="20"/>
                <w:color w:val="auto"/>
              </w:rPr>
            </w:pPr>
            <w:r>
              <w:rPr>
                <w:rFonts w:ascii="Arial" w:cs="Arial" w:eastAsia="Arial" w:hAnsi="Arial"/>
                <w:sz w:val="16"/>
                <w:szCs w:val="16"/>
                <w:color w:val="202020"/>
              </w:rPr>
              <w:t>93,000</w:t>
            </w:r>
          </w:p>
        </w:tc>
        <w:tc>
          <w:tcPr>
            <w:tcW w:w="1240" w:type="dxa"/>
            <w:vAlign w:val="bottom"/>
          </w:tcPr>
          <w:p>
            <w:pPr>
              <w:jc w:val="right"/>
              <w:spacing w:after="0"/>
              <w:rPr>
                <w:sz w:val="20"/>
                <w:szCs w:val="20"/>
                <w:color w:val="auto"/>
              </w:rPr>
            </w:pPr>
            <w:r>
              <w:rPr>
                <w:rFonts w:ascii="Arial" w:cs="Arial" w:eastAsia="Arial" w:hAnsi="Arial"/>
                <w:sz w:val="16"/>
                <w:szCs w:val="16"/>
                <w:color w:val="202020"/>
              </w:rPr>
              <w:t>$19.53</w:t>
            </w:r>
          </w:p>
        </w:tc>
        <w:tc>
          <w:tcPr>
            <w:tcW w:w="1120" w:type="dxa"/>
            <w:vAlign w:val="bottom"/>
          </w:tcPr>
          <w:p>
            <w:pPr>
              <w:jc w:val="right"/>
              <w:spacing w:after="0"/>
              <w:rPr>
                <w:sz w:val="20"/>
                <w:szCs w:val="20"/>
                <w:color w:val="auto"/>
              </w:rPr>
            </w:pPr>
            <w:r>
              <w:rPr>
                <w:rFonts w:ascii="Arial" w:cs="Arial" w:eastAsia="Arial" w:hAnsi="Arial"/>
                <w:sz w:val="16"/>
                <w:szCs w:val="16"/>
                <w:color w:val="202020"/>
              </w:rPr>
              <w:t>$13.43</w:t>
            </w:r>
          </w:p>
        </w:tc>
        <w:tc>
          <w:tcPr>
            <w:tcW w:w="3380" w:type="dxa"/>
            <w:vAlign w:val="bottom"/>
          </w:tcPr>
          <w:p>
            <w:pPr>
              <w:ind w:left="2240"/>
              <w:spacing w:after="0"/>
              <w:rPr>
                <w:sz w:val="20"/>
                <w:szCs w:val="20"/>
                <w:color w:val="auto"/>
              </w:rPr>
            </w:pPr>
            <w:r>
              <w:rPr>
                <w:rFonts w:ascii="Arial" w:cs="Arial" w:eastAsia="Arial" w:hAnsi="Arial"/>
                <w:sz w:val="16"/>
                <w:szCs w:val="16"/>
                <w:color w:val="202020"/>
              </w:rPr>
              <w:t>6.0% increase</w:t>
            </w: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2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Elizabeth Crowley</w:t>
            </w:r>
          </w:p>
        </w:tc>
        <w:tc>
          <w:tcPr>
            <w:tcW w:w="11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6/5/2025</w:t>
            </w:r>
          </w:p>
        </w:tc>
        <w:tc>
          <w:tcPr>
            <w:tcW w:w="10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85,000</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11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$13.43</w:t>
            </w:r>
          </w:p>
        </w:tc>
        <w:tc>
          <w:tcPr>
            <w:tcW w:w="3380" w:type="dxa"/>
            <w:vAlign w:val="bottom"/>
            <w:tcBorders>
              <w:bottom w:val="single" w:sz="8" w:color="E9E9E9"/>
            </w:tcBorders>
            <w:shd w:val="clear" w:color="auto" w:fill="E9E9E9"/>
          </w:tcPr>
          <w:p>
            <w:pPr>
              <w:ind w:left="2240"/>
              <w:spacing w:after="0"/>
              <w:rPr>
                <w:sz w:val="20"/>
                <w:szCs w:val="20"/>
                <w:color w:val="auto"/>
              </w:rPr>
            </w:pPr>
            <w:r>
              <w:rPr>
                <w:rFonts w:ascii="Arial" w:cs="Arial" w:eastAsia="Arial" w:hAnsi="Arial"/>
                <w:sz w:val="16"/>
                <w:szCs w:val="16"/>
                <w:color w:val="202020"/>
              </w:rPr>
              <w:t>6.0% increase</w:t>
            </w:r>
          </w:p>
        </w:tc>
        <w:tc>
          <w:tcPr>
            <w:tcW w:w="0" w:type="dxa"/>
            <w:vAlign w:val="bottom"/>
          </w:tcPr>
          <w:p>
            <w:pPr>
              <w:spacing w:after="0"/>
              <w:rPr>
                <w:sz w:val="1"/>
                <w:szCs w:val="1"/>
                <w:color w:val="auto"/>
              </w:rPr>
            </w:pPr>
          </w:p>
        </w:tc>
      </w:tr>
      <w:tr>
        <w:trPr>
          <w:trHeight w:val="226"/>
        </w:trPr>
        <w:tc>
          <w:tcPr>
            <w:tcW w:w="220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1160" w:type="dxa"/>
            <w:vAlign w:val="bottom"/>
          </w:tcPr>
          <w:p>
            <w:pPr>
              <w:jc w:val="right"/>
              <w:spacing w:after="0"/>
              <w:rPr>
                <w:sz w:val="20"/>
                <w:szCs w:val="20"/>
                <w:color w:val="auto"/>
              </w:rPr>
            </w:pPr>
            <w:r>
              <w:rPr>
                <w:rFonts w:ascii="Arial" w:cs="Arial" w:eastAsia="Arial" w:hAnsi="Arial"/>
                <w:sz w:val="16"/>
                <w:szCs w:val="16"/>
                <w:color w:val="202020"/>
              </w:rPr>
              <w:t>6/5/2025</w:t>
            </w:r>
          </w:p>
        </w:tc>
        <w:tc>
          <w:tcPr>
            <w:tcW w:w="1020" w:type="dxa"/>
            <w:vAlign w:val="bottom"/>
          </w:tcPr>
          <w:p>
            <w:pPr>
              <w:jc w:val="right"/>
              <w:spacing w:after="0"/>
              <w:rPr>
                <w:sz w:val="20"/>
                <w:szCs w:val="20"/>
                <w:color w:val="auto"/>
              </w:rPr>
            </w:pPr>
            <w:r>
              <w:rPr>
                <w:rFonts w:ascii="Arial" w:cs="Arial" w:eastAsia="Arial" w:hAnsi="Arial"/>
                <w:sz w:val="16"/>
                <w:szCs w:val="16"/>
                <w:color w:val="202020"/>
              </w:rPr>
              <w:t>82,000</w:t>
            </w:r>
          </w:p>
        </w:tc>
        <w:tc>
          <w:tcPr>
            <w:tcW w:w="1240" w:type="dxa"/>
            <w:vAlign w:val="bottom"/>
          </w:tcPr>
          <w:p>
            <w:pPr>
              <w:jc w:val="right"/>
              <w:spacing w:after="0"/>
              <w:rPr>
                <w:sz w:val="20"/>
                <w:szCs w:val="20"/>
                <w:color w:val="auto"/>
              </w:rPr>
            </w:pPr>
            <w:r>
              <w:rPr>
                <w:rFonts w:ascii="Arial" w:cs="Arial" w:eastAsia="Arial" w:hAnsi="Arial"/>
                <w:sz w:val="16"/>
                <w:szCs w:val="16"/>
                <w:color w:val="202020"/>
              </w:rPr>
              <w:t>$19.53</w:t>
            </w:r>
          </w:p>
        </w:tc>
        <w:tc>
          <w:tcPr>
            <w:tcW w:w="1120" w:type="dxa"/>
            <w:vAlign w:val="bottom"/>
          </w:tcPr>
          <w:p>
            <w:pPr>
              <w:jc w:val="right"/>
              <w:spacing w:after="0"/>
              <w:rPr>
                <w:sz w:val="20"/>
                <w:szCs w:val="20"/>
                <w:color w:val="auto"/>
              </w:rPr>
            </w:pPr>
            <w:r>
              <w:rPr>
                <w:rFonts w:ascii="Arial" w:cs="Arial" w:eastAsia="Arial" w:hAnsi="Arial"/>
                <w:sz w:val="16"/>
                <w:szCs w:val="16"/>
                <w:color w:val="202020"/>
              </w:rPr>
              <w:t>$13.43</w:t>
            </w:r>
          </w:p>
        </w:tc>
        <w:tc>
          <w:tcPr>
            <w:tcW w:w="3380" w:type="dxa"/>
            <w:vAlign w:val="bottom"/>
          </w:tcPr>
          <w:p>
            <w:pPr>
              <w:ind w:left="2240"/>
              <w:spacing w:after="0"/>
              <w:rPr>
                <w:sz w:val="20"/>
                <w:szCs w:val="20"/>
                <w:color w:val="auto"/>
              </w:rPr>
            </w:pPr>
            <w:r>
              <w:rPr>
                <w:rFonts w:ascii="Arial" w:cs="Arial" w:eastAsia="Arial" w:hAnsi="Arial"/>
                <w:sz w:val="16"/>
                <w:szCs w:val="16"/>
                <w:color w:val="202020"/>
              </w:rPr>
              <w:t>6.0% increase</w:t>
            </w: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2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116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6/5/2025</w:t>
            </w:r>
          </w:p>
        </w:tc>
        <w:tc>
          <w:tcPr>
            <w:tcW w:w="10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81,000</w:t>
            </w:r>
          </w:p>
        </w:tc>
        <w:tc>
          <w:tcPr>
            <w:tcW w:w="124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$19.53</w:t>
            </w:r>
          </w:p>
        </w:tc>
        <w:tc>
          <w:tcPr>
            <w:tcW w:w="112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$13.43</w:t>
            </w:r>
          </w:p>
        </w:tc>
        <w:tc>
          <w:tcPr>
            <w:tcW w:w="3380" w:type="dxa"/>
            <w:vAlign w:val="bottom"/>
            <w:tcBorders>
              <w:bottom w:val="single" w:sz="8" w:color="E9E9E9"/>
            </w:tcBorders>
            <w:shd w:val="clear" w:color="auto" w:fill="E9E9E9"/>
          </w:tcPr>
          <w:p>
            <w:pPr>
              <w:ind w:left="2240"/>
              <w:spacing w:after="0"/>
              <w:rPr>
                <w:sz w:val="20"/>
                <w:szCs w:val="20"/>
                <w:color w:val="auto"/>
              </w:rPr>
            </w:pPr>
            <w:r>
              <w:rPr>
                <w:rFonts w:ascii="Arial" w:cs="Arial" w:eastAsia="Arial" w:hAnsi="Arial"/>
                <w:sz w:val="16"/>
                <w:szCs w:val="16"/>
                <w:color w:val="202020"/>
              </w:rPr>
              <w:t>6.0% increase</w:t>
            </w:r>
          </w:p>
        </w:tc>
        <w:tc>
          <w:tcPr>
            <w:tcW w:w="0" w:type="dxa"/>
            <w:vAlign w:val="bottom"/>
          </w:tcPr>
          <w:p>
            <w:pPr>
              <w:spacing w:after="0"/>
              <w:rPr>
                <w:sz w:val="1"/>
                <w:szCs w:val="1"/>
                <w:color w:val="auto"/>
              </w:rPr>
            </w:pPr>
          </w:p>
        </w:tc>
      </w:tr>
      <w:tr>
        <w:trPr>
          <w:trHeight w:val="30"/>
        </w:trPr>
        <w:tc>
          <w:tcPr>
            <w:tcW w:w="2200" w:type="dxa"/>
            <w:vAlign w:val="bottom"/>
            <w:shd w:val="clear" w:color="auto" w:fill="202020"/>
          </w:tcPr>
          <w:p>
            <w:pPr>
              <w:spacing w:after="0"/>
              <w:rPr>
                <w:sz w:val="2"/>
                <w:szCs w:val="2"/>
                <w:color w:val="auto"/>
              </w:rPr>
            </w:pPr>
          </w:p>
        </w:tc>
        <w:tc>
          <w:tcPr>
            <w:tcW w:w="1160" w:type="dxa"/>
            <w:vAlign w:val="bottom"/>
            <w:shd w:val="clear" w:color="auto" w:fill="202020"/>
          </w:tcPr>
          <w:p>
            <w:pPr>
              <w:spacing w:after="0"/>
              <w:rPr>
                <w:sz w:val="2"/>
                <w:szCs w:val="2"/>
                <w:color w:val="auto"/>
              </w:rPr>
            </w:pPr>
          </w:p>
        </w:tc>
        <w:tc>
          <w:tcPr>
            <w:tcW w:w="1020" w:type="dxa"/>
            <w:vAlign w:val="bottom"/>
            <w:shd w:val="clear" w:color="auto" w:fill="202020"/>
          </w:tcPr>
          <w:p>
            <w:pPr>
              <w:spacing w:after="0"/>
              <w:rPr>
                <w:sz w:val="2"/>
                <w:szCs w:val="2"/>
                <w:color w:val="auto"/>
              </w:rPr>
            </w:pPr>
          </w:p>
        </w:tc>
        <w:tc>
          <w:tcPr>
            <w:tcW w:w="1240" w:type="dxa"/>
            <w:vAlign w:val="bottom"/>
            <w:shd w:val="clear" w:color="auto" w:fill="202020"/>
          </w:tcPr>
          <w:p>
            <w:pPr>
              <w:spacing w:after="0"/>
              <w:rPr>
                <w:sz w:val="2"/>
                <w:szCs w:val="2"/>
                <w:color w:val="auto"/>
              </w:rPr>
            </w:pPr>
          </w:p>
        </w:tc>
        <w:tc>
          <w:tcPr>
            <w:tcW w:w="1120" w:type="dxa"/>
            <w:vAlign w:val="bottom"/>
            <w:shd w:val="clear" w:color="auto" w:fill="202020"/>
          </w:tcPr>
          <w:p>
            <w:pPr>
              <w:spacing w:after="0"/>
              <w:rPr>
                <w:sz w:val="2"/>
                <w:szCs w:val="2"/>
                <w:color w:val="auto"/>
              </w:rPr>
            </w:pPr>
          </w:p>
        </w:tc>
        <w:tc>
          <w:tcPr>
            <w:tcW w:w="3380" w:type="dxa"/>
            <w:vAlign w:val="bottom"/>
            <w:shd w:val="clear" w:color="auto" w:fill="20202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0" w:hanging="399"/>
        <w:spacing w:after="0"/>
        <w:tabs>
          <w:tab w:leader="none" w:pos="400" w:val="left"/>
        </w:tabs>
        <w:numPr>
          <w:ilvl w:val="0"/>
          <w:numId w:val="34"/>
        </w:numPr>
        <w:rPr>
          <w:rFonts w:ascii="Arial" w:cs="Arial" w:eastAsia="Arial" w:hAnsi="Arial"/>
          <w:sz w:val="16"/>
          <w:szCs w:val="16"/>
          <w:color w:val="202020"/>
        </w:rPr>
      </w:pPr>
      <w:r>
        <w:rPr>
          <w:rFonts w:ascii="Arial" w:cs="Arial" w:eastAsia="Arial" w:hAnsi="Arial"/>
          <w:sz w:val="16"/>
          <w:szCs w:val="16"/>
          <w:color w:val="202020"/>
        </w:rPr>
        <w:t>Amounts reflect the grant date fair value of each option award granted, calculated in accordance with ASC 718.</w:t>
      </w:r>
    </w:p>
    <w:p>
      <w:pPr>
        <w:spacing w:after="0" w:line="99" w:lineRule="exact"/>
        <w:rPr>
          <w:rFonts w:ascii="Arial" w:cs="Arial" w:eastAsia="Arial" w:hAnsi="Arial"/>
          <w:sz w:val="16"/>
          <w:szCs w:val="16"/>
          <w:color w:val="202020"/>
        </w:rPr>
      </w:pPr>
    </w:p>
    <w:p>
      <w:pPr>
        <w:ind w:left="400" w:right="20" w:hanging="399"/>
        <w:spacing w:after="0" w:line="286" w:lineRule="auto"/>
        <w:tabs>
          <w:tab w:leader="none" w:pos="400" w:val="left"/>
        </w:tabs>
        <w:numPr>
          <w:ilvl w:val="0"/>
          <w:numId w:val="34"/>
        </w:numPr>
        <w:rPr>
          <w:rFonts w:ascii="Arial" w:cs="Arial" w:eastAsia="Arial" w:hAnsi="Arial"/>
          <w:sz w:val="16"/>
          <w:szCs w:val="16"/>
          <w:color w:val="202020"/>
        </w:rPr>
      </w:pPr>
      <w:r>
        <w:rPr>
          <w:rFonts w:ascii="Arial" w:cs="Arial" w:eastAsia="Arial" w:hAnsi="Arial"/>
          <w:sz w:val="16"/>
          <w:szCs w:val="16"/>
          <w:color w:val="202020"/>
        </w:rPr>
        <w:t>Percentage change in the closing market price of the securities underlying the award between the trading day ending immediately prior to the filing of the Company’s Current Report on Form 8-K announcing the results of the 2025 Annual Meeting (the “Annual Meeting 8-K”) and the trading day beginning immediately following the date of the filing of the Annual Meeting 8-K.</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Director Compensation</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202020"/>
        </w:rPr>
        <w:t>Effective June 2024, Directors who are not our employees are each entitled to receive a retainer fee of $48,000 each fiscal year (“Annual Retainer”). The Chair of the Board is entitled to receive an annual retainer fee of $35,000 in addition to his or her Annual Retainer and any retainer for committee service. The Chairperson of the Audit Committee, Compensation and Organization Development Committee, Nominating and Corporate Governance Committee and Science and Commercialization Committee of the Board of Directors is entitled to receive an annual retainer fee of $20,000, $15,000, $10,000 and $10,000, respectively, in addition to his or her Annual Retainer. Each committee member of the Audit Committee, Compensation and Organization Development Committee, Nominating and Corporate Governance Committee and Science and Commercialization Committee (other than the Chairperson of a committee) will receive an annual retainer of $10,000, $7,500, $5,000 and $5,000, respectively, in addition to his or her Annual Retainer. Stipends and retainers are paid in advance on a quarterly basis. The Directors shall be reimbursed for necessary travel and business expenses as incurred but will not receive any additional fees for attending meetings or calls of the Board of Directors.</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202020"/>
        </w:rPr>
        <w:t>Effective June 2024, Directors who are not our employees are each entitled to receive the lesser of 16,500 options or the number of options subject to the existing Director annual compensation limit of $750,000 and, for new directors, the lesser of 33,000 options or the number of options subject to the existing Director compensation limit of $1,200,000. In June 2025, all non-employee directors received an annual stock option grant to purchase 16,500 shares of the Company’s common stock following the 2025 Annual Meeting of Stockholders, except Ms. Torres who received a stock option grant to purchase 33,000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02020"/>
        </w:rPr>
        <w:t>The following table summarizes the annual compensation for our non-employee directors during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202020"/>
              </w:rPr>
              <w:t>Change in</w:t>
            </w: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Pension</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660" w:type="dxa"/>
            <w:vAlign w:val="bottom"/>
            <w:vMerge w:val="restart"/>
          </w:tcPr>
          <w:p>
            <w:pPr>
              <w:jc w:val="center"/>
              <w:ind w:left="460"/>
              <w:spacing w:after="0"/>
              <w:rPr>
                <w:sz w:val="20"/>
                <w:szCs w:val="20"/>
                <w:color w:val="auto"/>
              </w:rPr>
            </w:pPr>
            <w:r>
              <w:rPr>
                <w:rFonts w:ascii="Arial" w:cs="Arial" w:eastAsia="Arial" w:hAnsi="Arial"/>
                <w:sz w:val="16"/>
                <w:szCs w:val="16"/>
                <w:b w:val="1"/>
                <w:bCs w:val="1"/>
                <w:color w:val="202020"/>
                <w:w w:val="98"/>
              </w:rPr>
              <w:t>Fees</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Value and</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jc w:val="right"/>
              <w:ind w:right="140"/>
              <w:spacing w:after="0" w:line="180" w:lineRule="exact"/>
              <w:rPr>
                <w:sz w:val="20"/>
                <w:szCs w:val="20"/>
                <w:color w:val="auto"/>
              </w:rPr>
            </w:pPr>
            <w:r>
              <w:rPr>
                <w:rFonts w:ascii="Arial" w:cs="Arial" w:eastAsia="Arial" w:hAnsi="Arial"/>
                <w:sz w:val="16"/>
                <w:szCs w:val="16"/>
                <w:b w:val="1"/>
                <w:bCs w:val="1"/>
                <w:color w:val="202020"/>
              </w:rPr>
              <w:t>Non-Equity</w:t>
            </w:r>
          </w:p>
        </w:tc>
        <w:tc>
          <w:tcPr>
            <w:tcW w:w="136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Nonqualified</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660" w:type="dxa"/>
            <w:vAlign w:val="bottom"/>
          </w:tcPr>
          <w:p>
            <w:pPr>
              <w:jc w:val="center"/>
              <w:ind w:left="440"/>
              <w:spacing w:after="0" w:line="180" w:lineRule="exact"/>
              <w:rPr>
                <w:sz w:val="20"/>
                <w:szCs w:val="20"/>
                <w:color w:val="auto"/>
              </w:rPr>
            </w:pPr>
            <w:r>
              <w:rPr>
                <w:rFonts w:ascii="Arial" w:cs="Arial" w:eastAsia="Arial" w:hAnsi="Arial"/>
                <w:sz w:val="16"/>
                <w:szCs w:val="16"/>
                <w:b w:val="1"/>
                <w:bCs w:val="1"/>
                <w:color w:val="202020"/>
              </w:rPr>
              <w:t>Earned or</w:t>
            </w:r>
          </w:p>
        </w:tc>
        <w:tc>
          <w:tcPr>
            <w:tcW w:w="800" w:type="dxa"/>
            <w:vAlign w:val="bottom"/>
          </w:tcPr>
          <w:p>
            <w:pPr>
              <w:jc w:val="right"/>
              <w:ind w:right="100"/>
              <w:spacing w:after="0" w:line="180" w:lineRule="exact"/>
              <w:rPr>
                <w:sz w:val="20"/>
                <w:szCs w:val="20"/>
                <w:color w:val="auto"/>
              </w:rPr>
            </w:pPr>
            <w:r>
              <w:rPr>
                <w:rFonts w:ascii="Arial" w:cs="Arial" w:eastAsia="Arial" w:hAnsi="Arial"/>
                <w:sz w:val="16"/>
                <w:szCs w:val="16"/>
                <w:b w:val="1"/>
                <w:bCs w:val="1"/>
                <w:color w:val="202020"/>
              </w:rPr>
              <w:t>Stock</w:t>
            </w:r>
          </w:p>
        </w:tc>
        <w:tc>
          <w:tcPr>
            <w:tcW w:w="780" w:type="dxa"/>
            <w:vAlign w:val="bottom"/>
          </w:tcPr>
          <w:p>
            <w:pPr>
              <w:ind w:left="120"/>
              <w:spacing w:after="0" w:line="180" w:lineRule="exact"/>
              <w:rPr>
                <w:sz w:val="20"/>
                <w:szCs w:val="20"/>
                <w:color w:val="auto"/>
              </w:rPr>
            </w:pPr>
            <w:r>
              <w:rPr>
                <w:rFonts w:ascii="Arial" w:cs="Arial" w:eastAsia="Arial" w:hAnsi="Arial"/>
                <w:sz w:val="16"/>
                <w:szCs w:val="16"/>
                <w:b w:val="1"/>
                <w:bCs w:val="1"/>
                <w:color w:val="202020"/>
              </w:rPr>
              <w:t>Option</w:t>
            </w:r>
          </w:p>
        </w:tc>
        <w:tc>
          <w:tcPr>
            <w:tcW w:w="1340" w:type="dxa"/>
            <w:vAlign w:val="bottom"/>
          </w:tcPr>
          <w:p>
            <w:pPr>
              <w:jc w:val="right"/>
              <w:ind w:right="20"/>
              <w:spacing w:after="0" w:line="180" w:lineRule="exact"/>
              <w:rPr>
                <w:sz w:val="20"/>
                <w:szCs w:val="20"/>
                <w:color w:val="auto"/>
              </w:rPr>
            </w:pPr>
            <w:r>
              <w:rPr>
                <w:rFonts w:ascii="Arial" w:cs="Arial" w:eastAsia="Arial" w:hAnsi="Arial"/>
                <w:sz w:val="16"/>
                <w:szCs w:val="16"/>
                <w:b w:val="1"/>
                <w:bCs w:val="1"/>
                <w:color w:val="202020"/>
              </w:rPr>
              <w:t>Incentive Plan</w:t>
            </w:r>
          </w:p>
        </w:tc>
        <w:tc>
          <w:tcPr>
            <w:tcW w:w="1360" w:type="dxa"/>
            <w:vAlign w:val="bottom"/>
          </w:tcPr>
          <w:p>
            <w:pPr>
              <w:jc w:val="center"/>
              <w:spacing w:after="0" w:line="180" w:lineRule="exact"/>
              <w:rPr>
                <w:sz w:val="20"/>
                <w:szCs w:val="20"/>
                <w:color w:val="auto"/>
              </w:rPr>
            </w:pPr>
            <w:r>
              <w:rPr>
                <w:rFonts w:ascii="Arial" w:cs="Arial" w:eastAsia="Arial" w:hAnsi="Arial"/>
                <w:sz w:val="16"/>
                <w:szCs w:val="16"/>
                <w:b w:val="1"/>
                <w:bCs w:val="1"/>
                <w:color w:val="202020"/>
              </w:rPr>
              <w:t>Deferred</w:t>
            </w:r>
          </w:p>
        </w:tc>
        <w:tc>
          <w:tcPr>
            <w:tcW w:w="1340" w:type="dxa"/>
            <w:vAlign w:val="bottom"/>
          </w:tcPr>
          <w:p>
            <w:pPr>
              <w:jc w:val="right"/>
              <w:ind w:right="240"/>
              <w:spacing w:after="0" w:line="180" w:lineRule="exact"/>
              <w:rPr>
                <w:sz w:val="20"/>
                <w:szCs w:val="20"/>
                <w:color w:val="auto"/>
              </w:rPr>
            </w:pPr>
            <w:r>
              <w:rPr>
                <w:rFonts w:ascii="Arial" w:cs="Arial" w:eastAsia="Arial" w:hAnsi="Arial"/>
                <w:sz w:val="16"/>
                <w:szCs w:val="16"/>
                <w:b w:val="1"/>
                <w:bCs w:val="1"/>
                <w:color w:val="202020"/>
              </w:rPr>
              <w:t>All Other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15"/>
                <w:szCs w:val="15"/>
                <w:color w:val="auto"/>
              </w:rPr>
            </w:pPr>
          </w:p>
        </w:tc>
        <w:tc>
          <w:tcPr>
            <w:tcW w:w="1660" w:type="dxa"/>
            <w:vAlign w:val="bottom"/>
          </w:tcPr>
          <w:p>
            <w:pPr>
              <w:jc w:val="right"/>
              <w:ind w:right="20"/>
              <w:spacing w:after="0" w:line="179" w:lineRule="exact"/>
              <w:rPr>
                <w:sz w:val="20"/>
                <w:szCs w:val="20"/>
                <w:color w:val="auto"/>
              </w:rPr>
            </w:pPr>
            <w:r>
              <w:rPr>
                <w:rFonts w:ascii="Arial" w:cs="Arial" w:eastAsia="Arial" w:hAnsi="Arial"/>
                <w:sz w:val="16"/>
                <w:szCs w:val="16"/>
                <w:b w:val="1"/>
                <w:bCs w:val="1"/>
                <w:color w:val="202020"/>
              </w:rPr>
              <w:t>Paid in Cash</w:t>
            </w:r>
          </w:p>
        </w:tc>
        <w:tc>
          <w:tcPr>
            <w:tcW w:w="800" w:type="dxa"/>
            <w:vAlign w:val="bottom"/>
          </w:tcPr>
          <w:p>
            <w:pPr>
              <w:jc w:val="right"/>
              <w:ind w:right="20"/>
              <w:spacing w:after="0" w:line="179" w:lineRule="exact"/>
              <w:rPr>
                <w:sz w:val="20"/>
                <w:szCs w:val="20"/>
                <w:color w:val="auto"/>
              </w:rPr>
            </w:pPr>
            <w:r>
              <w:rPr>
                <w:rFonts w:ascii="Arial" w:cs="Arial" w:eastAsia="Arial" w:hAnsi="Arial"/>
                <w:sz w:val="16"/>
                <w:szCs w:val="16"/>
                <w:b w:val="1"/>
                <w:bCs w:val="1"/>
                <w:color w:val="202020"/>
              </w:rPr>
              <w:t>Awards</w:t>
            </w:r>
          </w:p>
        </w:tc>
        <w:tc>
          <w:tcPr>
            <w:tcW w:w="780" w:type="dxa"/>
            <w:vAlign w:val="bottom"/>
          </w:tcPr>
          <w:p>
            <w:pPr>
              <w:ind w:left="100"/>
              <w:spacing w:after="0" w:line="179" w:lineRule="exact"/>
              <w:rPr>
                <w:sz w:val="20"/>
                <w:szCs w:val="20"/>
                <w:color w:val="auto"/>
              </w:rPr>
            </w:pPr>
            <w:r>
              <w:rPr>
                <w:rFonts w:ascii="Arial" w:cs="Arial" w:eastAsia="Arial" w:hAnsi="Arial"/>
                <w:sz w:val="16"/>
                <w:szCs w:val="16"/>
                <w:b w:val="1"/>
                <w:bCs w:val="1"/>
                <w:color w:val="202020"/>
              </w:rPr>
              <w:t>Awards</w:t>
            </w:r>
          </w:p>
        </w:tc>
        <w:tc>
          <w:tcPr>
            <w:tcW w:w="1340" w:type="dxa"/>
            <w:vAlign w:val="bottom"/>
          </w:tcPr>
          <w:p>
            <w:pPr>
              <w:jc w:val="right"/>
              <w:ind w:right="20"/>
              <w:spacing w:after="0" w:line="179" w:lineRule="exact"/>
              <w:rPr>
                <w:sz w:val="20"/>
                <w:szCs w:val="20"/>
                <w:color w:val="auto"/>
              </w:rPr>
            </w:pPr>
            <w:r>
              <w:rPr>
                <w:rFonts w:ascii="Arial" w:cs="Arial" w:eastAsia="Arial" w:hAnsi="Arial"/>
                <w:sz w:val="16"/>
                <w:szCs w:val="16"/>
                <w:b w:val="1"/>
                <w:bCs w:val="1"/>
                <w:color w:val="202020"/>
              </w:rPr>
              <w:t>Compensation</w:t>
            </w:r>
          </w:p>
        </w:tc>
        <w:tc>
          <w:tcPr>
            <w:tcW w:w="1360" w:type="dxa"/>
            <w:vAlign w:val="bottom"/>
          </w:tcPr>
          <w:p>
            <w:pPr>
              <w:jc w:val="right"/>
              <w:ind w:right="20"/>
              <w:spacing w:after="0" w:line="179" w:lineRule="exact"/>
              <w:rPr>
                <w:sz w:val="20"/>
                <w:szCs w:val="20"/>
                <w:color w:val="auto"/>
              </w:rPr>
            </w:pPr>
            <w:r>
              <w:rPr>
                <w:rFonts w:ascii="Arial" w:cs="Arial" w:eastAsia="Arial" w:hAnsi="Arial"/>
                <w:sz w:val="16"/>
                <w:szCs w:val="16"/>
                <w:b w:val="1"/>
                <w:bCs w:val="1"/>
                <w:color w:val="202020"/>
              </w:rPr>
              <w:t>Compensation</w:t>
            </w:r>
          </w:p>
        </w:tc>
        <w:tc>
          <w:tcPr>
            <w:tcW w:w="1340" w:type="dxa"/>
            <w:vAlign w:val="bottom"/>
          </w:tcPr>
          <w:p>
            <w:pPr>
              <w:jc w:val="right"/>
              <w:ind w:right="20"/>
              <w:spacing w:after="0" w:line="179" w:lineRule="exact"/>
              <w:rPr>
                <w:sz w:val="20"/>
                <w:szCs w:val="20"/>
                <w:color w:val="auto"/>
              </w:rPr>
            </w:pPr>
            <w:r>
              <w:rPr>
                <w:rFonts w:ascii="Arial" w:cs="Arial" w:eastAsia="Arial" w:hAnsi="Arial"/>
                <w:sz w:val="16"/>
                <w:szCs w:val="16"/>
                <w:b w:val="1"/>
                <w:bCs w:val="1"/>
                <w:color w:val="202020"/>
              </w:rPr>
              <w:t>Compensation</w:t>
            </w:r>
          </w:p>
        </w:tc>
        <w:tc>
          <w:tcPr>
            <w:tcW w:w="740" w:type="dxa"/>
            <w:vAlign w:val="bottom"/>
          </w:tcPr>
          <w:p>
            <w:pPr>
              <w:ind w:left="180"/>
              <w:spacing w:after="0" w:line="179" w:lineRule="exact"/>
              <w:rPr>
                <w:sz w:val="20"/>
                <w:szCs w:val="20"/>
                <w:color w:val="auto"/>
              </w:rPr>
            </w:pPr>
            <w:r>
              <w:rPr>
                <w:rFonts w:ascii="Arial" w:cs="Arial" w:eastAsia="Arial" w:hAnsi="Arial"/>
                <w:sz w:val="16"/>
                <w:szCs w:val="16"/>
                <w:b w:val="1"/>
                <w:bCs w:val="1"/>
                <w:color w:val="202020"/>
              </w:rPr>
              <w:t>Total</w:t>
            </w:r>
          </w:p>
        </w:tc>
        <w:tc>
          <w:tcPr>
            <w:tcW w:w="0" w:type="dxa"/>
            <w:vAlign w:val="bottom"/>
          </w:tcPr>
          <w:p>
            <w:pPr>
              <w:spacing w:after="0"/>
              <w:rPr>
                <w:sz w:val="1"/>
                <w:szCs w:val="1"/>
                <w:color w:val="auto"/>
              </w:rPr>
            </w:pPr>
          </w:p>
        </w:tc>
      </w:tr>
      <w:tr>
        <w:trPr>
          <w:trHeight w:val="251"/>
        </w:trPr>
        <w:tc>
          <w:tcPr>
            <w:tcW w:w="2100" w:type="dxa"/>
            <w:vAlign w:val="bottom"/>
            <w:tcBorders>
              <w:bottom w:val="single" w:sz="8" w:color="202020"/>
            </w:tcBorders>
          </w:tcPr>
          <w:p>
            <w:pPr>
              <w:ind w:left="60"/>
              <w:spacing w:after="0"/>
              <w:rPr>
                <w:sz w:val="20"/>
                <w:szCs w:val="20"/>
                <w:color w:val="auto"/>
              </w:rPr>
            </w:pPr>
            <w:r>
              <w:rPr>
                <w:rFonts w:ascii="Arial" w:cs="Arial" w:eastAsia="Arial" w:hAnsi="Arial"/>
                <w:sz w:val="16"/>
                <w:szCs w:val="16"/>
                <w:b w:val="1"/>
                <w:bCs w:val="1"/>
                <w:color w:val="202020"/>
              </w:rPr>
              <w:t>Name</w:t>
            </w:r>
          </w:p>
        </w:tc>
        <w:tc>
          <w:tcPr>
            <w:tcW w:w="1660" w:type="dxa"/>
            <w:vAlign w:val="bottom"/>
            <w:tcBorders>
              <w:bottom w:val="single" w:sz="8" w:color="202020"/>
            </w:tcBorders>
          </w:tcPr>
          <w:p>
            <w:pPr>
              <w:jc w:val="center"/>
              <w:ind w:left="460"/>
              <w:spacing w:after="0"/>
              <w:rPr>
                <w:sz w:val="20"/>
                <w:szCs w:val="20"/>
                <w:color w:val="auto"/>
              </w:rPr>
            </w:pPr>
            <w:r>
              <w:rPr>
                <w:rFonts w:ascii="Arial" w:cs="Arial" w:eastAsia="Arial" w:hAnsi="Arial"/>
                <w:sz w:val="16"/>
                <w:szCs w:val="16"/>
                <w:b w:val="1"/>
                <w:bCs w:val="1"/>
                <w:color w:val="202020"/>
              </w:rPr>
              <w:t>($)</w:t>
            </w:r>
          </w:p>
        </w:tc>
        <w:tc>
          <w:tcPr>
            <w:tcW w:w="800" w:type="dxa"/>
            <w:vAlign w:val="bottom"/>
            <w:tcBorders>
              <w:bottom w:val="single" w:sz="8" w:color="202020"/>
            </w:tcBorders>
          </w:tcPr>
          <w:p>
            <w:pPr>
              <w:jc w:val="right"/>
              <w:ind w:right="220"/>
              <w:spacing w:after="0"/>
              <w:rPr>
                <w:sz w:val="20"/>
                <w:szCs w:val="20"/>
                <w:color w:val="auto"/>
              </w:rPr>
            </w:pPr>
            <w:r>
              <w:rPr>
                <w:rFonts w:ascii="Arial" w:cs="Arial" w:eastAsia="Arial" w:hAnsi="Arial"/>
                <w:sz w:val="16"/>
                <w:szCs w:val="16"/>
                <w:b w:val="1"/>
                <w:bCs w:val="1"/>
                <w:color w:val="202020"/>
              </w:rPr>
              <w:t>($)</w:t>
            </w:r>
          </w:p>
        </w:tc>
        <w:tc>
          <w:tcPr>
            <w:tcW w:w="78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w w:val="96"/>
              </w:rPr>
              <w:t>($)</w:t>
            </w:r>
            <w:r>
              <w:rPr>
                <w:rFonts w:ascii="Arial" w:cs="Arial" w:eastAsia="Arial" w:hAnsi="Arial"/>
                <w:sz w:val="19"/>
                <w:szCs w:val="19"/>
                <w:b w:val="1"/>
                <w:bCs w:val="1"/>
                <w:color w:val="202020"/>
                <w:w w:val="96"/>
                <w:vertAlign w:val="superscript"/>
              </w:rPr>
              <w:t>(1)</w:t>
            </w:r>
          </w:p>
        </w:tc>
        <w:tc>
          <w:tcPr>
            <w:tcW w:w="1340" w:type="dxa"/>
            <w:vAlign w:val="bottom"/>
            <w:tcBorders>
              <w:bottom w:val="single" w:sz="8" w:color="202020"/>
            </w:tcBorders>
          </w:tcPr>
          <w:p>
            <w:pPr>
              <w:jc w:val="right"/>
              <w:ind w:right="480"/>
              <w:spacing w:after="0"/>
              <w:rPr>
                <w:sz w:val="20"/>
                <w:szCs w:val="20"/>
                <w:color w:val="auto"/>
              </w:rPr>
            </w:pPr>
            <w:r>
              <w:rPr>
                <w:rFonts w:ascii="Arial" w:cs="Arial" w:eastAsia="Arial" w:hAnsi="Arial"/>
                <w:sz w:val="16"/>
                <w:szCs w:val="16"/>
                <w:b w:val="1"/>
                <w:bCs w:val="1"/>
                <w:color w:val="202020"/>
              </w:rPr>
              <w:t>($)</w:t>
            </w:r>
          </w:p>
        </w:tc>
        <w:tc>
          <w:tcPr>
            <w:tcW w:w="136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w w:val="99"/>
              </w:rPr>
              <w:t>Earnings</w:t>
            </w:r>
          </w:p>
        </w:tc>
        <w:tc>
          <w:tcPr>
            <w:tcW w:w="1340" w:type="dxa"/>
            <w:vAlign w:val="bottom"/>
            <w:tcBorders>
              <w:bottom w:val="single" w:sz="8" w:color="202020"/>
            </w:tcBorders>
          </w:tcPr>
          <w:p>
            <w:pPr>
              <w:jc w:val="right"/>
              <w:ind w:right="500"/>
              <w:spacing w:after="0"/>
              <w:rPr>
                <w:sz w:val="20"/>
                <w:szCs w:val="20"/>
                <w:color w:val="auto"/>
              </w:rPr>
            </w:pPr>
            <w:r>
              <w:rPr>
                <w:rFonts w:ascii="Arial" w:cs="Arial" w:eastAsia="Arial" w:hAnsi="Arial"/>
                <w:sz w:val="16"/>
                <w:szCs w:val="16"/>
                <w:b w:val="1"/>
                <w:bCs w:val="1"/>
                <w:color w:val="202020"/>
              </w:rPr>
              <w:t>($)</w:t>
            </w:r>
          </w:p>
        </w:tc>
        <w:tc>
          <w:tcPr>
            <w:tcW w:w="740" w:type="dxa"/>
            <w:vAlign w:val="bottom"/>
            <w:tcBorders>
              <w:bottom w:val="single" w:sz="8" w:color="202020"/>
            </w:tcBorders>
          </w:tcPr>
          <w:p>
            <w:pPr>
              <w:jc w:val="center"/>
              <w:spacing w:after="0"/>
              <w:rPr>
                <w:sz w:val="20"/>
                <w:szCs w:val="20"/>
                <w:color w:val="auto"/>
              </w:rPr>
            </w:pPr>
            <w:r>
              <w:rPr>
                <w:rFonts w:ascii="Arial" w:cs="Arial" w:eastAsia="Arial" w:hAnsi="Arial"/>
                <w:sz w:val="16"/>
                <w:szCs w:val="16"/>
                <w:b w:val="1"/>
                <w:bCs w:val="1"/>
                <w:color w:val="202020"/>
              </w:rPr>
              <w:t>($)</w:t>
            </w:r>
          </w:p>
        </w:tc>
        <w:tc>
          <w:tcPr>
            <w:tcW w:w="0" w:type="dxa"/>
            <w:vAlign w:val="bottom"/>
          </w:tcPr>
          <w:p>
            <w:pPr>
              <w:spacing w:after="0"/>
              <w:rPr>
                <w:sz w:val="1"/>
                <w:szCs w:val="1"/>
                <w:color w:val="auto"/>
              </w:rPr>
            </w:pPr>
          </w:p>
        </w:tc>
      </w:tr>
      <w:tr>
        <w:trPr>
          <w:trHeight w:val="219"/>
        </w:trPr>
        <w:tc>
          <w:tcPr>
            <w:tcW w:w="21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Harry H. Penner, Jr.</w:t>
            </w:r>
          </w:p>
        </w:tc>
        <w:tc>
          <w:tcPr>
            <w:tcW w:w="16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75,422</w:t>
            </w:r>
          </w:p>
        </w:tc>
        <w:tc>
          <w:tcPr>
            <w:tcW w:w="80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296,939</w:t>
            </w:r>
          </w:p>
        </w:tc>
        <w:tc>
          <w:tcPr>
            <w:tcW w:w="0" w:type="dxa"/>
            <w:vAlign w:val="bottom"/>
          </w:tcPr>
          <w:p>
            <w:pPr>
              <w:spacing w:after="0"/>
              <w:rPr>
                <w:sz w:val="1"/>
                <w:szCs w:val="1"/>
                <w:color w:val="auto"/>
              </w:rPr>
            </w:pPr>
          </w:p>
        </w:tc>
      </w:tr>
      <w:tr>
        <w:trPr>
          <w:trHeight w:val="217"/>
        </w:trPr>
        <w:tc>
          <w:tcPr>
            <w:tcW w:w="2100" w:type="dxa"/>
            <w:vAlign w:val="bottom"/>
          </w:tcPr>
          <w:p>
            <w:pPr>
              <w:ind w:left="60"/>
              <w:spacing w:after="0"/>
              <w:rPr>
                <w:sz w:val="20"/>
                <w:szCs w:val="20"/>
                <w:color w:val="auto"/>
              </w:rPr>
            </w:pPr>
            <w:r>
              <w:rPr>
                <w:rFonts w:ascii="Arial" w:cs="Arial" w:eastAsia="Arial" w:hAnsi="Arial"/>
                <w:sz w:val="16"/>
                <w:szCs w:val="16"/>
                <w:color w:val="202020"/>
              </w:rPr>
              <w:t>Keith L. Brownlie</w:t>
            </w:r>
          </w:p>
        </w:tc>
        <w:tc>
          <w:tcPr>
            <w:tcW w:w="1660" w:type="dxa"/>
            <w:vAlign w:val="bottom"/>
          </w:tcPr>
          <w:p>
            <w:pPr>
              <w:jc w:val="right"/>
              <w:ind w:right="20"/>
              <w:spacing w:after="0"/>
              <w:rPr>
                <w:sz w:val="20"/>
                <w:szCs w:val="20"/>
                <w:color w:val="auto"/>
              </w:rPr>
            </w:pPr>
            <w:r>
              <w:rPr>
                <w:rFonts w:ascii="Arial" w:cs="Arial" w:eastAsia="Arial" w:hAnsi="Arial"/>
                <w:sz w:val="16"/>
                <w:szCs w:val="16"/>
                <w:color w:val="202020"/>
              </w:rPr>
              <w:t>67,922</w:t>
            </w:r>
          </w:p>
        </w:tc>
        <w:tc>
          <w:tcPr>
            <w:tcW w:w="80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Pr>
          <w:p>
            <w:pPr>
              <w:jc w:val="center"/>
              <w:spacing w:after="0"/>
              <w:rPr>
                <w:sz w:val="20"/>
                <w:szCs w:val="20"/>
                <w:color w:val="auto"/>
              </w:rPr>
            </w:pPr>
            <w:r>
              <w:rPr>
                <w:rFonts w:ascii="Arial" w:cs="Arial" w:eastAsia="Arial" w:hAnsi="Arial"/>
                <w:sz w:val="16"/>
                <w:szCs w:val="16"/>
                <w:color w:val="202020"/>
              </w:rPr>
              <w:t>289,439</w:t>
            </w: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1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Cheryl L. Cohen</w:t>
            </w:r>
          </w:p>
        </w:tc>
        <w:tc>
          <w:tcPr>
            <w:tcW w:w="16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60,431</w:t>
            </w:r>
          </w:p>
        </w:tc>
        <w:tc>
          <w:tcPr>
            <w:tcW w:w="80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281,948</w:t>
            </w:r>
          </w:p>
        </w:tc>
        <w:tc>
          <w:tcPr>
            <w:tcW w:w="0" w:type="dxa"/>
            <w:vAlign w:val="bottom"/>
          </w:tcPr>
          <w:p>
            <w:pPr>
              <w:spacing w:after="0"/>
              <w:rPr>
                <w:sz w:val="1"/>
                <w:szCs w:val="1"/>
                <w:color w:val="auto"/>
              </w:rPr>
            </w:pPr>
          </w:p>
        </w:tc>
      </w:tr>
      <w:tr>
        <w:trPr>
          <w:trHeight w:val="217"/>
        </w:trPr>
        <w:tc>
          <w:tcPr>
            <w:tcW w:w="2100" w:type="dxa"/>
            <w:vAlign w:val="bottom"/>
          </w:tcPr>
          <w:p>
            <w:pPr>
              <w:ind w:left="60"/>
              <w:spacing w:after="0"/>
              <w:rPr>
                <w:sz w:val="20"/>
                <w:szCs w:val="20"/>
                <w:color w:val="auto"/>
              </w:rPr>
            </w:pPr>
            <w:r>
              <w:rPr>
                <w:rFonts w:ascii="Arial" w:cs="Arial" w:eastAsia="Arial" w:hAnsi="Arial"/>
                <w:sz w:val="16"/>
                <w:szCs w:val="16"/>
                <w:color w:val="202020"/>
              </w:rPr>
              <w:t>Herbert J. Conrad</w:t>
            </w:r>
          </w:p>
        </w:tc>
        <w:tc>
          <w:tcPr>
            <w:tcW w:w="1660" w:type="dxa"/>
            <w:vAlign w:val="bottom"/>
          </w:tcPr>
          <w:p>
            <w:pPr>
              <w:jc w:val="right"/>
              <w:ind w:right="20"/>
              <w:spacing w:after="0"/>
              <w:rPr>
                <w:sz w:val="20"/>
                <w:szCs w:val="20"/>
                <w:color w:val="auto"/>
              </w:rPr>
            </w:pPr>
            <w:r>
              <w:rPr>
                <w:rFonts w:ascii="Arial" w:cs="Arial" w:eastAsia="Arial" w:hAnsi="Arial"/>
                <w:sz w:val="16"/>
                <w:szCs w:val="16"/>
                <w:color w:val="202020"/>
              </w:rPr>
              <w:t>57,934</w:t>
            </w:r>
          </w:p>
        </w:tc>
        <w:tc>
          <w:tcPr>
            <w:tcW w:w="80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Pr>
          <w:p>
            <w:pPr>
              <w:jc w:val="center"/>
              <w:spacing w:after="0"/>
              <w:rPr>
                <w:sz w:val="20"/>
                <w:szCs w:val="20"/>
                <w:color w:val="auto"/>
              </w:rPr>
            </w:pPr>
            <w:r>
              <w:rPr>
                <w:rFonts w:ascii="Arial" w:cs="Arial" w:eastAsia="Arial" w:hAnsi="Arial"/>
                <w:sz w:val="16"/>
                <w:szCs w:val="16"/>
                <w:color w:val="202020"/>
              </w:rPr>
              <w:t>279,451</w:t>
            </w: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1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Rita I. Jain, M.D.</w:t>
            </w:r>
          </w:p>
        </w:tc>
        <w:tc>
          <w:tcPr>
            <w:tcW w:w="16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57,934</w:t>
            </w:r>
          </w:p>
        </w:tc>
        <w:tc>
          <w:tcPr>
            <w:tcW w:w="80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279,451</w:t>
            </w:r>
          </w:p>
        </w:tc>
        <w:tc>
          <w:tcPr>
            <w:tcW w:w="0" w:type="dxa"/>
            <w:vAlign w:val="bottom"/>
          </w:tcPr>
          <w:p>
            <w:pPr>
              <w:spacing w:after="0"/>
              <w:rPr>
                <w:sz w:val="1"/>
                <w:szCs w:val="1"/>
                <w:color w:val="auto"/>
              </w:rPr>
            </w:pPr>
          </w:p>
        </w:tc>
      </w:tr>
      <w:tr>
        <w:trPr>
          <w:trHeight w:val="217"/>
        </w:trPr>
        <w:tc>
          <w:tcPr>
            <w:tcW w:w="2100" w:type="dxa"/>
            <w:vAlign w:val="bottom"/>
          </w:tcPr>
          <w:p>
            <w:pPr>
              <w:ind w:left="60"/>
              <w:spacing w:after="0"/>
              <w:rPr>
                <w:sz w:val="20"/>
                <w:szCs w:val="20"/>
                <w:color w:val="auto"/>
              </w:rPr>
            </w:pPr>
            <w:r>
              <w:rPr>
                <w:rFonts w:ascii="Arial" w:cs="Arial" w:eastAsia="Arial" w:hAnsi="Arial"/>
                <w:sz w:val="16"/>
                <w:szCs w:val="16"/>
                <w:color w:val="202020"/>
              </w:rPr>
              <w:t>James J. Marino</w:t>
            </w:r>
          </w:p>
        </w:tc>
        <w:tc>
          <w:tcPr>
            <w:tcW w:w="1660" w:type="dxa"/>
            <w:vAlign w:val="bottom"/>
          </w:tcPr>
          <w:p>
            <w:pPr>
              <w:jc w:val="right"/>
              <w:ind w:right="20"/>
              <w:spacing w:after="0"/>
              <w:rPr>
                <w:sz w:val="20"/>
                <w:szCs w:val="20"/>
                <w:color w:val="auto"/>
              </w:rPr>
            </w:pPr>
            <w:r>
              <w:rPr>
                <w:rFonts w:ascii="Arial" w:cs="Arial" w:eastAsia="Arial" w:hAnsi="Arial"/>
                <w:sz w:val="16"/>
                <w:szCs w:val="16"/>
                <w:color w:val="202020"/>
              </w:rPr>
              <w:t>72,917</w:t>
            </w:r>
          </w:p>
        </w:tc>
        <w:tc>
          <w:tcPr>
            <w:tcW w:w="80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Pr>
          <w:p>
            <w:pPr>
              <w:jc w:val="center"/>
              <w:spacing w:after="0"/>
              <w:rPr>
                <w:sz w:val="20"/>
                <w:szCs w:val="20"/>
                <w:color w:val="auto"/>
              </w:rPr>
            </w:pPr>
            <w:r>
              <w:rPr>
                <w:rFonts w:ascii="Arial" w:cs="Arial" w:eastAsia="Arial" w:hAnsi="Arial"/>
                <w:sz w:val="16"/>
                <w:szCs w:val="16"/>
                <w:color w:val="202020"/>
              </w:rPr>
              <w:t>294,434</w:t>
            </w:r>
          </w:p>
        </w:tc>
        <w:tc>
          <w:tcPr>
            <w:tcW w:w="0" w:type="dxa"/>
            <w:vAlign w:val="bottom"/>
          </w:tcPr>
          <w:p>
            <w:pPr>
              <w:spacing w:after="0"/>
              <w:rPr>
                <w:sz w:val="1"/>
                <w:szCs w:val="1"/>
                <w:color w:val="auto"/>
              </w:rPr>
            </w:pPr>
          </w:p>
        </w:tc>
      </w:tr>
      <w:tr>
        <w:trPr>
          <w:trHeight w:val="23"/>
        </w:trPr>
        <w:tc>
          <w:tcPr>
            <w:tcW w:w="2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10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Garry A. Neil, M.D.</w:t>
            </w:r>
          </w:p>
        </w:tc>
        <w:tc>
          <w:tcPr>
            <w:tcW w:w="16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62,928</w:t>
            </w:r>
          </w:p>
        </w:tc>
        <w:tc>
          <w:tcPr>
            <w:tcW w:w="80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221,517</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Borders>
              <w:bottom w:val="single" w:sz="8" w:color="E9E9E9"/>
            </w:tcBorders>
            <w:shd w:val="clear" w:color="auto" w:fill="E9E9E9"/>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Borders>
              <w:bottom w:val="single" w:sz="8" w:color="E9E9E9"/>
            </w:tcBorders>
            <w:shd w:val="clear" w:color="auto" w:fill="E9E9E9"/>
          </w:tcPr>
          <w:p>
            <w:pPr>
              <w:jc w:val="center"/>
              <w:spacing w:after="0"/>
              <w:rPr>
                <w:sz w:val="20"/>
                <w:szCs w:val="20"/>
                <w:color w:val="auto"/>
              </w:rPr>
            </w:pPr>
            <w:r>
              <w:rPr>
                <w:rFonts w:ascii="Arial" w:cs="Arial" w:eastAsia="Arial" w:hAnsi="Arial"/>
                <w:sz w:val="16"/>
                <w:szCs w:val="16"/>
                <w:color w:val="202020"/>
              </w:rPr>
              <w:t>284,445</w:t>
            </w:r>
          </w:p>
        </w:tc>
        <w:tc>
          <w:tcPr>
            <w:tcW w:w="0" w:type="dxa"/>
            <w:vAlign w:val="bottom"/>
          </w:tcPr>
          <w:p>
            <w:pPr>
              <w:spacing w:after="0"/>
              <w:rPr>
                <w:sz w:val="1"/>
                <w:szCs w:val="1"/>
                <w:color w:val="auto"/>
              </w:rPr>
            </w:pPr>
          </w:p>
        </w:tc>
      </w:tr>
      <w:tr>
        <w:trPr>
          <w:trHeight w:val="217"/>
        </w:trPr>
        <w:tc>
          <w:tcPr>
            <w:tcW w:w="2100" w:type="dxa"/>
            <w:vAlign w:val="bottom"/>
          </w:tcPr>
          <w:p>
            <w:pPr>
              <w:ind w:left="60"/>
              <w:spacing w:after="0"/>
              <w:rPr>
                <w:sz w:val="20"/>
                <w:szCs w:val="20"/>
                <w:color w:val="auto"/>
              </w:rPr>
            </w:pPr>
            <w:r>
              <w:rPr>
                <w:rFonts w:ascii="Arial" w:cs="Arial" w:eastAsia="Arial" w:hAnsi="Arial"/>
                <w:sz w:val="16"/>
                <w:szCs w:val="16"/>
                <w:color w:val="202020"/>
              </w:rPr>
              <w:t>Denice Torres</w:t>
            </w:r>
          </w:p>
        </w:tc>
        <w:tc>
          <w:tcPr>
            <w:tcW w:w="1660" w:type="dxa"/>
            <w:vAlign w:val="bottom"/>
          </w:tcPr>
          <w:p>
            <w:pPr>
              <w:jc w:val="right"/>
              <w:ind w:right="20"/>
              <w:spacing w:after="0"/>
              <w:rPr>
                <w:sz w:val="20"/>
                <w:szCs w:val="20"/>
                <w:color w:val="auto"/>
              </w:rPr>
            </w:pPr>
            <w:r>
              <w:rPr>
                <w:rFonts w:ascii="Arial" w:cs="Arial" w:eastAsia="Arial" w:hAnsi="Arial"/>
                <w:sz w:val="16"/>
                <w:szCs w:val="16"/>
                <w:color w:val="202020"/>
              </w:rPr>
              <w:t>37,416</w:t>
            </w:r>
          </w:p>
        </w:tc>
        <w:tc>
          <w:tcPr>
            <w:tcW w:w="80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80" w:type="dxa"/>
            <w:vAlign w:val="bottom"/>
          </w:tcPr>
          <w:p>
            <w:pPr>
              <w:jc w:val="center"/>
              <w:spacing w:after="0"/>
              <w:rPr>
                <w:sz w:val="20"/>
                <w:szCs w:val="20"/>
                <w:color w:val="auto"/>
              </w:rPr>
            </w:pPr>
            <w:r>
              <w:rPr>
                <w:rFonts w:ascii="Arial" w:cs="Arial" w:eastAsia="Arial" w:hAnsi="Arial"/>
                <w:sz w:val="16"/>
                <w:szCs w:val="16"/>
                <w:color w:val="202020"/>
              </w:rPr>
              <w:t>443,035</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202020"/>
              </w:rPr>
              <w:t>—</w:t>
            </w:r>
          </w:p>
        </w:tc>
        <w:tc>
          <w:tcPr>
            <w:tcW w:w="740" w:type="dxa"/>
            <w:vAlign w:val="bottom"/>
          </w:tcPr>
          <w:p>
            <w:pPr>
              <w:jc w:val="center"/>
              <w:spacing w:after="0"/>
              <w:rPr>
                <w:sz w:val="20"/>
                <w:szCs w:val="20"/>
                <w:color w:val="auto"/>
              </w:rPr>
            </w:pPr>
            <w:r>
              <w:rPr>
                <w:rFonts w:ascii="Arial" w:cs="Arial" w:eastAsia="Arial" w:hAnsi="Arial"/>
                <w:sz w:val="16"/>
                <w:szCs w:val="16"/>
                <w:color w:val="202020"/>
              </w:rPr>
              <w:t>480,451</w:t>
            </w:r>
          </w:p>
        </w:tc>
        <w:tc>
          <w:tcPr>
            <w:tcW w:w="0" w:type="dxa"/>
            <w:vAlign w:val="bottom"/>
          </w:tcPr>
          <w:p>
            <w:pPr>
              <w:spacing w:after="0"/>
              <w:rPr>
                <w:sz w:val="1"/>
                <w:szCs w:val="1"/>
                <w:color w:val="auto"/>
              </w:rPr>
            </w:pPr>
          </w:p>
        </w:tc>
      </w:tr>
      <w:tr>
        <w:trPr>
          <w:trHeight w:val="43"/>
        </w:trPr>
        <w:tc>
          <w:tcPr>
            <w:tcW w:w="2100" w:type="dxa"/>
            <w:vAlign w:val="bottom"/>
            <w:tcBorders>
              <w:bottom w:val="single" w:sz="8" w:color="202020"/>
            </w:tcBorders>
          </w:tcPr>
          <w:p>
            <w:pPr>
              <w:spacing w:after="0"/>
              <w:rPr>
                <w:sz w:val="3"/>
                <w:szCs w:val="3"/>
                <w:color w:val="auto"/>
              </w:rPr>
            </w:pPr>
          </w:p>
        </w:tc>
        <w:tc>
          <w:tcPr>
            <w:tcW w:w="1660" w:type="dxa"/>
            <w:vAlign w:val="bottom"/>
            <w:tcBorders>
              <w:bottom w:val="single" w:sz="8" w:color="202020"/>
            </w:tcBorders>
          </w:tcPr>
          <w:p>
            <w:pPr>
              <w:spacing w:after="0"/>
              <w:rPr>
                <w:sz w:val="3"/>
                <w:szCs w:val="3"/>
                <w:color w:val="auto"/>
              </w:rPr>
            </w:pPr>
          </w:p>
        </w:tc>
        <w:tc>
          <w:tcPr>
            <w:tcW w:w="800" w:type="dxa"/>
            <w:vAlign w:val="bottom"/>
            <w:tcBorders>
              <w:bottom w:val="single" w:sz="8" w:color="202020"/>
            </w:tcBorders>
          </w:tcPr>
          <w:p>
            <w:pPr>
              <w:spacing w:after="0"/>
              <w:rPr>
                <w:sz w:val="3"/>
                <w:szCs w:val="3"/>
                <w:color w:val="auto"/>
              </w:rPr>
            </w:pPr>
          </w:p>
        </w:tc>
        <w:tc>
          <w:tcPr>
            <w:tcW w:w="780" w:type="dxa"/>
            <w:vAlign w:val="bottom"/>
            <w:tcBorders>
              <w:bottom w:val="single" w:sz="8" w:color="202020"/>
            </w:tcBorders>
          </w:tcPr>
          <w:p>
            <w:pPr>
              <w:spacing w:after="0"/>
              <w:rPr>
                <w:sz w:val="3"/>
                <w:szCs w:val="3"/>
                <w:color w:val="auto"/>
              </w:rPr>
            </w:pPr>
          </w:p>
        </w:tc>
        <w:tc>
          <w:tcPr>
            <w:tcW w:w="1340" w:type="dxa"/>
            <w:vAlign w:val="bottom"/>
            <w:tcBorders>
              <w:bottom w:val="single" w:sz="8" w:color="202020"/>
            </w:tcBorders>
          </w:tcPr>
          <w:p>
            <w:pPr>
              <w:spacing w:after="0"/>
              <w:rPr>
                <w:sz w:val="3"/>
                <w:szCs w:val="3"/>
                <w:color w:val="auto"/>
              </w:rPr>
            </w:pPr>
          </w:p>
        </w:tc>
        <w:tc>
          <w:tcPr>
            <w:tcW w:w="1360" w:type="dxa"/>
            <w:vAlign w:val="bottom"/>
            <w:tcBorders>
              <w:bottom w:val="single" w:sz="8" w:color="202020"/>
            </w:tcBorders>
          </w:tcPr>
          <w:p>
            <w:pPr>
              <w:spacing w:after="0"/>
              <w:rPr>
                <w:sz w:val="3"/>
                <w:szCs w:val="3"/>
                <w:color w:val="auto"/>
              </w:rPr>
            </w:pPr>
          </w:p>
        </w:tc>
        <w:tc>
          <w:tcPr>
            <w:tcW w:w="1340" w:type="dxa"/>
            <w:vAlign w:val="bottom"/>
            <w:tcBorders>
              <w:bottom w:val="single" w:sz="8" w:color="202020"/>
            </w:tcBorders>
          </w:tcPr>
          <w:p>
            <w:pPr>
              <w:spacing w:after="0"/>
              <w:rPr>
                <w:sz w:val="3"/>
                <w:szCs w:val="3"/>
                <w:color w:val="auto"/>
              </w:rPr>
            </w:pPr>
          </w:p>
        </w:tc>
        <w:tc>
          <w:tcPr>
            <w:tcW w:w="740" w:type="dxa"/>
            <w:vAlign w:val="bottom"/>
            <w:tcBorders>
              <w:bottom w:val="single" w:sz="8" w:color="2020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140"/>
          </w:cols>
          <w:pgMar w:left="880" w:top="544" w:right="860" w:bottom="96" w:gutter="0" w:footer="0" w:header="0"/>
        </w:sectPr>
      </w:pPr>
    </w:p>
    <w:p>
      <w:pPr>
        <w:spacing w:after="0" w:line="48"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47</w:t>
      </w:r>
    </w:p>
    <w:p>
      <w:pPr>
        <w:sectPr>
          <w:pgSz w:w="11880" w:h="15480" w:orient="portrait"/>
          <w:cols w:equalWidth="0" w:num="1">
            <w:col w:w="10140"/>
          </w:cols>
          <w:pgMar w:left="880" w:top="544" w:right="860" w:bottom="96"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color w:val="202020"/>
        </w:rPr>
        <w:t>Executive Compensation</w:t>
      </w:r>
    </w:p>
    <w:p>
      <w:pPr>
        <w:spacing w:after="0" w:line="215" w:lineRule="exact"/>
        <w:rPr>
          <w:sz w:val="20"/>
          <w:szCs w:val="20"/>
          <w:color w:val="auto"/>
        </w:rPr>
      </w:pPr>
    </w:p>
    <w:p>
      <w:pPr>
        <w:ind w:left="400" w:hanging="399"/>
        <w:spacing w:after="0" w:line="265" w:lineRule="auto"/>
        <w:tabs>
          <w:tab w:leader="none" w:pos="400" w:val="left"/>
        </w:tabs>
        <w:numPr>
          <w:ilvl w:val="0"/>
          <w:numId w:val="35"/>
        </w:numPr>
        <w:rPr>
          <w:rFonts w:ascii="Arial" w:cs="Arial" w:eastAsia="Arial" w:hAnsi="Arial"/>
          <w:sz w:val="16"/>
          <w:szCs w:val="16"/>
          <w:color w:val="202020"/>
        </w:rPr>
      </w:pPr>
      <w:r>
        <w:rPr>
          <w:rFonts w:ascii="Arial" w:cs="Arial" w:eastAsia="Arial" w:hAnsi="Arial"/>
          <w:sz w:val="16"/>
          <w:szCs w:val="16"/>
          <w:color w:val="202020"/>
        </w:rPr>
        <w:t>The amounts in the Option Awards column reflect the grant date fair value in accordance with U.S. GAAP of stock option awards made in 2025 to each of our non-employee directors for awards pursuant to the 2021 Incentive Plan subject to a vesting schedule whereby an equal number of the shares of common stock shall become vested and no longer be subject to risk of forfeiture (so long as the director remains a member of the Board as of such date). As of December 31, 2025, our non-employee directors had the following stock options outstanding: Harry H. Penner, Jr. — 91,866, Keith L. Brownlie — 91,399, Cheryl L. Cohen — 71,500, Herbert J. Conrad — 91,866, Rita, I. Jain, M.D. — 50,100, James J. Marino — 91,399, Garry A. Neil, M.D. — 71,500, and Denice Torres — 33,000. For a discussion regarding the valuation of our stock option awards for financial statement reporting purposes, please refer to Note 2 in the Notes to the Financial Statements contained in our Annual Report on Form 10-K for the year ended December 31, 2025. These amounts do not represent the actual amounts paid to the directors or the actual value that may be realized by the directors upon exercise of such stock options.</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Compensation and Organization Development Committee Interlocks and Insider Participation</w:t>
      </w:r>
    </w:p>
    <w:p>
      <w:pPr>
        <w:spacing w:after="0" w:line="18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202020"/>
        </w:rPr>
        <w:t>The Compensation and Organization Development Committee of the Board of Directors is currently composed of the following three non-employee directors: James J. Marino, Chair, Cheryl L. Cohen and Denice Torres. None of these Compensation and Organization Development Committee members was an officer or employee of us during the year. No Compensation and Organization Development Committee interlocks between us and another entity existed.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Risk Considerations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color w:val="202020"/>
        </w:rPr>
        <w:t>We do not believe that our compensation practices and policies for our employees, including our Executive Officers, create risks or are likely to create risks that are reasonably likely to have a material adverse effect on our results of operations or financial condition. The Compensation and Organization Development Committee considered our strategic goals and operational practices and evaluated our incentive program design to assess whether these programs foster a business environment that might drive inappropriate decision-making or behavior. We are a biopharmaceutical company that is generating a pipeline of drug candidates to treat diseases for which available treatments are inadequate and do not yet generate earnings. While a significant portion of our executives’ compensation is performance-based, we believe several features of our program mitigate inappropriate or excessive risk-taking that could harm shareholder value: we set performance goals that we believe are reasonable and set targets with payouts at multiple levels of performance, rather than an “all or nothing” approach. As discussed above in our Compensation Discussion and Analysis section, we use a mix of performance goals in our annual and long-term incentive programs to align incentive compensation with a broad set of measures important to the creation of shareholder value.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Stock Ownership Policy — Non-Employee Directors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8"/>
          <w:szCs w:val="18"/>
          <w:color w:val="202020"/>
        </w:rPr>
        <w:t>In March 2021, our Board adopted stock ownership guidelines applicable to our non-employee directors based on its belief that stock ownership would further align their interests with the long-term interests of our stockholders. The minimum stock ownership requirement for non-employee directors is three times the Annual Retainer. Non-employee directors are required to achieve this level of stock ownership by January 1, 2026 (the fifth measurement date following the adoption of the plan), and any non-employee directors appointed or elected after March 2021 are required to achieve this level of stock ownership by the fifth measurement date from his or her respective date of appointment or election. Measurement dates are January 1 of each year. We assess compliance with these stock ownership guidelines on an annual basis. At January 1, 2026, Mr. Penner, Mr. Conrad and Mr. Marino, were the only non-employee director who had achieved their required stock ownership. Mr. Brownlie was not in compliance as of January 1, 2026 but, as of the date of this proxy statement, he has maintained compliance with the stock ownership guidelines. Ms. Cohen and Dr. Neil have until January 2027, Dr. Jain has until January 2028, and Ms. Torres has until January 2030.</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48 |</w:t>
        <w:tab/>
        <w:t>Celldex Therapeutics</w:t>
      </w:r>
    </w:p>
    <w:p>
      <w:pPr>
        <w:sectPr>
          <w:pgSz w:w="11880" w:h="15480" w:orient="portrait"/>
          <w:cols w:equalWidth="0" w:num="1">
            <w:col w:w="10120"/>
          </w:cols>
          <w:pgMar w:left="880" w:top="544" w:right="880" w:bottom="96" w:gutter="0" w:footer="0" w:header="0"/>
          <w:type w:val="continuous"/>
        </w:sectPr>
      </w:pPr>
    </w:p>
    <w:bookmarkStart w:id="52" w:name="page53"/>
    <w:bookmarkEnd w:id="52"/>
    <w:p>
      <w:pPr>
        <w:ind w:left="8300"/>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Report of The Audit Committee*</w:t>
      </w:r>
    </w:p>
    <w:p>
      <w:pPr>
        <w:spacing w:after="0" w:line="180" w:lineRule="exact"/>
        <w:rPr>
          <w:sz w:val="20"/>
          <w:szCs w:val="20"/>
          <w:color w:val="auto"/>
        </w:rPr>
      </w:pPr>
    </w:p>
    <w:p>
      <w:pPr>
        <w:ind w:right="200"/>
        <w:spacing w:after="0" w:line="297" w:lineRule="auto"/>
        <w:rPr>
          <w:sz w:val="20"/>
          <w:szCs w:val="20"/>
          <w:color w:val="auto"/>
        </w:rPr>
      </w:pPr>
      <w:r>
        <w:rPr>
          <w:rFonts w:ascii="Arial" w:cs="Arial" w:eastAsia="Arial" w:hAnsi="Arial"/>
          <w:sz w:val="18"/>
          <w:szCs w:val="18"/>
          <w:color w:val="202020"/>
        </w:rPr>
        <w:t>The undersigned members of the Audit Committee of the Board of Directors of Celldex submit this report in connection with the committee’s review of the financial reports for the fiscal year ended December 31, 2025 as follows:</w:t>
      </w:r>
    </w:p>
    <w:p>
      <w:pPr>
        <w:spacing w:after="0" w:line="86" w:lineRule="exact"/>
        <w:rPr>
          <w:sz w:val="20"/>
          <w:szCs w:val="20"/>
          <w:color w:val="auto"/>
        </w:rPr>
      </w:pPr>
    </w:p>
    <w:p>
      <w:pPr>
        <w:ind w:left="400" w:right="80" w:hanging="399"/>
        <w:spacing w:after="0" w:line="297" w:lineRule="auto"/>
        <w:tabs>
          <w:tab w:leader="none" w:pos="400" w:val="left"/>
        </w:tabs>
        <w:numPr>
          <w:ilvl w:val="0"/>
          <w:numId w:val="36"/>
        </w:numPr>
        <w:rPr>
          <w:rFonts w:ascii="Arial" w:cs="Arial" w:eastAsia="Arial" w:hAnsi="Arial"/>
          <w:sz w:val="18"/>
          <w:szCs w:val="18"/>
          <w:color w:val="202020"/>
        </w:rPr>
      </w:pPr>
      <w:r>
        <w:rPr>
          <w:rFonts w:ascii="Arial" w:cs="Arial" w:eastAsia="Arial" w:hAnsi="Arial"/>
          <w:sz w:val="18"/>
          <w:szCs w:val="18"/>
          <w:color w:val="202020"/>
        </w:rPr>
        <w:t>The Audit Committee has reviewed and discussed with management the audited financial statements for Celldex for the fiscal year ended December 31, 2025.</w:t>
      </w:r>
    </w:p>
    <w:p>
      <w:pPr>
        <w:spacing w:after="0" w:line="86" w:lineRule="exact"/>
        <w:rPr>
          <w:rFonts w:ascii="Arial" w:cs="Arial" w:eastAsia="Arial" w:hAnsi="Arial"/>
          <w:sz w:val="18"/>
          <w:szCs w:val="18"/>
          <w:color w:val="202020"/>
        </w:rPr>
      </w:pPr>
    </w:p>
    <w:p>
      <w:pPr>
        <w:ind w:left="400" w:right="120" w:hanging="399"/>
        <w:spacing w:after="0" w:line="268" w:lineRule="auto"/>
        <w:tabs>
          <w:tab w:leader="none" w:pos="400" w:val="left"/>
        </w:tabs>
        <w:numPr>
          <w:ilvl w:val="0"/>
          <w:numId w:val="36"/>
        </w:numPr>
        <w:rPr>
          <w:rFonts w:ascii="Arial" w:cs="Arial" w:eastAsia="Arial" w:hAnsi="Arial"/>
          <w:sz w:val="18"/>
          <w:szCs w:val="18"/>
          <w:color w:val="202020"/>
        </w:rPr>
      </w:pPr>
      <w:r>
        <w:rPr>
          <w:rFonts w:ascii="Arial" w:cs="Arial" w:eastAsia="Arial" w:hAnsi="Arial"/>
          <w:sz w:val="18"/>
          <w:szCs w:val="18"/>
          <w:color w:val="202020"/>
        </w:rPr>
        <w:t>The Audit Committee has discussed with representatives of PricewaterhouseCoopers LLP the matters which are required to be discussed by applicable requirements of the Public Company Accounting Oversight Board (“PCAOB”) and the SEC. That Auditing Standard requires the auditors to ensure that the Audit Committee received information regarding the scope and results of the audit.</w:t>
      </w:r>
    </w:p>
    <w:p>
      <w:pPr>
        <w:spacing w:after="0" w:line="113" w:lineRule="exact"/>
        <w:rPr>
          <w:rFonts w:ascii="Arial" w:cs="Arial" w:eastAsia="Arial" w:hAnsi="Arial"/>
          <w:sz w:val="18"/>
          <w:szCs w:val="18"/>
          <w:color w:val="202020"/>
        </w:rPr>
      </w:pPr>
    </w:p>
    <w:p>
      <w:pPr>
        <w:ind w:left="400" w:right="20" w:hanging="399"/>
        <w:spacing w:after="0" w:line="275" w:lineRule="auto"/>
        <w:tabs>
          <w:tab w:leader="none" w:pos="400" w:val="left"/>
        </w:tabs>
        <w:numPr>
          <w:ilvl w:val="0"/>
          <w:numId w:val="36"/>
        </w:numPr>
        <w:rPr>
          <w:rFonts w:ascii="Arial" w:cs="Arial" w:eastAsia="Arial" w:hAnsi="Arial"/>
          <w:sz w:val="18"/>
          <w:szCs w:val="18"/>
          <w:color w:val="202020"/>
        </w:rPr>
      </w:pPr>
      <w:r>
        <w:rPr>
          <w:rFonts w:ascii="Arial" w:cs="Arial" w:eastAsia="Arial" w:hAnsi="Arial"/>
          <w:sz w:val="18"/>
          <w:szCs w:val="18"/>
          <w:color w:val="202020"/>
        </w:rPr>
        <w:t>The Audit Committee has discussed with PricewaterhouseCoopers LLP, the independent registered public accounting firm, the auditors’ independence from management and Celldex including the matters in the written disclosures and the letter from the independent auditors required by PCAOB Rule 3526.</w:t>
      </w:r>
    </w:p>
    <w:p>
      <w:pPr>
        <w:spacing w:after="0" w:line="107"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202020"/>
        </w:rPr>
        <w:t>In addition, the Audit Committee considered whether the provision of tax or other non-audit services by PricewaterhouseCoopers LLP is compatible with maintaining its independence. In reliance on the reviews and discussions referred to above, the Audit Committee recommended to the Board of Directors (and the Board of Directors has approved) that the audited financial statements be included in Celldex’s Annual Report on Form 10-K for the fiscal year ended December 31, 2025 for filing with the Securities and Exchange Commission.</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202020"/>
        </w:rPr>
        <w:t>Audit Committee:</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8"/>
          <w:szCs w:val="18"/>
          <w:color w:val="202020"/>
        </w:rPr>
        <w:t>Keith L. Brownlie, Chair</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8"/>
          <w:szCs w:val="18"/>
          <w:color w:val="202020"/>
        </w:rPr>
        <w:t>James J. Marino, J.D.</w:t>
      </w:r>
    </w:p>
    <w:p>
      <w:pPr>
        <w:spacing w:after="0" w:line="12" w:lineRule="exact"/>
        <w:rPr>
          <w:sz w:val="20"/>
          <w:szCs w:val="20"/>
          <w:color w:val="auto"/>
        </w:rPr>
      </w:pPr>
    </w:p>
    <w:p>
      <w:pPr>
        <w:ind w:left="5580"/>
        <w:spacing w:after="0"/>
        <w:rPr>
          <w:sz w:val="20"/>
          <w:szCs w:val="20"/>
          <w:color w:val="auto"/>
        </w:rPr>
      </w:pPr>
      <w:r>
        <w:rPr>
          <w:rFonts w:ascii="Arial" w:cs="Arial" w:eastAsia="Arial" w:hAnsi="Arial"/>
          <w:sz w:val="18"/>
          <w:szCs w:val="18"/>
          <w:color w:val="202020"/>
        </w:rPr>
        <w:t>Garry Neil, M.D.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4244975</wp:posOffset>
                </wp:positionV>
                <wp:extent cx="136842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8425" cy="4763"/>
                        </a:xfrm>
                        <a:prstGeom prst="line">
                          <a:avLst/>
                        </a:prstGeom>
                        <a:solidFill>
                          <a:srgbClr val="FFFFFF"/>
                        </a:solidFill>
                        <a:ln w="6337">
                          <a:solidFill>
                            <a:srgbClr val="20202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334.25pt" to="107.8pt,334.25pt" o:allowincell="f" strokecolor="#202020" strokeweight="0.4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0" w:hanging="399"/>
        <w:spacing w:after="0" w:line="270" w:lineRule="auto"/>
        <w:tabs>
          <w:tab w:leader="none" w:pos="400" w:val="left"/>
        </w:tabs>
        <w:numPr>
          <w:ilvl w:val="0"/>
          <w:numId w:val="37"/>
        </w:numPr>
        <w:rPr>
          <w:rFonts w:ascii="Arial" w:cs="Arial" w:eastAsia="Arial" w:hAnsi="Arial"/>
          <w:sz w:val="16"/>
          <w:szCs w:val="16"/>
          <w:color w:val="202020"/>
        </w:rPr>
      </w:pPr>
      <w:r>
        <w:rPr>
          <w:rFonts w:ascii="Arial" w:cs="Arial" w:eastAsia="Arial" w:hAnsi="Arial"/>
          <w:sz w:val="16"/>
          <w:szCs w:val="16"/>
          <w:color w:val="202020"/>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p>
      <w:pPr>
        <w:sectPr>
          <w:pgSz w:w="11880" w:h="15480" w:orient="portrait"/>
          <w:cols w:equalWidth="0" w:num="1">
            <w:col w:w="10140"/>
          </w:cols>
          <w:pgMar w:left="880" w:top="544" w:right="860" w:bottom="96" w:gutter="0" w:footer="0" w:header="0"/>
        </w:sectPr>
      </w:pPr>
    </w:p>
    <w:p>
      <w:pPr>
        <w:spacing w:after="0" w:line="181"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49</w:t>
      </w:r>
    </w:p>
    <w:p>
      <w:pPr>
        <w:sectPr>
          <w:pgSz w:w="11880" w:h="15480" w:orient="portrait"/>
          <w:cols w:equalWidth="0" w:num="1">
            <w:col w:w="10140"/>
          </w:cols>
          <w:pgMar w:left="880" w:top="544" w:right="860" w:bottom="96"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color w:val="202020"/>
        </w:rPr>
        <w:t>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Security Ownership of Certain Beneficial Owners and Management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color w:val="202020"/>
        </w:rPr>
        <w:t>The following table sets forth certain information as of April 10, 2026 with respect to the beneficial ownership of common stock of the Company by the following: (i) each of the Company’s current directors; (ii) each of the Named Executive Officers; (iii) the current Executive Officers; (iv) all of the Executive Officers and directors as a group; and (v) each person known by the Company to own beneficially more than five percent (5%) of the outstanding shares of the Company’s common stock.</w:t>
      </w:r>
    </w:p>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02020"/>
        </w:rPr>
        <w:t>For purposes of the following table, beneficial ownership is determined in accordance with the applicable SEC rules and the information is not necessarily indicative of beneficial ownership for any other purpose. Except as otherwise noted in the footnotes to the table, we believe that each person or entity named in the table has sole voting and investment power with respect to all shares of the Company’s common stock shown as beneficially owned by that person or entity (or shares such power with his or her spouse). Under the SEC’s rules, shares of the Company’s common stock issuable under options that are exercisable on or within 60 days after April 10, 2026 (“Presently Exercisable Options”) are deemed outstanding and therefore included in the number of shares reported as beneficially owned by a person or entity named in the table and are used to compute the percentage of the common stock beneficially owned by that person or entity. These shares are not, however, deemed outstanding for computing the percentage of the common stock beneficially owned by any other person or entity.</w:t>
      </w:r>
    </w:p>
    <w:p>
      <w:pPr>
        <w:spacing w:after="0" w:line="340"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202020"/>
        </w:rPr>
        <w:t>The percentage of the common stock beneficially owned by each person or entity named in the following table is based on 78,488,660 shares of common stock outstanding as of April 10, 2026 plus any shares issuable upon exercise of Presently Exercisable Options held by such person or entity.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2840" w:type="dxa"/>
            <w:vAlign w:val="bottom"/>
          </w:tcPr>
          <w:p>
            <w:pPr>
              <w:jc w:val="right"/>
              <w:ind w:right="20"/>
              <w:spacing w:after="0"/>
              <w:rPr>
                <w:sz w:val="20"/>
                <w:szCs w:val="20"/>
                <w:color w:val="auto"/>
              </w:rPr>
            </w:pPr>
            <w:r>
              <w:rPr>
                <w:rFonts w:ascii="Arial" w:cs="Arial" w:eastAsia="Arial" w:hAnsi="Arial"/>
                <w:sz w:val="16"/>
                <w:szCs w:val="16"/>
                <w:b w:val="1"/>
                <w:bCs w:val="1"/>
                <w:color w:val="202020"/>
              </w:rPr>
              <w:t>Amount and Nature of</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02020"/>
              </w:rPr>
              <w:t>Percentage of</w:t>
            </w:r>
          </w:p>
        </w:tc>
      </w:tr>
      <w:tr>
        <w:trPr>
          <w:trHeight w:val="241"/>
        </w:trPr>
        <w:tc>
          <w:tcPr>
            <w:tcW w:w="5760" w:type="dxa"/>
            <w:vAlign w:val="bottom"/>
          </w:tcPr>
          <w:p>
            <w:pPr>
              <w:ind w:left="60"/>
              <w:spacing w:after="0"/>
              <w:rPr>
                <w:sz w:val="20"/>
                <w:szCs w:val="20"/>
                <w:color w:val="auto"/>
              </w:rPr>
            </w:pPr>
            <w:r>
              <w:rPr>
                <w:rFonts w:ascii="Arial" w:cs="Arial" w:eastAsia="Arial" w:hAnsi="Arial"/>
                <w:sz w:val="16"/>
                <w:szCs w:val="16"/>
                <w:b w:val="1"/>
                <w:bCs w:val="1"/>
                <w:color w:val="202020"/>
              </w:rPr>
              <w:t>Name and Business Address of Beneficial Owners*</w:t>
            </w:r>
          </w:p>
        </w:tc>
        <w:tc>
          <w:tcPr>
            <w:tcW w:w="2840" w:type="dxa"/>
            <w:vAlign w:val="bottom"/>
          </w:tcPr>
          <w:p>
            <w:pPr>
              <w:jc w:val="right"/>
              <w:ind w:right="20"/>
              <w:spacing w:after="0"/>
              <w:rPr>
                <w:sz w:val="20"/>
                <w:szCs w:val="20"/>
                <w:color w:val="auto"/>
              </w:rPr>
            </w:pPr>
            <w:r>
              <w:rPr>
                <w:rFonts w:ascii="Arial" w:cs="Arial" w:eastAsia="Arial" w:hAnsi="Arial"/>
                <w:sz w:val="16"/>
                <w:szCs w:val="16"/>
                <w:b w:val="1"/>
                <w:bCs w:val="1"/>
                <w:color w:val="202020"/>
              </w:rPr>
              <w:t>Beneficial Ownership</w:t>
            </w:r>
            <w:r>
              <w:rPr>
                <w:rFonts w:ascii="Arial" w:cs="Arial" w:eastAsia="Arial" w:hAnsi="Arial"/>
                <w:sz w:val="19"/>
                <w:szCs w:val="19"/>
                <w:b w:val="1"/>
                <w:bCs w:val="1"/>
                <w:color w:val="202020"/>
                <w:vertAlign w:val="superscript"/>
              </w:rPr>
              <w:t>(1)</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202020"/>
              </w:rPr>
              <w:t>Common Stock</w:t>
            </w:r>
            <w:r>
              <w:rPr>
                <w:rFonts w:ascii="Arial" w:cs="Arial" w:eastAsia="Arial" w:hAnsi="Arial"/>
                <w:sz w:val="19"/>
                <w:szCs w:val="19"/>
                <w:b w:val="1"/>
                <w:bCs w:val="1"/>
                <w:color w:val="202020"/>
                <w:vertAlign w:val="superscript"/>
              </w:rPr>
              <w:t>(2)</w:t>
            </w:r>
          </w:p>
        </w:tc>
      </w:tr>
      <w:tr>
        <w:trPr>
          <w:trHeight w:val="220"/>
        </w:trPr>
        <w:tc>
          <w:tcPr>
            <w:tcW w:w="5760" w:type="dxa"/>
            <w:vAlign w:val="bottom"/>
            <w:tcBorders>
              <w:top w:val="single" w:sz="8" w:color="202020"/>
            </w:tcBorders>
            <w:shd w:val="clear" w:color="auto" w:fill="E9E9E9"/>
          </w:tcPr>
          <w:p>
            <w:pPr>
              <w:ind w:left="60"/>
              <w:spacing w:after="0"/>
              <w:rPr>
                <w:sz w:val="20"/>
                <w:szCs w:val="20"/>
                <w:color w:val="auto"/>
              </w:rPr>
            </w:pPr>
            <w:r>
              <w:rPr>
                <w:rFonts w:ascii="Arial" w:cs="Arial" w:eastAsia="Arial" w:hAnsi="Arial"/>
                <w:sz w:val="16"/>
                <w:szCs w:val="16"/>
                <w:i w:val="1"/>
                <w:iCs w:val="1"/>
                <w:color w:val="202020"/>
              </w:rPr>
              <w:t>5% Holders</w:t>
            </w:r>
          </w:p>
        </w:tc>
        <w:tc>
          <w:tcPr>
            <w:tcW w:w="2840" w:type="dxa"/>
            <w:vAlign w:val="bottom"/>
            <w:tcBorders>
              <w:top w:val="single" w:sz="8" w:color="202020"/>
            </w:tcBorders>
            <w:shd w:val="clear" w:color="auto" w:fill="E9E9E9"/>
          </w:tcPr>
          <w:p>
            <w:pPr>
              <w:spacing w:after="0"/>
              <w:rPr>
                <w:sz w:val="19"/>
                <w:szCs w:val="19"/>
                <w:color w:val="auto"/>
              </w:rPr>
            </w:pPr>
          </w:p>
        </w:tc>
        <w:tc>
          <w:tcPr>
            <w:tcW w:w="1520" w:type="dxa"/>
            <w:vAlign w:val="bottom"/>
            <w:tcBorders>
              <w:top w:val="single" w:sz="8" w:color="202020"/>
            </w:tcBorders>
            <w:shd w:val="clear" w:color="auto" w:fill="E9E9E9"/>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760" w:type="dxa"/>
            <w:vAlign w:val="bottom"/>
          </w:tcPr>
          <w:p>
            <w:pPr>
              <w:ind w:left="60"/>
              <w:spacing w:after="0"/>
              <w:rPr>
                <w:sz w:val="20"/>
                <w:szCs w:val="20"/>
                <w:color w:val="auto"/>
              </w:rPr>
            </w:pPr>
            <w:r>
              <w:rPr>
                <w:rFonts w:ascii="Arial" w:cs="Arial" w:eastAsia="Arial" w:hAnsi="Arial"/>
                <w:sz w:val="16"/>
                <w:szCs w:val="16"/>
                <w:color w:val="202020"/>
              </w:rPr>
              <w:t>Wellington Management Group LLP</w:t>
            </w:r>
          </w:p>
        </w:tc>
        <w:tc>
          <w:tcPr>
            <w:tcW w:w="2840" w:type="dxa"/>
            <w:vAlign w:val="bottom"/>
          </w:tcPr>
          <w:p>
            <w:pPr>
              <w:jc w:val="right"/>
              <w:spacing w:after="0" w:line="189" w:lineRule="exact"/>
              <w:rPr>
                <w:sz w:val="20"/>
                <w:szCs w:val="20"/>
                <w:color w:val="auto"/>
              </w:rPr>
            </w:pPr>
            <w:r>
              <w:rPr>
                <w:rFonts w:ascii="Arial" w:cs="Arial" w:eastAsia="Arial" w:hAnsi="Arial"/>
                <w:sz w:val="16"/>
                <w:szCs w:val="16"/>
                <w:color w:val="202020"/>
              </w:rPr>
              <w:t>8,079,608</w:t>
            </w:r>
            <w:r>
              <w:rPr>
                <w:rFonts w:ascii="Arial" w:cs="Arial" w:eastAsia="Arial" w:hAnsi="Arial"/>
                <w:sz w:val="19"/>
                <w:szCs w:val="19"/>
                <w:color w:val="202020"/>
                <w:vertAlign w:val="superscript"/>
              </w:rPr>
              <w:t>(3)</w:t>
            </w:r>
          </w:p>
        </w:tc>
        <w:tc>
          <w:tcPr>
            <w:tcW w:w="1520" w:type="dxa"/>
            <w:vAlign w:val="bottom"/>
          </w:tcPr>
          <w:p>
            <w:pPr>
              <w:jc w:val="right"/>
              <w:spacing w:after="0"/>
              <w:rPr>
                <w:sz w:val="20"/>
                <w:szCs w:val="20"/>
                <w:color w:val="auto"/>
              </w:rPr>
            </w:pPr>
            <w:r>
              <w:rPr>
                <w:rFonts w:ascii="Arial" w:cs="Arial" w:eastAsia="Arial" w:hAnsi="Arial"/>
                <w:sz w:val="16"/>
                <w:szCs w:val="16"/>
                <w:color w:val="202020"/>
              </w:rPr>
              <w:t>10.3%</w:t>
            </w:r>
          </w:p>
        </w:tc>
        <w:tc>
          <w:tcPr>
            <w:tcW w:w="20" w:type="dxa"/>
            <w:vAlign w:val="bottom"/>
          </w:tcPr>
          <w:p>
            <w:pPr>
              <w:spacing w:after="0"/>
              <w:rPr>
                <w:sz w:val="16"/>
                <w:szCs w:val="16"/>
                <w:color w:val="auto"/>
              </w:rPr>
            </w:pPr>
          </w:p>
        </w:tc>
      </w:tr>
      <w:tr>
        <w:trPr>
          <w:trHeight w:val="200"/>
        </w:trPr>
        <w:tc>
          <w:tcPr>
            <w:tcW w:w="5760" w:type="dxa"/>
            <w:vAlign w:val="bottom"/>
          </w:tcPr>
          <w:p>
            <w:pPr>
              <w:ind w:left="220"/>
              <w:spacing w:after="0"/>
              <w:rPr>
                <w:sz w:val="20"/>
                <w:szCs w:val="20"/>
                <w:color w:val="auto"/>
              </w:rPr>
            </w:pPr>
            <w:r>
              <w:rPr>
                <w:rFonts w:ascii="Arial" w:cs="Arial" w:eastAsia="Arial" w:hAnsi="Arial"/>
                <w:sz w:val="16"/>
                <w:szCs w:val="16"/>
                <w:color w:val="202020"/>
              </w:rPr>
              <w:t>280 Congress Street</w:t>
            </w:r>
          </w:p>
        </w:tc>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5760" w:type="dxa"/>
            <w:vAlign w:val="bottom"/>
          </w:tcPr>
          <w:p>
            <w:pPr>
              <w:ind w:left="220"/>
              <w:spacing w:after="0"/>
              <w:rPr>
                <w:sz w:val="20"/>
                <w:szCs w:val="20"/>
                <w:color w:val="auto"/>
              </w:rPr>
            </w:pPr>
            <w:r>
              <w:rPr>
                <w:rFonts w:ascii="Arial" w:cs="Arial" w:eastAsia="Arial" w:hAnsi="Arial"/>
                <w:sz w:val="16"/>
                <w:szCs w:val="16"/>
                <w:color w:val="202020"/>
              </w:rPr>
              <w:t>Boston, Massachusetts 02210</w:t>
            </w:r>
          </w:p>
        </w:tc>
        <w:tc>
          <w:tcPr>
            <w:tcW w:w="2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Kynam Capital Management, LP</w:t>
            </w:r>
          </w:p>
        </w:tc>
        <w:tc>
          <w:tcPr>
            <w:tcW w:w="2840" w:type="dxa"/>
            <w:vAlign w:val="bottom"/>
            <w:shd w:val="clear" w:color="auto" w:fill="E9E9E9"/>
          </w:tcPr>
          <w:p>
            <w:pPr>
              <w:jc w:val="right"/>
              <w:spacing w:after="0" w:line="203" w:lineRule="exact"/>
              <w:rPr>
                <w:sz w:val="20"/>
                <w:szCs w:val="20"/>
                <w:color w:val="auto"/>
              </w:rPr>
            </w:pPr>
            <w:r>
              <w:rPr>
                <w:rFonts w:ascii="Arial" w:cs="Arial" w:eastAsia="Arial" w:hAnsi="Arial"/>
                <w:sz w:val="16"/>
                <w:szCs w:val="16"/>
                <w:color w:val="202020"/>
              </w:rPr>
              <w:t>6,500,000</w:t>
            </w:r>
            <w:r>
              <w:rPr>
                <w:rFonts w:ascii="Arial" w:cs="Arial" w:eastAsia="Arial" w:hAnsi="Arial"/>
                <w:sz w:val="19"/>
                <w:szCs w:val="19"/>
                <w:color w:val="202020"/>
                <w:vertAlign w:val="superscript"/>
              </w:rPr>
              <w:t>(4)</w:t>
            </w:r>
          </w:p>
        </w:tc>
        <w:tc>
          <w:tcPr>
            <w:tcW w:w="152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8.3%</w:t>
            </w:r>
          </w:p>
        </w:tc>
        <w:tc>
          <w:tcPr>
            <w:tcW w:w="20" w:type="dxa"/>
            <w:vAlign w:val="bottom"/>
          </w:tcPr>
          <w:p>
            <w:pPr>
              <w:spacing w:after="0"/>
              <w:rPr>
                <w:sz w:val="17"/>
                <w:szCs w:val="17"/>
                <w:color w:val="auto"/>
              </w:rPr>
            </w:pPr>
          </w:p>
        </w:tc>
      </w:tr>
      <w:tr>
        <w:trPr>
          <w:trHeight w:val="200"/>
        </w:trPr>
        <w:tc>
          <w:tcPr>
            <w:tcW w:w="5760" w:type="dxa"/>
            <w:vAlign w:val="bottom"/>
            <w:shd w:val="clear" w:color="auto" w:fill="E9E9E9"/>
          </w:tcPr>
          <w:p>
            <w:pPr>
              <w:ind w:left="220"/>
              <w:spacing w:after="0"/>
              <w:rPr>
                <w:sz w:val="20"/>
                <w:szCs w:val="20"/>
                <w:color w:val="auto"/>
              </w:rPr>
            </w:pPr>
            <w:r>
              <w:rPr>
                <w:rFonts w:ascii="Arial" w:cs="Arial" w:eastAsia="Arial" w:hAnsi="Arial"/>
                <w:sz w:val="16"/>
                <w:szCs w:val="16"/>
                <w:color w:val="202020"/>
              </w:rPr>
              <w:t>221 Elm Road</w:t>
            </w:r>
          </w:p>
        </w:tc>
        <w:tc>
          <w:tcPr>
            <w:tcW w:w="2840" w:type="dxa"/>
            <w:vAlign w:val="bottom"/>
            <w:shd w:val="clear" w:color="auto" w:fill="E9E9E9"/>
          </w:tcPr>
          <w:p>
            <w:pPr>
              <w:spacing w:after="0"/>
              <w:rPr>
                <w:sz w:val="17"/>
                <w:szCs w:val="17"/>
                <w:color w:val="auto"/>
              </w:rPr>
            </w:pPr>
          </w:p>
        </w:tc>
        <w:tc>
          <w:tcPr>
            <w:tcW w:w="1520" w:type="dxa"/>
            <w:vAlign w:val="bottom"/>
            <w:shd w:val="clear" w:color="auto" w:fill="E9E9E9"/>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760" w:type="dxa"/>
            <w:vAlign w:val="bottom"/>
            <w:shd w:val="clear" w:color="auto" w:fill="E9E9E9"/>
          </w:tcPr>
          <w:p>
            <w:pPr>
              <w:ind w:left="220"/>
              <w:spacing w:after="0"/>
              <w:rPr>
                <w:sz w:val="20"/>
                <w:szCs w:val="20"/>
                <w:color w:val="auto"/>
              </w:rPr>
            </w:pPr>
            <w:r>
              <w:rPr>
                <w:rFonts w:ascii="Arial" w:cs="Arial" w:eastAsia="Arial" w:hAnsi="Arial"/>
                <w:sz w:val="16"/>
                <w:szCs w:val="16"/>
                <w:color w:val="202020"/>
              </w:rPr>
              <w:t>Princeton, NJ 08540</w:t>
            </w:r>
          </w:p>
        </w:tc>
        <w:tc>
          <w:tcPr>
            <w:tcW w:w="2840" w:type="dxa"/>
            <w:vAlign w:val="bottom"/>
            <w:shd w:val="clear" w:color="auto" w:fill="E9E9E9"/>
          </w:tcPr>
          <w:p>
            <w:pPr>
              <w:spacing w:after="0"/>
              <w:rPr>
                <w:sz w:val="20"/>
                <w:szCs w:val="20"/>
                <w:color w:val="auto"/>
              </w:rPr>
            </w:pPr>
          </w:p>
        </w:tc>
        <w:tc>
          <w:tcPr>
            <w:tcW w:w="152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760" w:type="dxa"/>
            <w:vAlign w:val="bottom"/>
          </w:tcPr>
          <w:p>
            <w:pPr>
              <w:ind w:left="60"/>
              <w:spacing w:after="0"/>
              <w:rPr>
                <w:sz w:val="20"/>
                <w:szCs w:val="20"/>
                <w:color w:val="auto"/>
              </w:rPr>
            </w:pPr>
            <w:r>
              <w:rPr>
                <w:rFonts w:ascii="Arial" w:cs="Arial" w:eastAsia="Arial" w:hAnsi="Arial"/>
                <w:sz w:val="16"/>
                <w:szCs w:val="16"/>
                <w:color w:val="202020"/>
              </w:rPr>
              <w:t>FMR LLC</w:t>
            </w:r>
          </w:p>
        </w:tc>
        <w:tc>
          <w:tcPr>
            <w:tcW w:w="2840" w:type="dxa"/>
            <w:vAlign w:val="bottom"/>
          </w:tcPr>
          <w:p>
            <w:pPr>
              <w:jc w:val="right"/>
              <w:spacing w:after="0" w:line="189" w:lineRule="exact"/>
              <w:rPr>
                <w:sz w:val="20"/>
                <w:szCs w:val="20"/>
                <w:color w:val="auto"/>
              </w:rPr>
            </w:pPr>
            <w:r>
              <w:rPr>
                <w:rFonts w:ascii="Arial" w:cs="Arial" w:eastAsia="Arial" w:hAnsi="Arial"/>
                <w:sz w:val="16"/>
                <w:szCs w:val="16"/>
                <w:color w:val="202020"/>
              </w:rPr>
              <w:t>4,857,668</w:t>
            </w:r>
            <w:r>
              <w:rPr>
                <w:rFonts w:ascii="Arial" w:cs="Arial" w:eastAsia="Arial" w:hAnsi="Arial"/>
                <w:sz w:val="19"/>
                <w:szCs w:val="19"/>
                <w:color w:val="202020"/>
                <w:vertAlign w:val="superscript"/>
              </w:rPr>
              <w:t>(5)</w:t>
            </w:r>
          </w:p>
        </w:tc>
        <w:tc>
          <w:tcPr>
            <w:tcW w:w="1520" w:type="dxa"/>
            <w:vAlign w:val="bottom"/>
          </w:tcPr>
          <w:p>
            <w:pPr>
              <w:jc w:val="right"/>
              <w:spacing w:after="0"/>
              <w:rPr>
                <w:sz w:val="20"/>
                <w:szCs w:val="20"/>
                <w:color w:val="auto"/>
              </w:rPr>
            </w:pPr>
            <w:r>
              <w:rPr>
                <w:rFonts w:ascii="Arial" w:cs="Arial" w:eastAsia="Arial" w:hAnsi="Arial"/>
                <w:sz w:val="16"/>
                <w:szCs w:val="16"/>
                <w:color w:val="202020"/>
              </w:rPr>
              <w:t>6.2%</w:t>
            </w:r>
          </w:p>
        </w:tc>
        <w:tc>
          <w:tcPr>
            <w:tcW w:w="20" w:type="dxa"/>
            <w:vAlign w:val="bottom"/>
          </w:tcPr>
          <w:p>
            <w:pPr>
              <w:spacing w:after="0"/>
              <w:rPr>
                <w:sz w:val="16"/>
                <w:szCs w:val="16"/>
                <w:color w:val="auto"/>
              </w:rPr>
            </w:pPr>
          </w:p>
        </w:tc>
      </w:tr>
      <w:tr>
        <w:trPr>
          <w:trHeight w:val="200"/>
        </w:trPr>
        <w:tc>
          <w:tcPr>
            <w:tcW w:w="5760" w:type="dxa"/>
            <w:vAlign w:val="bottom"/>
          </w:tcPr>
          <w:p>
            <w:pPr>
              <w:ind w:left="220"/>
              <w:spacing w:after="0"/>
              <w:rPr>
                <w:sz w:val="20"/>
                <w:szCs w:val="20"/>
                <w:color w:val="auto"/>
              </w:rPr>
            </w:pPr>
            <w:r>
              <w:rPr>
                <w:rFonts w:ascii="Arial" w:cs="Arial" w:eastAsia="Arial" w:hAnsi="Arial"/>
                <w:sz w:val="16"/>
                <w:szCs w:val="16"/>
                <w:color w:val="202020"/>
              </w:rPr>
              <w:t>245 Summer Street</w:t>
            </w:r>
          </w:p>
        </w:tc>
        <w:tc>
          <w:tcPr>
            <w:tcW w:w="2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5760" w:type="dxa"/>
            <w:vAlign w:val="bottom"/>
          </w:tcPr>
          <w:p>
            <w:pPr>
              <w:ind w:left="220"/>
              <w:spacing w:after="0"/>
              <w:rPr>
                <w:sz w:val="20"/>
                <w:szCs w:val="20"/>
                <w:color w:val="auto"/>
              </w:rPr>
            </w:pPr>
            <w:r>
              <w:rPr>
                <w:rFonts w:ascii="Arial" w:cs="Arial" w:eastAsia="Arial" w:hAnsi="Arial"/>
                <w:sz w:val="16"/>
                <w:szCs w:val="16"/>
                <w:color w:val="202020"/>
              </w:rPr>
              <w:t>Boston, Massachusetts 02210</w:t>
            </w:r>
          </w:p>
        </w:tc>
        <w:tc>
          <w:tcPr>
            <w:tcW w:w="2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BlackRock Inc.</w:t>
            </w:r>
          </w:p>
        </w:tc>
        <w:tc>
          <w:tcPr>
            <w:tcW w:w="2840" w:type="dxa"/>
            <w:vAlign w:val="bottom"/>
            <w:shd w:val="clear" w:color="auto" w:fill="E9E9E9"/>
          </w:tcPr>
          <w:p>
            <w:pPr>
              <w:jc w:val="right"/>
              <w:spacing w:after="0" w:line="203" w:lineRule="exact"/>
              <w:rPr>
                <w:sz w:val="20"/>
                <w:szCs w:val="20"/>
                <w:color w:val="auto"/>
              </w:rPr>
            </w:pPr>
            <w:r>
              <w:rPr>
                <w:rFonts w:ascii="Arial" w:cs="Arial" w:eastAsia="Arial" w:hAnsi="Arial"/>
                <w:sz w:val="16"/>
                <w:szCs w:val="16"/>
                <w:color w:val="202020"/>
              </w:rPr>
              <w:t>4,819,293</w:t>
            </w:r>
            <w:r>
              <w:rPr>
                <w:rFonts w:ascii="Arial" w:cs="Arial" w:eastAsia="Arial" w:hAnsi="Arial"/>
                <w:sz w:val="19"/>
                <w:szCs w:val="19"/>
                <w:color w:val="202020"/>
                <w:vertAlign w:val="superscript"/>
              </w:rPr>
              <w:t>(6)</w:t>
            </w:r>
          </w:p>
        </w:tc>
        <w:tc>
          <w:tcPr>
            <w:tcW w:w="152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6.1%</w:t>
            </w:r>
          </w:p>
        </w:tc>
        <w:tc>
          <w:tcPr>
            <w:tcW w:w="20" w:type="dxa"/>
            <w:vAlign w:val="bottom"/>
          </w:tcPr>
          <w:p>
            <w:pPr>
              <w:spacing w:after="0"/>
              <w:rPr>
                <w:sz w:val="17"/>
                <w:szCs w:val="17"/>
                <w:color w:val="auto"/>
              </w:rPr>
            </w:pPr>
          </w:p>
        </w:tc>
      </w:tr>
      <w:tr>
        <w:trPr>
          <w:trHeight w:val="200"/>
        </w:trPr>
        <w:tc>
          <w:tcPr>
            <w:tcW w:w="5760" w:type="dxa"/>
            <w:vAlign w:val="bottom"/>
            <w:shd w:val="clear" w:color="auto" w:fill="E9E9E9"/>
          </w:tcPr>
          <w:p>
            <w:pPr>
              <w:ind w:left="220"/>
              <w:spacing w:after="0"/>
              <w:rPr>
                <w:sz w:val="20"/>
                <w:szCs w:val="20"/>
                <w:color w:val="auto"/>
              </w:rPr>
            </w:pPr>
            <w:r>
              <w:rPr>
                <w:rFonts w:ascii="Arial" w:cs="Arial" w:eastAsia="Arial" w:hAnsi="Arial"/>
                <w:sz w:val="16"/>
                <w:szCs w:val="16"/>
                <w:color w:val="202020"/>
              </w:rPr>
              <w:t>50 Hudson Yards</w:t>
            </w:r>
          </w:p>
        </w:tc>
        <w:tc>
          <w:tcPr>
            <w:tcW w:w="2840" w:type="dxa"/>
            <w:vAlign w:val="bottom"/>
            <w:shd w:val="clear" w:color="auto" w:fill="E9E9E9"/>
          </w:tcPr>
          <w:p>
            <w:pPr>
              <w:spacing w:after="0"/>
              <w:rPr>
                <w:sz w:val="17"/>
                <w:szCs w:val="17"/>
                <w:color w:val="auto"/>
              </w:rPr>
            </w:pPr>
          </w:p>
        </w:tc>
        <w:tc>
          <w:tcPr>
            <w:tcW w:w="1520" w:type="dxa"/>
            <w:vAlign w:val="bottom"/>
            <w:shd w:val="clear" w:color="auto" w:fill="E9E9E9"/>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760" w:type="dxa"/>
            <w:vAlign w:val="bottom"/>
            <w:shd w:val="clear" w:color="auto" w:fill="E9E9E9"/>
          </w:tcPr>
          <w:p>
            <w:pPr>
              <w:ind w:left="220"/>
              <w:spacing w:after="0"/>
              <w:rPr>
                <w:sz w:val="20"/>
                <w:szCs w:val="20"/>
                <w:color w:val="auto"/>
              </w:rPr>
            </w:pPr>
            <w:r>
              <w:rPr>
                <w:rFonts w:ascii="Arial" w:cs="Arial" w:eastAsia="Arial" w:hAnsi="Arial"/>
                <w:sz w:val="16"/>
                <w:szCs w:val="16"/>
                <w:color w:val="202020"/>
              </w:rPr>
              <w:t>New York, NY 10001</w:t>
            </w:r>
          </w:p>
        </w:tc>
        <w:tc>
          <w:tcPr>
            <w:tcW w:w="2840" w:type="dxa"/>
            <w:vAlign w:val="bottom"/>
            <w:shd w:val="clear" w:color="auto" w:fill="E9E9E9"/>
          </w:tcPr>
          <w:p>
            <w:pPr>
              <w:spacing w:after="0"/>
              <w:rPr>
                <w:sz w:val="20"/>
                <w:szCs w:val="20"/>
                <w:color w:val="auto"/>
              </w:rPr>
            </w:pPr>
          </w:p>
        </w:tc>
        <w:tc>
          <w:tcPr>
            <w:tcW w:w="1520" w:type="dxa"/>
            <w:vAlign w:val="bottom"/>
            <w:shd w:val="clear" w:color="auto" w:fill="E9E9E9"/>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5760" w:type="dxa"/>
            <w:vAlign w:val="bottom"/>
          </w:tcPr>
          <w:p>
            <w:pPr>
              <w:ind w:left="60"/>
              <w:spacing w:after="0"/>
              <w:rPr>
                <w:sz w:val="20"/>
                <w:szCs w:val="20"/>
                <w:color w:val="auto"/>
              </w:rPr>
            </w:pPr>
            <w:r>
              <w:rPr>
                <w:rFonts w:ascii="Arial" w:cs="Arial" w:eastAsia="Arial" w:hAnsi="Arial"/>
                <w:sz w:val="16"/>
                <w:szCs w:val="16"/>
                <w:i w:val="1"/>
                <w:iCs w:val="1"/>
                <w:color w:val="202020"/>
              </w:rPr>
              <w:t>Director Nominees and Named Executive Officers</w:t>
            </w:r>
          </w:p>
        </w:tc>
        <w:tc>
          <w:tcPr>
            <w:tcW w:w="2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Keith L. Brownlie</w:t>
            </w:r>
          </w:p>
        </w:tc>
        <w:tc>
          <w:tcPr>
            <w:tcW w:w="28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92,065</w:t>
            </w:r>
            <w:r>
              <w:rPr>
                <w:rFonts w:ascii="Arial" w:cs="Arial" w:eastAsia="Arial" w:hAnsi="Arial"/>
                <w:sz w:val="19"/>
                <w:szCs w:val="19"/>
                <w:color w:val="202020"/>
                <w:vertAlign w:val="superscript"/>
              </w:rPr>
              <w:t>(7)</w:t>
            </w:r>
          </w:p>
        </w:tc>
        <w:tc>
          <w:tcPr>
            <w:tcW w:w="15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202020"/>
              </w:rPr>
              <w:t>Cheryl L. Cohen</w:t>
            </w:r>
          </w:p>
        </w:tc>
        <w:tc>
          <w:tcPr>
            <w:tcW w:w="2840" w:type="dxa"/>
            <w:vAlign w:val="bottom"/>
          </w:tcPr>
          <w:p>
            <w:pPr>
              <w:jc w:val="right"/>
              <w:spacing w:after="0"/>
              <w:rPr>
                <w:sz w:val="20"/>
                <w:szCs w:val="20"/>
                <w:color w:val="auto"/>
              </w:rPr>
            </w:pPr>
            <w:r>
              <w:rPr>
                <w:rFonts w:ascii="Arial" w:cs="Arial" w:eastAsia="Arial" w:hAnsi="Arial"/>
                <w:sz w:val="16"/>
                <w:szCs w:val="16"/>
                <w:color w:val="202020"/>
              </w:rPr>
              <w:t>71,500</w:t>
            </w:r>
            <w:r>
              <w:rPr>
                <w:rFonts w:ascii="Arial" w:cs="Arial" w:eastAsia="Arial" w:hAnsi="Arial"/>
                <w:sz w:val="19"/>
                <w:szCs w:val="19"/>
                <w:color w:val="202020"/>
                <w:vertAlign w:val="superscript"/>
              </w:rPr>
              <w:t>(8)</w:t>
            </w:r>
          </w:p>
        </w:tc>
        <w:tc>
          <w:tcPr>
            <w:tcW w:w="15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Herbert J. Conrad</w:t>
            </w:r>
          </w:p>
        </w:tc>
        <w:tc>
          <w:tcPr>
            <w:tcW w:w="28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93,429</w:t>
            </w:r>
            <w:r>
              <w:rPr>
                <w:rFonts w:ascii="Arial" w:cs="Arial" w:eastAsia="Arial" w:hAnsi="Arial"/>
                <w:sz w:val="19"/>
                <w:szCs w:val="19"/>
                <w:color w:val="202020"/>
                <w:vertAlign w:val="superscript"/>
              </w:rPr>
              <w:t>(9)</w:t>
            </w:r>
          </w:p>
        </w:tc>
        <w:tc>
          <w:tcPr>
            <w:tcW w:w="15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08"/>
        </w:trPr>
        <w:tc>
          <w:tcPr>
            <w:tcW w:w="5760" w:type="dxa"/>
            <w:vAlign w:val="bottom"/>
          </w:tcPr>
          <w:p>
            <w:pPr>
              <w:ind w:left="60"/>
              <w:spacing w:after="0"/>
              <w:rPr>
                <w:sz w:val="20"/>
                <w:szCs w:val="20"/>
                <w:color w:val="auto"/>
              </w:rPr>
            </w:pPr>
            <w:r>
              <w:rPr>
                <w:rFonts w:ascii="Arial" w:cs="Arial" w:eastAsia="Arial" w:hAnsi="Arial"/>
                <w:sz w:val="16"/>
                <w:szCs w:val="16"/>
                <w:color w:val="202020"/>
              </w:rPr>
              <w:t>Elizabeth Crowley</w:t>
            </w:r>
          </w:p>
        </w:tc>
        <w:tc>
          <w:tcPr>
            <w:tcW w:w="2840" w:type="dxa"/>
            <w:vAlign w:val="bottom"/>
          </w:tcPr>
          <w:p>
            <w:pPr>
              <w:jc w:val="right"/>
              <w:spacing w:after="0" w:line="208" w:lineRule="exact"/>
              <w:rPr>
                <w:sz w:val="20"/>
                <w:szCs w:val="20"/>
                <w:color w:val="auto"/>
              </w:rPr>
            </w:pPr>
            <w:r>
              <w:rPr>
                <w:rFonts w:ascii="Arial" w:cs="Arial" w:eastAsia="Arial" w:hAnsi="Arial"/>
                <w:sz w:val="16"/>
                <w:szCs w:val="16"/>
                <w:color w:val="202020"/>
              </w:rPr>
              <w:t>304,664</w:t>
            </w:r>
            <w:r>
              <w:rPr>
                <w:rFonts w:ascii="Arial" w:cs="Arial" w:eastAsia="Arial" w:hAnsi="Arial"/>
                <w:sz w:val="19"/>
                <w:szCs w:val="19"/>
                <w:color w:val="202020"/>
                <w:vertAlign w:val="superscript"/>
              </w:rPr>
              <w:t>(10)</w:t>
            </w:r>
          </w:p>
        </w:tc>
        <w:tc>
          <w:tcPr>
            <w:tcW w:w="15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8"/>
                <w:szCs w:val="18"/>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202020"/>
              </w:rPr>
              <w:t>Margo Heath-Chiozzi, M.D.</w:t>
            </w:r>
          </w:p>
        </w:tc>
        <w:tc>
          <w:tcPr>
            <w:tcW w:w="2840" w:type="dxa"/>
            <w:vAlign w:val="bottom"/>
          </w:tcPr>
          <w:p>
            <w:pPr>
              <w:jc w:val="right"/>
              <w:spacing w:after="0"/>
              <w:rPr>
                <w:sz w:val="20"/>
                <w:szCs w:val="20"/>
                <w:color w:val="auto"/>
              </w:rPr>
            </w:pPr>
            <w:r>
              <w:rPr>
                <w:rFonts w:ascii="Arial" w:cs="Arial" w:eastAsia="Arial" w:hAnsi="Arial"/>
                <w:sz w:val="16"/>
                <w:szCs w:val="16"/>
                <w:color w:val="202020"/>
              </w:rPr>
              <w:t>301,109</w:t>
            </w:r>
            <w:r>
              <w:rPr>
                <w:rFonts w:ascii="Arial" w:cs="Arial" w:eastAsia="Arial" w:hAnsi="Arial"/>
                <w:sz w:val="19"/>
                <w:szCs w:val="19"/>
                <w:color w:val="202020"/>
                <w:vertAlign w:val="superscript"/>
              </w:rPr>
              <w:t>(11)</w:t>
            </w:r>
          </w:p>
        </w:tc>
        <w:tc>
          <w:tcPr>
            <w:tcW w:w="15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31"/>
        </w:trPr>
        <w:tc>
          <w:tcPr>
            <w:tcW w:w="5760" w:type="dxa"/>
            <w:vAlign w:val="bottom"/>
          </w:tcPr>
          <w:p>
            <w:pPr>
              <w:ind w:left="60"/>
              <w:spacing w:after="0"/>
              <w:rPr>
                <w:sz w:val="20"/>
                <w:szCs w:val="20"/>
                <w:color w:val="auto"/>
              </w:rPr>
            </w:pPr>
            <w:r>
              <w:rPr>
                <w:rFonts w:ascii="Arial" w:cs="Arial" w:eastAsia="Arial" w:hAnsi="Arial"/>
                <w:sz w:val="16"/>
                <w:szCs w:val="16"/>
                <w:color w:val="202020"/>
              </w:rPr>
              <w:t>Rita I. Jain, M.D.</w:t>
            </w:r>
          </w:p>
        </w:tc>
        <w:tc>
          <w:tcPr>
            <w:tcW w:w="2840" w:type="dxa"/>
            <w:vAlign w:val="bottom"/>
          </w:tcPr>
          <w:p>
            <w:pPr>
              <w:jc w:val="right"/>
              <w:spacing w:after="0"/>
              <w:rPr>
                <w:sz w:val="20"/>
                <w:szCs w:val="20"/>
                <w:color w:val="auto"/>
              </w:rPr>
            </w:pPr>
            <w:r>
              <w:rPr>
                <w:rFonts w:ascii="Arial" w:cs="Arial" w:eastAsia="Arial" w:hAnsi="Arial"/>
                <w:sz w:val="16"/>
                <w:szCs w:val="16"/>
                <w:color w:val="202020"/>
              </w:rPr>
              <w:t>50,100</w:t>
            </w:r>
            <w:r>
              <w:rPr>
                <w:rFonts w:ascii="Arial" w:cs="Arial" w:eastAsia="Arial" w:hAnsi="Arial"/>
                <w:sz w:val="19"/>
                <w:szCs w:val="19"/>
                <w:color w:val="202020"/>
                <w:vertAlign w:val="superscript"/>
              </w:rPr>
              <w:t>(12)</w:t>
            </w:r>
          </w:p>
        </w:tc>
        <w:tc>
          <w:tcPr>
            <w:tcW w:w="15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20"/>
                <w:szCs w:val="20"/>
                <w:color w:val="auto"/>
              </w:rPr>
            </w:pPr>
          </w:p>
        </w:tc>
      </w:tr>
      <w:tr>
        <w:trPr>
          <w:trHeight w:val="220"/>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Tibor Keler, Ph.D.</w:t>
            </w:r>
          </w:p>
        </w:tc>
        <w:tc>
          <w:tcPr>
            <w:tcW w:w="28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498,794</w:t>
            </w:r>
            <w:r>
              <w:rPr>
                <w:rFonts w:ascii="Arial" w:cs="Arial" w:eastAsia="Arial" w:hAnsi="Arial"/>
                <w:sz w:val="19"/>
                <w:szCs w:val="19"/>
                <w:color w:val="202020"/>
                <w:vertAlign w:val="superscript"/>
              </w:rPr>
              <w:t>(13)</w:t>
            </w:r>
          </w:p>
        </w:tc>
        <w:tc>
          <w:tcPr>
            <w:tcW w:w="15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202020"/>
              </w:rPr>
              <w:t>James J. Marino</w:t>
            </w:r>
          </w:p>
        </w:tc>
        <w:tc>
          <w:tcPr>
            <w:tcW w:w="2840" w:type="dxa"/>
            <w:vAlign w:val="bottom"/>
          </w:tcPr>
          <w:p>
            <w:pPr>
              <w:jc w:val="right"/>
              <w:spacing w:after="0"/>
              <w:rPr>
                <w:sz w:val="20"/>
                <w:szCs w:val="20"/>
                <w:color w:val="auto"/>
              </w:rPr>
            </w:pPr>
            <w:r>
              <w:rPr>
                <w:rFonts w:ascii="Arial" w:cs="Arial" w:eastAsia="Arial" w:hAnsi="Arial"/>
                <w:sz w:val="16"/>
                <w:szCs w:val="16"/>
                <w:color w:val="202020"/>
              </w:rPr>
              <w:t>93,603</w:t>
            </w:r>
            <w:r>
              <w:rPr>
                <w:rFonts w:ascii="Arial" w:cs="Arial" w:eastAsia="Arial" w:hAnsi="Arial"/>
                <w:sz w:val="19"/>
                <w:szCs w:val="19"/>
                <w:color w:val="202020"/>
                <w:vertAlign w:val="superscript"/>
              </w:rPr>
              <w:t>(14)</w:t>
            </w:r>
          </w:p>
        </w:tc>
        <w:tc>
          <w:tcPr>
            <w:tcW w:w="15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Sam Martin</w:t>
            </w:r>
          </w:p>
        </w:tc>
        <w:tc>
          <w:tcPr>
            <w:tcW w:w="28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371,463</w:t>
            </w:r>
            <w:r>
              <w:rPr>
                <w:rFonts w:ascii="Arial" w:cs="Arial" w:eastAsia="Arial" w:hAnsi="Arial"/>
                <w:sz w:val="19"/>
                <w:szCs w:val="19"/>
                <w:color w:val="202020"/>
                <w:vertAlign w:val="superscript"/>
              </w:rPr>
              <w:t>(15)</w:t>
            </w:r>
          </w:p>
        </w:tc>
        <w:tc>
          <w:tcPr>
            <w:tcW w:w="15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2840" w:type="dxa"/>
            <w:vAlign w:val="bottom"/>
          </w:tcPr>
          <w:p>
            <w:pPr>
              <w:jc w:val="right"/>
              <w:spacing w:after="0"/>
              <w:rPr>
                <w:sz w:val="20"/>
                <w:szCs w:val="20"/>
                <w:color w:val="auto"/>
              </w:rPr>
            </w:pPr>
            <w:r>
              <w:rPr>
                <w:rFonts w:ascii="Arial" w:cs="Arial" w:eastAsia="Arial" w:hAnsi="Arial"/>
                <w:sz w:val="16"/>
                <w:szCs w:val="16"/>
                <w:color w:val="202020"/>
              </w:rPr>
              <w:t>1,206,505</w:t>
            </w:r>
            <w:r>
              <w:rPr>
                <w:rFonts w:ascii="Arial" w:cs="Arial" w:eastAsia="Arial" w:hAnsi="Arial"/>
                <w:sz w:val="19"/>
                <w:szCs w:val="19"/>
                <w:color w:val="202020"/>
                <w:vertAlign w:val="superscript"/>
              </w:rPr>
              <w:t>(16)</w:t>
            </w:r>
          </w:p>
        </w:tc>
        <w:tc>
          <w:tcPr>
            <w:tcW w:w="1520" w:type="dxa"/>
            <w:vAlign w:val="bottom"/>
          </w:tcPr>
          <w:p>
            <w:pPr>
              <w:jc w:val="right"/>
              <w:spacing w:after="0"/>
              <w:rPr>
                <w:sz w:val="20"/>
                <w:szCs w:val="20"/>
                <w:color w:val="auto"/>
              </w:rPr>
            </w:pPr>
            <w:r>
              <w:rPr>
                <w:rFonts w:ascii="Arial" w:cs="Arial" w:eastAsia="Arial" w:hAnsi="Arial"/>
                <w:sz w:val="16"/>
                <w:szCs w:val="16"/>
                <w:color w:val="202020"/>
              </w:rPr>
              <w:t>1.5%</w:t>
            </w:r>
          </w:p>
        </w:tc>
        <w:tc>
          <w:tcPr>
            <w:tcW w:w="20" w:type="dxa"/>
            <w:vAlign w:val="bottom"/>
          </w:tcPr>
          <w:p>
            <w:pPr>
              <w:spacing w:after="0"/>
              <w:rPr>
                <w:sz w:val="19"/>
                <w:szCs w:val="19"/>
                <w:color w:val="auto"/>
              </w:rPr>
            </w:pPr>
          </w:p>
        </w:tc>
      </w:tr>
      <w:tr>
        <w:trPr>
          <w:trHeight w:val="220"/>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Garry A. Neil, M.D.</w:t>
            </w:r>
          </w:p>
        </w:tc>
        <w:tc>
          <w:tcPr>
            <w:tcW w:w="28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71,500</w:t>
            </w:r>
            <w:r>
              <w:rPr>
                <w:rFonts w:ascii="Arial" w:cs="Arial" w:eastAsia="Arial" w:hAnsi="Arial"/>
                <w:sz w:val="19"/>
                <w:szCs w:val="19"/>
                <w:color w:val="202020"/>
                <w:vertAlign w:val="superscript"/>
              </w:rPr>
              <w:t>(17)</w:t>
            </w:r>
          </w:p>
        </w:tc>
        <w:tc>
          <w:tcPr>
            <w:tcW w:w="15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tcPr>
          <w:p>
            <w:pPr>
              <w:ind w:left="60"/>
              <w:spacing w:after="0"/>
              <w:rPr>
                <w:sz w:val="20"/>
                <w:szCs w:val="20"/>
                <w:color w:val="auto"/>
              </w:rPr>
            </w:pPr>
            <w:r>
              <w:rPr>
                <w:rFonts w:ascii="Arial" w:cs="Arial" w:eastAsia="Arial" w:hAnsi="Arial"/>
                <w:sz w:val="16"/>
                <w:szCs w:val="16"/>
                <w:color w:val="202020"/>
              </w:rPr>
              <w:t>Harry H. Penner, Jr.</w:t>
            </w:r>
          </w:p>
        </w:tc>
        <w:tc>
          <w:tcPr>
            <w:tcW w:w="2840" w:type="dxa"/>
            <w:vAlign w:val="bottom"/>
          </w:tcPr>
          <w:p>
            <w:pPr>
              <w:jc w:val="right"/>
              <w:spacing w:after="0"/>
              <w:rPr>
                <w:sz w:val="20"/>
                <w:szCs w:val="20"/>
                <w:color w:val="auto"/>
              </w:rPr>
            </w:pPr>
            <w:r>
              <w:rPr>
                <w:rFonts w:ascii="Arial" w:cs="Arial" w:eastAsia="Arial" w:hAnsi="Arial"/>
                <w:sz w:val="16"/>
                <w:szCs w:val="16"/>
                <w:color w:val="202020"/>
              </w:rPr>
              <w:t>93,656</w:t>
            </w:r>
            <w:r>
              <w:rPr>
                <w:rFonts w:ascii="Arial" w:cs="Arial" w:eastAsia="Arial" w:hAnsi="Arial"/>
                <w:sz w:val="19"/>
                <w:szCs w:val="19"/>
                <w:color w:val="202020"/>
                <w:vertAlign w:val="superscript"/>
              </w:rPr>
              <w:t>(18)</w:t>
            </w:r>
          </w:p>
        </w:tc>
        <w:tc>
          <w:tcPr>
            <w:tcW w:w="1520" w:type="dxa"/>
            <w:vAlign w:val="bottom"/>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20"/>
        </w:trPr>
        <w:tc>
          <w:tcPr>
            <w:tcW w:w="576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Denice Torres</w:t>
            </w:r>
          </w:p>
        </w:tc>
        <w:tc>
          <w:tcPr>
            <w:tcW w:w="2840" w:type="dxa"/>
            <w:vAlign w:val="bottom"/>
            <w:shd w:val="clear" w:color="auto" w:fill="E9E9E9"/>
          </w:tcPr>
          <w:p>
            <w:pPr>
              <w:jc w:val="right"/>
              <w:spacing w:after="0"/>
              <w:rPr>
                <w:sz w:val="20"/>
                <w:szCs w:val="20"/>
                <w:color w:val="auto"/>
              </w:rPr>
            </w:pPr>
            <w:r>
              <w:rPr>
                <w:rFonts w:ascii="Arial" w:cs="Arial" w:eastAsia="Arial" w:hAnsi="Arial"/>
                <w:sz w:val="16"/>
                <w:szCs w:val="16"/>
                <w:color w:val="202020"/>
              </w:rPr>
              <w:t>11,000</w:t>
            </w:r>
            <w:r>
              <w:rPr>
                <w:rFonts w:ascii="Arial" w:cs="Arial" w:eastAsia="Arial" w:hAnsi="Arial"/>
                <w:sz w:val="19"/>
                <w:szCs w:val="19"/>
                <w:color w:val="202020"/>
                <w:vertAlign w:val="superscript"/>
              </w:rPr>
              <w:t>(19)</w:t>
            </w:r>
          </w:p>
        </w:tc>
        <w:tc>
          <w:tcPr>
            <w:tcW w:w="1520" w:type="dxa"/>
            <w:vAlign w:val="bottom"/>
            <w:shd w:val="clear" w:color="auto" w:fill="E9E9E9"/>
          </w:tcPr>
          <w:p>
            <w:pPr>
              <w:jc w:val="right"/>
              <w:ind w:right="40"/>
              <w:spacing w:after="0"/>
              <w:rPr>
                <w:sz w:val="20"/>
                <w:szCs w:val="20"/>
                <w:color w:val="auto"/>
              </w:rPr>
            </w:pPr>
            <w:r>
              <w:rPr>
                <w:rFonts w:ascii="Arial" w:cs="Arial" w:eastAsia="Arial" w:hAnsi="Arial"/>
                <w:sz w:val="16"/>
                <w:szCs w:val="16"/>
                <w:color w:val="202020"/>
              </w:rPr>
              <w:t>**</w:t>
            </w:r>
          </w:p>
        </w:tc>
        <w:tc>
          <w:tcPr>
            <w:tcW w:w="20" w:type="dxa"/>
            <w:vAlign w:val="bottom"/>
          </w:tcPr>
          <w:p>
            <w:pPr>
              <w:spacing w:after="0"/>
              <w:rPr>
                <w:sz w:val="19"/>
                <w:szCs w:val="19"/>
                <w:color w:val="auto"/>
              </w:rPr>
            </w:pPr>
          </w:p>
        </w:tc>
      </w:tr>
      <w:tr>
        <w:trPr>
          <w:trHeight w:val="277"/>
        </w:trPr>
        <w:tc>
          <w:tcPr>
            <w:tcW w:w="5760" w:type="dxa"/>
            <w:vAlign w:val="bottom"/>
          </w:tcPr>
          <w:p>
            <w:pPr>
              <w:ind w:left="60"/>
              <w:spacing w:after="0"/>
              <w:rPr>
                <w:sz w:val="20"/>
                <w:szCs w:val="20"/>
                <w:color w:val="auto"/>
              </w:rPr>
            </w:pPr>
            <w:r>
              <w:rPr>
                <w:rFonts w:ascii="Arial" w:cs="Arial" w:eastAsia="Arial" w:hAnsi="Arial"/>
                <w:sz w:val="16"/>
                <w:szCs w:val="16"/>
                <w:i w:val="1"/>
                <w:iCs w:val="1"/>
                <w:color w:val="202020"/>
              </w:rPr>
              <w:t>All Director Nominees and Executive Officers as a group (18 persons)</w:t>
            </w:r>
          </w:p>
        </w:tc>
        <w:tc>
          <w:tcPr>
            <w:tcW w:w="2840" w:type="dxa"/>
            <w:vAlign w:val="bottom"/>
          </w:tcPr>
          <w:p>
            <w:pPr>
              <w:jc w:val="right"/>
              <w:spacing w:after="0"/>
              <w:rPr>
                <w:sz w:val="20"/>
                <w:szCs w:val="20"/>
                <w:color w:val="auto"/>
              </w:rPr>
            </w:pPr>
            <w:r>
              <w:rPr>
                <w:rFonts w:ascii="Arial" w:cs="Arial" w:eastAsia="Arial" w:hAnsi="Arial"/>
                <w:sz w:val="16"/>
                <w:szCs w:val="16"/>
                <w:color w:val="202020"/>
              </w:rPr>
              <w:t>4,281,773</w:t>
            </w:r>
            <w:r>
              <w:rPr>
                <w:rFonts w:ascii="Arial" w:cs="Arial" w:eastAsia="Arial" w:hAnsi="Arial"/>
                <w:sz w:val="19"/>
                <w:szCs w:val="19"/>
                <w:color w:val="202020"/>
                <w:vertAlign w:val="superscript"/>
              </w:rPr>
              <w:t>(20)</w:t>
            </w:r>
          </w:p>
        </w:tc>
        <w:tc>
          <w:tcPr>
            <w:tcW w:w="1520" w:type="dxa"/>
            <w:vAlign w:val="bottom"/>
          </w:tcPr>
          <w:p>
            <w:pPr>
              <w:jc w:val="right"/>
              <w:spacing w:after="0"/>
              <w:rPr>
                <w:sz w:val="20"/>
                <w:szCs w:val="20"/>
                <w:color w:val="auto"/>
              </w:rPr>
            </w:pPr>
            <w:r>
              <w:rPr>
                <w:rFonts w:ascii="Arial" w:cs="Arial" w:eastAsia="Arial" w:hAnsi="Arial"/>
                <w:sz w:val="16"/>
                <w:szCs w:val="16"/>
                <w:color w:val="202020"/>
              </w:rPr>
              <w:t>5.2%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-1442085</wp:posOffset>
            </wp:positionV>
            <wp:extent cx="6450330" cy="165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70">
                      <a:extLst>
                        <a:ext uri="{28A0092B-C50C-407E-A947-70E740481C1C}"/>
                      </a:extLst>
                    </a:blip>
                    <a:srcRect/>
                    <a:stretch>
                      <a:fillRect/>
                    </a:stretch>
                  </pic:blipFill>
                  <pic:spPr bwMode="auto">
                    <a:xfrm>
                      <a:off x="0" y="0"/>
                      <a:ext cx="6450330" cy="165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635</wp:posOffset>
                </wp:positionH>
                <wp:positionV relativeFrom="paragraph">
                  <wp:posOffset>-13970</wp:posOffset>
                </wp:positionV>
                <wp:extent cx="642429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24295" cy="4763"/>
                        </a:xfrm>
                        <a:prstGeom prst="line">
                          <a:avLst/>
                        </a:prstGeom>
                        <a:solidFill>
                          <a:srgbClr val="FFFFFF"/>
                        </a:solidFill>
                        <a:ln w="19011">
                          <a:solidFill>
                            <a:srgbClr val="20202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0999pt" to="505.9pt,-1.0999pt" o:allowincell="f" strokecolor="#202020" strokeweight="1.4969pt"/>
            </w:pict>
          </mc:Fallback>
        </mc:AlternateContent>
      </w:r>
    </w:p>
    <w:p>
      <w:pPr>
        <w:ind w:left="400" w:right="20" w:hanging="399"/>
        <w:spacing w:after="0" w:line="300" w:lineRule="auto"/>
        <w:tabs>
          <w:tab w:leader="none" w:pos="400" w:val="left"/>
        </w:tabs>
        <w:numPr>
          <w:ilvl w:val="0"/>
          <w:numId w:val="38"/>
        </w:numPr>
        <w:rPr>
          <w:rFonts w:ascii="Arial" w:cs="Arial" w:eastAsia="Arial" w:hAnsi="Arial"/>
          <w:sz w:val="16"/>
          <w:szCs w:val="16"/>
          <w:color w:val="202020"/>
        </w:rPr>
      </w:pPr>
      <w:r>
        <w:rPr>
          <w:rFonts w:ascii="Arial" w:cs="Arial" w:eastAsia="Arial" w:hAnsi="Arial"/>
          <w:sz w:val="16"/>
          <w:szCs w:val="16"/>
          <w:color w:val="202020"/>
        </w:rPr>
        <w:t>Unless otherwise indicated, the address is c/o Celldex Therapeutics, Inc., Perryville III Building, 53 Frontage Road, Suite 220, Hampton, NJ 08827.</w:t>
      </w:r>
    </w:p>
    <w:p>
      <w:pPr>
        <w:spacing w:after="0" w:line="15" w:lineRule="exact"/>
        <w:rPr>
          <w:rFonts w:ascii="Arial" w:cs="Arial" w:eastAsia="Arial" w:hAnsi="Arial"/>
          <w:sz w:val="16"/>
          <w:szCs w:val="16"/>
          <w:color w:val="202020"/>
        </w:rPr>
      </w:pPr>
    </w:p>
    <w:p>
      <w:pPr>
        <w:ind w:left="400" w:hanging="399"/>
        <w:spacing w:after="0"/>
        <w:tabs>
          <w:tab w:leader="none" w:pos="400" w:val="left"/>
        </w:tabs>
        <w:numPr>
          <w:ilvl w:val="0"/>
          <w:numId w:val="39"/>
        </w:numPr>
        <w:rPr>
          <w:rFonts w:ascii="Arial" w:cs="Arial" w:eastAsia="Arial" w:hAnsi="Arial"/>
          <w:sz w:val="16"/>
          <w:szCs w:val="16"/>
          <w:color w:val="202020"/>
        </w:rPr>
      </w:pPr>
      <w:r>
        <w:rPr>
          <w:rFonts w:ascii="Arial" w:cs="Arial" w:eastAsia="Arial" w:hAnsi="Arial"/>
          <w:sz w:val="16"/>
          <w:szCs w:val="16"/>
          <w:color w:val="202020"/>
        </w:rPr>
        <w:t>Less than 1%.</w:t>
      </w:r>
    </w:p>
    <w:p>
      <w:pPr>
        <w:spacing w:after="0" w:line="93" w:lineRule="exact"/>
        <w:rPr>
          <w:sz w:val="20"/>
          <w:szCs w:val="20"/>
          <w:color w:val="auto"/>
        </w:rPr>
      </w:pPr>
    </w:p>
    <w:p>
      <w:pPr>
        <w:ind w:left="400" w:hanging="399"/>
        <w:spacing w:after="0"/>
        <w:tabs>
          <w:tab w:leader="none" w:pos="400" w:val="left"/>
        </w:tabs>
        <w:numPr>
          <w:ilvl w:val="0"/>
          <w:numId w:val="40"/>
        </w:numPr>
        <w:rPr>
          <w:rFonts w:ascii="Arial" w:cs="Arial" w:eastAsia="Arial" w:hAnsi="Arial"/>
          <w:sz w:val="16"/>
          <w:szCs w:val="16"/>
          <w:color w:val="202020"/>
        </w:rPr>
      </w:pPr>
      <w:r>
        <w:rPr>
          <w:rFonts w:ascii="Arial" w:cs="Arial" w:eastAsia="Arial" w:hAnsi="Arial"/>
          <w:sz w:val="16"/>
          <w:szCs w:val="16"/>
          <w:color w:val="202020"/>
        </w:rPr>
        <w:t>Unless otherwise indicated, the persons shown have sole voting and investment power over the shares listed.</w:t>
      </w:r>
    </w:p>
    <w:p>
      <w:pPr>
        <w:spacing w:after="0" w:line="93" w:lineRule="exact"/>
        <w:rPr>
          <w:rFonts w:ascii="Arial" w:cs="Arial" w:eastAsia="Arial" w:hAnsi="Arial"/>
          <w:sz w:val="16"/>
          <w:szCs w:val="16"/>
          <w:color w:val="202020"/>
        </w:rPr>
      </w:pPr>
    </w:p>
    <w:p>
      <w:pPr>
        <w:ind w:left="400" w:right="180" w:hanging="399"/>
        <w:spacing w:after="0" w:line="279" w:lineRule="auto"/>
        <w:tabs>
          <w:tab w:leader="none" w:pos="400" w:val="left"/>
        </w:tabs>
        <w:numPr>
          <w:ilvl w:val="0"/>
          <w:numId w:val="40"/>
        </w:numPr>
        <w:rPr>
          <w:rFonts w:ascii="Arial" w:cs="Arial" w:eastAsia="Arial" w:hAnsi="Arial"/>
          <w:sz w:val="16"/>
          <w:szCs w:val="16"/>
          <w:color w:val="202020"/>
        </w:rPr>
      </w:pPr>
      <w:r>
        <w:rPr>
          <w:rFonts w:ascii="Arial" w:cs="Arial" w:eastAsia="Arial" w:hAnsi="Arial"/>
          <w:sz w:val="16"/>
          <w:szCs w:val="16"/>
          <w:color w:val="202020"/>
        </w:rPr>
        <w:t>Common stock includes all outstanding common stock plus, as required for the purpose of determining beneficial ownership (in accordance with Rule 13d-3(d)(1) of the Securities Exchange Act of 1934, as amended), all common stock subject to any right of acquisition, through exercise or conversion of any security, within 60 days of April 10, 2026.</w:t>
      </w:r>
    </w:p>
    <w:p>
      <w:pPr>
        <w:spacing w:after="0" w:line="31" w:lineRule="exact"/>
        <w:rPr>
          <w:rFonts w:ascii="Arial" w:cs="Arial" w:eastAsia="Arial" w:hAnsi="Arial"/>
          <w:sz w:val="16"/>
          <w:szCs w:val="16"/>
          <w:color w:val="202020"/>
        </w:rPr>
      </w:pPr>
    </w:p>
    <w:p>
      <w:pPr>
        <w:ind w:left="400" w:right="200" w:hanging="399"/>
        <w:spacing w:after="0" w:line="300" w:lineRule="auto"/>
        <w:tabs>
          <w:tab w:leader="none" w:pos="400" w:val="left"/>
        </w:tabs>
        <w:numPr>
          <w:ilvl w:val="0"/>
          <w:numId w:val="40"/>
        </w:numPr>
        <w:rPr>
          <w:rFonts w:ascii="Arial" w:cs="Arial" w:eastAsia="Arial" w:hAnsi="Arial"/>
          <w:sz w:val="16"/>
          <w:szCs w:val="16"/>
          <w:color w:val="202020"/>
        </w:rPr>
      </w:pPr>
      <w:r>
        <w:rPr>
          <w:rFonts w:ascii="Arial" w:cs="Arial" w:eastAsia="Arial" w:hAnsi="Arial"/>
          <w:sz w:val="16"/>
          <w:szCs w:val="16"/>
          <w:color w:val="202020"/>
        </w:rPr>
        <w:t>Based solely on information set forth in a Schedule 13G filed with the SEC by Wellington Management Group LLP on February 10, 2026.</w:t>
      </w:r>
    </w:p>
    <w:p>
      <w:pPr>
        <w:sectPr>
          <w:pgSz w:w="11880" w:h="15480" w:orient="portrait"/>
          <w:cols w:equalWidth="0" w:num="1">
            <w:col w:w="10140"/>
          </w:cols>
          <w:pgMar w:left="880" w:top="545" w:right="860" w:bottom="96" w:gutter="0" w:footer="0" w:header="0"/>
        </w:sectPr>
      </w:pPr>
    </w:p>
    <w:p>
      <w:pPr>
        <w:spacing w:after="0" w:line="15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50 |</w:t>
        <w:tab/>
        <w:t>Celldex Therapeutics</w:t>
      </w:r>
    </w:p>
    <w:p>
      <w:pPr>
        <w:sectPr>
          <w:pgSz w:w="11880" w:h="15480" w:orient="portrait"/>
          <w:cols w:equalWidth="0" w:num="1">
            <w:col w:w="10140"/>
          </w:cols>
          <w:pgMar w:left="880" w:top="545" w:right="860" w:bottom="96"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6"/>
          <w:szCs w:val="16"/>
          <w:color w:val="202020"/>
        </w:rPr>
        <w:t>Executive Compensation</w:t>
      </w:r>
    </w:p>
    <w:p>
      <w:pPr>
        <w:spacing w:after="0" w:line="215" w:lineRule="exact"/>
        <w:rPr>
          <w:sz w:val="20"/>
          <w:szCs w:val="20"/>
          <w:color w:val="auto"/>
        </w:rPr>
      </w:pPr>
    </w:p>
    <w:p>
      <w:pPr>
        <w:ind w:left="400" w:hanging="399"/>
        <w:spacing w:after="0"/>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Based solely on information set forth in a Schedule 13G filed with the SEC by Kynam Capital Management, LP on May 15, 2025.</w:t>
      </w:r>
    </w:p>
    <w:p>
      <w:pPr>
        <w:spacing w:after="0" w:line="95" w:lineRule="exact"/>
        <w:rPr>
          <w:rFonts w:ascii="Arial" w:cs="Arial" w:eastAsia="Arial" w:hAnsi="Arial"/>
          <w:sz w:val="16"/>
          <w:szCs w:val="16"/>
          <w:color w:val="202020"/>
        </w:rPr>
      </w:pPr>
    </w:p>
    <w:p>
      <w:pPr>
        <w:ind w:left="400" w:hanging="399"/>
        <w:spacing w:after="0"/>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Based solely on information set forth in a Schedule 13G filed with the SEC by FMR LLC on February 12, 2025.</w:t>
      </w:r>
    </w:p>
    <w:p>
      <w:pPr>
        <w:spacing w:after="0" w:line="95" w:lineRule="exact"/>
        <w:rPr>
          <w:rFonts w:ascii="Arial" w:cs="Arial" w:eastAsia="Arial" w:hAnsi="Arial"/>
          <w:sz w:val="16"/>
          <w:szCs w:val="16"/>
          <w:color w:val="202020"/>
        </w:rPr>
      </w:pPr>
    </w:p>
    <w:p>
      <w:pPr>
        <w:ind w:left="400" w:hanging="399"/>
        <w:spacing w:after="0"/>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Based solely on information set forth in a Schedule 13G filed with the SEC by BlackRock Inc. on April 17, 2025.</w:t>
      </w:r>
    </w:p>
    <w:p>
      <w:pPr>
        <w:spacing w:after="0" w:line="9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91,399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71,500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90,866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1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295,590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1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286,817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50,100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1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491,437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91,399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1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338,521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36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1,164,830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71,500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90,866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200" w:hanging="399"/>
        <w:spacing w:after="0" w:line="302"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Includes 11,000 shares of common stock underlying options which are or may be exercisable as of April 10, 2026 or 60 days after such date.</w:t>
      </w:r>
    </w:p>
    <w:p>
      <w:pPr>
        <w:spacing w:after="0" w:line="15" w:lineRule="exact"/>
        <w:rPr>
          <w:rFonts w:ascii="Arial" w:cs="Arial" w:eastAsia="Arial" w:hAnsi="Arial"/>
          <w:sz w:val="16"/>
          <w:szCs w:val="16"/>
          <w:color w:val="202020"/>
        </w:rPr>
      </w:pPr>
    </w:p>
    <w:p>
      <w:pPr>
        <w:ind w:left="400" w:right="380" w:hanging="399"/>
        <w:spacing w:after="0" w:line="281" w:lineRule="auto"/>
        <w:tabs>
          <w:tab w:leader="none" w:pos="400" w:val="left"/>
        </w:tabs>
        <w:numPr>
          <w:ilvl w:val="0"/>
          <w:numId w:val="41"/>
        </w:numPr>
        <w:rPr>
          <w:rFonts w:ascii="Arial" w:cs="Arial" w:eastAsia="Arial" w:hAnsi="Arial"/>
          <w:sz w:val="16"/>
          <w:szCs w:val="16"/>
          <w:color w:val="202020"/>
        </w:rPr>
      </w:pPr>
      <w:r>
        <w:rPr>
          <w:rFonts w:ascii="Arial" w:cs="Arial" w:eastAsia="Arial" w:hAnsi="Arial"/>
          <w:sz w:val="16"/>
          <w:szCs w:val="16"/>
          <w:color w:val="202020"/>
        </w:rPr>
        <w:t>Please refer to footnotes 7 – 19. Includes for Executive Officers not named in the table, 71,994 shares of common stock and 950,391 shares of common stock underlying options which are or may be exercisable as of April 10, 2026 or 60 days after such date.</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51</w:t>
      </w:r>
    </w:p>
    <w:p>
      <w:pPr>
        <w:sectPr>
          <w:pgSz w:w="11880" w:h="15480" w:orient="portrait"/>
          <w:cols w:equalWidth="0" w:num="1">
            <w:col w:w="10120"/>
          </w:cols>
          <w:pgMar w:left="880" w:top="544" w:right="880" w:bottom="96"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color w:val="202020"/>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Transactions with Related Persons</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8"/>
          <w:szCs w:val="18"/>
          <w:color w:val="202020"/>
        </w:rPr>
        <w:t>It is our policy that all employees and directors, as well as their family members, must avoid any activity that is or has the appearance of conflicting with Celldex’s business interest. This policy is included in our Code of Business Conduct and Ethics. All directors and officers of Celldex complete a directors and officers questionnaire at the beginning of each year, in which they are asked to disclose family relationships and other related party transactions. Our Audit Committee must review and approve all related party transactions, as defined in Item 404 of Regulation S-K. Our Audit Committee’s procedures for reviewing related party transactions are not in writing. Other than compensation arrangements for our Named Executive Officers and directors, which are described in the section entitled “Executive Compensation,” since January 1, 2025, there have been no transactions or series of similar transactions to which we were a party or will be a party, in which:</w:t>
      </w:r>
    </w:p>
    <w:p>
      <w:pPr>
        <w:spacing w:after="0" w:line="301" w:lineRule="exact"/>
        <w:rPr>
          <w:sz w:val="20"/>
          <w:szCs w:val="20"/>
          <w:color w:val="auto"/>
        </w:rPr>
      </w:pPr>
    </w:p>
    <w:p>
      <w:pPr>
        <w:ind w:left="160" w:hanging="159"/>
        <w:spacing w:after="0"/>
        <w:tabs>
          <w:tab w:leader="none" w:pos="160" w:val="left"/>
        </w:tabs>
        <w:numPr>
          <w:ilvl w:val="0"/>
          <w:numId w:val="42"/>
        </w:numPr>
        <w:rPr>
          <w:rFonts w:ascii="Arial" w:cs="Arial" w:eastAsia="Arial" w:hAnsi="Arial"/>
          <w:sz w:val="18"/>
          <w:szCs w:val="18"/>
          <w:color w:val="202020"/>
        </w:rPr>
      </w:pPr>
      <w:r>
        <w:rPr>
          <w:rFonts w:ascii="Arial" w:cs="Arial" w:eastAsia="Arial" w:hAnsi="Arial"/>
          <w:sz w:val="18"/>
          <w:szCs w:val="18"/>
          <w:color w:val="202020"/>
        </w:rPr>
        <w:t>the amounts involved exceeded or will exceed $120,000; and</w:t>
      </w:r>
    </w:p>
    <w:p>
      <w:pPr>
        <w:spacing w:after="0" w:line="132" w:lineRule="exact"/>
        <w:rPr>
          <w:rFonts w:ascii="Arial" w:cs="Arial" w:eastAsia="Arial" w:hAnsi="Arial"/>
          <w:sz w:val="18"/>
          <w:szCs w:val="18"/>
          <w:color w:val="202020"/>
        </w:rPr>
      </w:pPr>
    </w:p>
    <w:p>
      <w:pPr>
        <w:ind w:left="160" w:hanging="159"/>
        <w:spacing w:after="0" w:line="297" w:lineRule="auto"/>
        <w:tabs>
          <w:tab w:leader="none" w:pos="160" w:val="left"/>
        </w:tabs>
        <w:numPr>
          <w:ilvl w:val="0"/>
          <w:numId w:val="42"/>
        </w:numPr>
        <w:rPr>
          <w:rFonts w:ascii="Arial" w:cs="Arial" w:eastAsia="Arial" w:hAnsi="Arial"/>
          <w:sz w:val="18"/>
          <w:szCs w:val="18"/>
          <w:color w:val="202020"/>
        </w:rPr>
      </w:pPr>
      <w:r>
        <w:rPr>
          <w:rFonts w:ascii="Arial" w:cs="Arial" w:eastAsia="Arial" w:hAnsi="Arial"/>
          <w:sz w:val="18"/>
          <w:szCs w:val="18"/>
          <w:color w:val="202020"/>
        </w:rPr>
        <w:t>any of our directors, Executive Officers or holders of more than 5% of our capital stock, or any member of the immediate family of the foregoing persons, had or will have a direct or indirect material interest.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02020"/>
        </w:rPr>
        <w:t>THE BOARD OF DIRECTORS RECOMMENDS THAT THE STOCKHOLDERS VOTE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02020"/>
        </w:rPr>
        <w:t>“FOR” THE ELECTION OF THE DIRECTOR NOMINEES.</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52 |</w:t>
        <w:tab/>
        <w:t>Celldex Therapeutics</w:t>
      </w:r>
    </w:p>
    <w:p>
      <w:pPr>
        <w:sectPr>
          <w:pgSz w:w="11880" w:h="15480" w:orient="portrait"/>
          <w:cols w:equalWidth="0" w:num="1">
            <w:col w:w="10120"/>
          </w:cols>
          <w:pgMar w:left="880" w:top="544" w:right="880" w:bottom="96" w:gutter="0" w:footer="0" w:header="0"/>
          <w:type w:val="continuous"/>
        </w:sectPr>
      </w:pPr>
    </w:p>
    <w:bookmarkStart w:id="56" w:name="page57"/>
    <w:bookmarkEnd w:id="56"/>
    <w:p>
      <w:pPr>
        <w:ind w:left="5500"/>
        <w:spacing w:after="0"/>
        <w:rPr>
          <w:sz w:val="20"/>
          <w:szCs w:val="20"/>
          <w:color w:val="auto"/>
        </w:rPr>
      </w:pPr>
      <w:r>
        <w:rPr>
          <w:rFonts w:ascii="Arial" w:cs="Arial" w:eastAsia="Arial" w:hAnsi="Arial"/>
          <w:sz w:val="16"/>
          <w:szCs w:val="16"/>
          <w:color w:val="202020"/>
        </w:rPr>
        <w:t>Proposal 2: Ratification of Independent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Proposal 2: Ratify The Appointment of</w:t>
      </w:r>
    </w:p>
    <w:p>
      <w:pPr>
        <w:spacing w:after="0" w:line="229" w:lineRule="auto"/>
        <w:rPr>
          <w:sz w:val="20"/>
          <w:szCs w:val="20"/>
          <w:color w:val="auto"/>
        </w:rPr>
      </w:pPr>
      <w:r>
        <w:rPr>
          <w:rFonts w:ascii="Arial" w:cs="Arial" w:eastAsia="Arial" w:hAnsi="Arial"/>
          <w:sz w:val="36"/>
          <w:szCs w:val="36"/>
          <w:b w:val="1"/>
          <w:bCs w:val="1"/>
          <w:color w:val="202020"/>
        </w:rPr>
        <w:t>Pricewaterhousecoopers LLP as Our Independent</w:t>
      </w:r>
    </w:p>
    <w:p>
      <w:pPr>
        <w:spacing w:after="0" w:line="229" w:lineRule="auto"/>
        <w:rPr>
          <w:sz w:val="20"/>
          <w:szCs w:val="20"/>
          <w:color w:val="auto"/>
        </w:rPr>
      </w:pPr>
      <w:r>
        <w:rPr>
          <w:rFonts w:ascii="Arial" w:cs="Arial" w:eastAsia="Arial" w:hAnsi="Arial"/>
          <w:sz w:val="36"/>
          <w:szCs w:val="36"/>
          <w:b w:val="1"/>
          <w:bCs w:val="1"/>
          <w:color w:val="202020"/>
        </w:rPr>
        <w:t>Registered Public Accounting Firm for The Year Ending</w:t>
      </w:r>
    </w:p>
    <w:p>
      <w:pPr>
        <w:spacing w:after="0" w:line="229" w:lineRule="auto"/>
        <w:rPr>
          <w:sz w:val="20"/>
          <w:szCs w:val="20"/>
          <w:color w:val="auto"/>
        </w:rPr>
      </w:pPr>
      <w:r>
        <w:rPr>
          <w:rFonts w:ascii="Arial" w:cs="Arial" w:eastAsia="Arial" w:hAnsi="Arial"/>
          <w:sz w:val="36"/>
          <w:szCs w:val="36"/>
          <w:b w:val="1"/>
          <w:bCs w:val="1"/>
          <w:color w:val="202020"/>
        </w:rPr>
        <w:t>December 31, 2026</w:t>
      </w:r>
    </w:p>
    <w:p>
      <w:pPr>
        <w:spacing w:after="0"/>
        <w:rPr>
          <w:sz w:val="20"/>
          <w:szCs w:val="20"/>
          <w:color w:val="auto"/>
        </w:rPr>
      </w:pPr>
      <w:r>
        <w:rPr>
          <w:rFonts w:ascii="Arial" w:cs="Arial" w:eastAsia="Arial" w:hAnsi="Arial"/>
          <w:sz w:val="36"/>
          <w:szCs w:val="36"/>
          <w:b w:val="1"/>
          <w:bCs w:val="1"/>
          <w:color w:val="202020"/>
        </w:rPr>
        <w:t>(Proposal No. 2)</w:t>
      </w:r>
    </w:p>
    <w:p>
      <w:pPr>
        <w:spacing w:after="0" w:line="2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02020"/>
        </w:rPr>
        <w:t>The Audit Committee has reappointed PricewaterhouseCoopers LLP as our independent registered public accounting firm to audit the financial statements of the Company for the fiscal year ending December 31, 2026 and has further directed that management submit their selection of independent registered public accounting firm for ratification by our stockholders at the Annual Meeting of Stockholders. A representative of PricewaterhouseCoopers LLP is expected to attend the Annual Meeting and will have an opportunity to make a statement, if he or she desires, and will be available to respond to appropriate questions. Neither the accounting firm nor any of its members have any direct or indirect financial interest in or any connection with us in any capacity other than as public registered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Principal Accountant Fees and Services</w:t>
      </w:r>
    </w:p>
    <w:p>
      <w:pPr>
        <w:spacing w:after="0" w:line="180"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202020"/>
        </w:rPr>
        <w:t>The following table summarizes the fees for professional services rendered by PricewaterhouseCoopers LLP, our independent registered public accounting firm, for each of the last two fiscal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ind w:left="60"/>
              <w:spacing w:after="0"/>
              <w:rPr>
                <w:sz w:val="20"/>
                <w:szCs w:val="20"/>
                <w:color w:val="auto"/>
              </w:rPr>
            </w:pPr>
            <w:r>
              <w:rPr>
                <w:rFonts w:ascii="Arial" w:cs="Arial" w:eastAsia="Arial" w:hAnsi="Arial"/>
                <w:sz w:val="16"/>
                <w:szCs w:val="16"/>
                <w:b w:val="1"/>
                <w:bCs w:val="1"/>
                <w:color w:val="202020"/>
              </w:rPr>
              <w:t>Fee Category</w:t>
            </w:r>
          </w:p>
        </w:tc>
        <w:tc>
          <w:tcPr>
            <w:tcW w:w="4360" w:type="dxa"/>
            <w:vAlign w:val="bottom"/>
          </w:tcPr>
          <w:p>
            <w:pPr>
              <w:jc w:val="right"/>
              <w:ind w:right="100"/>
              <w:spacing w:after="0"/>
              <w:rPr>
                <w:sz w:val="20"/>
                <w:szCs w:val="20"/>
                <w:color w:val="auto"/>
              </w:rPr>
            </w:pPr>
            <w:r>
              <w:rPr>
                <w:rFonts w:ascii="Arial" w:cs="Arial" w:eastAsia="Arial" w:hAnsi="Arial"/>
                <w:sz w:val="16"/>
                <w:szCs w:val="16"/>
                <w:b w:val="1"/>
                <w:bCs w:val="1"/>
                <w:color w:val="202020"/>
              </w:rPr>
              <w:t>2025</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202020"/>
              </w:rPr>
              <w:t>2024</w:t>
            </w:r>
          </w:p>
        </w:tc>
      </w:tr>
      <w:tr>
        <w:trPr>
          <w:trHeight w:val="44"/>
        </w:trPr>
        <w:tc>
          <w:tcPr>
            <w:tcW w:w="5180" w:type="dxa"/>
            <w:vAlign w:val="bottom"/>
            <w:tcBorders>
              <w:bottom w:val="single" w:sz="8" w:color="202020"/>
            </w:tcBorders>
          </w:tcPr>
          <w:p>
            <w:pPr>
              <w:spacing w:after="0"/>
              <w:rPr>
                <w:sz w:val="3"/>
                <w:szCs w:val="3"/>
                <w:color w:val="auto"/>
              </w:rPr>
            </w:pPr>
          </w:p>
        </w:tc>
        <w:tc>
          <w:tcPr>
            <w:tcW w:w="4940" w:type="dxa"/>
            <w:vAlign w:val="bottom"/>
            <w:tcBorders>
              <w:bottom w:val="single" w:sz="8" w:color="202020"/>
            </w:tcBorders>
            <w:gridSpan w:val="2"/>
          </w:tcPr>
          <w:p>
            <w:pPr>
              <w:spacing w:after="0"/>
              <w:rPr>
                <w:sz w:val="3"/>
                <w:szCs w:val="3"/>
                <w:color w:val="auto"/>
              </w:rPr>
            </w:pPr>
          </w:p>
        </w:tc>
      </w:tr>
      <w:tr>
        <w:trPr>
          <w:trHeight w:val="226"/>
        </w:trPr>
        <w:tc>
          <w:tcPr>
            <w:tcW w:w="5180" w:type="dxa"/>
            <w:vAlign w:val="bottom"/>
          </w:tcPr>
          <w:p>
            <w:pPr>
              <w:spacing w:after="0"/>
              <w:rPr>
                <w:sz w:val="19"/>
                <w:szCs w:val="19"/>
                <w:color w:val="auto"/>
              </w:rPr>
            </w:pPr>
          </w:p>
        </w:tc>
        <w:tc>
          <w:tcPr>
            <w:tcW w:w="4940" w:type="dxa"/>
            <w:vAlign w:val="bottom"/>
            <w:gridSpan w:val="2"/>
          </w:tcPr>
          <w:p>
            <w:pPr>
              <w:jc w:val="right"/>
              <w:spacing w:after="0"/>
              <w:rPr>
                <w:sz w:val="20"/>
                <w:szCs w:val="20"/>
                <w:color w:val="auto"/>
              </w:rPr>
            </w:pPr>
            <w:r>
              <w:rPr>
                <w:rFonts w:ascii="Arial" w:cs="Arial" w:eastAsia="Arial" w:hAnsi="Arial"/>
                <w:sz w:val="16"/>
                <w:szCs w:val="16"/>
                <w:b w:val="1"/>
                <w:bCs w:val="1"/>
                <w:color w:val="202020"/>
              </w:rPr>
              <w:t>(In thousands)</w:t>
            </w:r>
          </w:p>
        </w:tc>
      </w:tr>
      <w:tr>
        <w:trPr>
          <w:trHeight w:val="49"/>
        </w:trPr>
        <w:tc>
          <w:tcPr>
            <w:tcW w:w="51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4"/>
        </w:trPr>
        <w:tc>
          <w:tcPr>
            <w:tcW w:w="518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Audit Fees</w:t>
            </w:r>
          </w:p>
        </w:tc>
        <w:tc>
          <w:tcPr>
            <w:tcW w:w="4360" w:type="dxa"/>
            <w:vAlign w:val="bottom"/>
            <w:tcBorders>
              <w:bottom w:val="single" w:sz="8" w:color="E9E9E9"/>
            </w:tcBorders>
            <w:shd w:val="clear" w:color="auto" w:fill="E9E9E9"/>
          </w:tcPr>
          <w:p>
            <w:pPr>
              <w:jc w:val="right"/>
              <w:ind w:right="100"/>
              <w:spacing w:after="0"/>
              <w:rPr>
                <w:sz w:val="20"/>
                <w:szCs w:val="20"/>
                <w:color w:val="auto"/>
              </w:rPr>
            </w:pPr>
            <w:r>
              <w:rPr>
                <w:rFonts w:ascii="Arial" w:cs="Arial" w:eastAsia="Arial" w:hAnsi="Arial"/>
                <w:sz w:val="16"/>
                <w:szCs w:val="16"/>
                <w:color w:val="202020"/>
              </w:rPr>
              <w:t>$750</w:t>
            </w:r>
          </w:p>
        </w:tc>
        <w:tc>
          <w:tcPr>
            <w:tcW w:w="58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$680</w:t>
            </w:r>
          </w:p>
        </w:tc>
      </w:tr>
      <w:tr>
        <w:trPr>
          <w:trHeight w:val="225"/>
        </w:trPr>
        <w:tc>
          <w:tcPr>
            <w:tcW w:w="5180" w:type="dxa"/>
            <w:vAlign w:val="bottom"/>
          </w:tcPr>
          <w:p>
            <w:pPr>
              <w:ind w:left="60"/>
              <w:spacing w:after="0"/>
              <w:rPr>
                <w:sz w:val="20"/>
                <w:szCs w:val="20"/>
                <w:color w:val="auto"/>
              </w:rPr>
            </w:pPr>
            <w:r>
              <w:rPr>
                <w:rFonts w:ascii="Arial" w:cs="Arial" w:eastAsia="Arial" w:hAnsi="Arial"/>
                <w:sz w:val="16"/>
                <w:szCs w:val="16"/>
                <w:color w:val="202020"/>
              </w:rPr>
              <w:t>Audit-Related Fees</w:t>
            </w:r>
          </w:p>
        </w:tc>
        <w:tc>
          <w:tcPr>
            <w:tcW w:w="4360" w:type="dxa"/>
            <w:vAlign w:val="bottom"/>
          </w:tcPr>
          <w:p>
            <w:pPr>
              <w:jc w:val="right"/>
              <w:ind w:right="100"/>
              <w:spacing w:after="0"/>
              <w:rPr>
                <w:sz w:val="20"/>
                <w:szCs w:val="20"/>
                <w:color w:val="auto"/>
              </w:rPr>
            </w:pPr>
            <w:r>
              <w:rPr>
                <w:rFonts w:ascii="Arial" w:cs="Arial" w:eastAsia="Arial" w:hAnsi="Arial"/>
                <w:sz w:val="16"/>
                <w:szCs w:val="16"/>
                <w:color w:val="202020"/>
              </w:rPr>
              <w:t>170</w:t>
            </w:r>
          </w:p>
        </w:tc>
        <w:tc>
          <w:tcPr>
            <w:tcW w:w="580" w:type="dxa"/>
            <w:vAlign w:val="bottom"/>
          </w:tcPr>
          <w:p>
            <w:pPr>
              <w:jc w:val="right"/>
              <w:spacing w:after="0"/>
              <w:rPr>
                <w:sz w:val="20"/>
                <w:szCs w:val="20"/>
                <w:color w:val="auto"/>
              </w:rPr>
            </w:pPr>
            <w:r>
              <w:rPr>
                <w:rFonts w:ascii="Arial" w:cs="Arial" w:eastAsia="Arial" w:hAnsi="Arial"/>
                <w:sz w:val="16"/>
                <w:szCs w:val="16"/>
                <w:color w:val="202020"/>
              </w:rPr>
              <w:t>—</w:t>
            </w:r>
          </w:p>
        </w:tc>
      </w:tr>
      <w:tr>
        <w:trPr>
          <w:trHeight w:val="34"/>
        </w:trPr>
        <w:tc>
          <w:tcPr>
            <w:tcW w:w="5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9"/>
        </w:trPr>
        <w:tc>
          <w:tcPr>
            <w:tcW w:w="518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Tax Fees</w:t>
            </w:r>
          </w:p>
        </w:tc>
        <w:tc>
          <w:tcPr>
            <w:tcW w:w="4360" w:type="dxa"/>
            <w:vAlign w:val="bottom"/>
            <w:tcBorders>
              <w:bottom w:val="single" w:sz="8" w:color="E9E9E9"/>
            </w:tcBorders>
            <w:shd w:val="clear" w:color="auto" w:fill="E9E9E9"/>
          </w:tcPr>
          <w:p>
            <w:pPr>
              <w:jc w:val="right"/>
              <w:ind w:right="100"/>
              <w:spacing w:after="0"/>
              <w:rPr>
                <w:sz w:val="20"/>
                <w:szCs w:val="20"/>
                <w:color w:val="auto"/>
              </w:rPr>
            </w:pPr>
            <w:r>
              <w:rPr>
                <w:rFonts w:ascii="Arial" w:cs="Arial" w:eastAsia="Arial" w:hAnsi="Arial"/>
                <w:sz w:val="16"/>
                <w:szCs w:val="16"/>
                <w:color w:val="202020"/>
              </w:rPr>
              <w:t>—</w:t>
            </w:r>
          </w:p>
        </w:tc>
        <w:tc>
          <w:tcPr>
            <w:tcW w:w="58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109</w:t>
            </w:r>
          </w:p>
        </w:tc>
      </w:tr>
      <w:tr>
        <w:trPr>
          <w:trHeight w:val="225"/>
        </w:trPr>
        <w:tc>
          <w:tcPr>
            <w:tcW w:w="5180" w:type="dxa"/>
            <w:vAlign w:val="bottom"/>
          </w:tcPr>
          <w:p>
            <w:pPr>
              <w:ind w:left="60"/>
              <w:spacing w:after="0"/>
              <w:rPr>
                <w:sz w:val="20"/>
                <w:szCs w:val="20"/>
                <w:color w:val="auto"/>
              </w:rPr>
            </w:pPr>
            <w:r>
              <w:rPr>
                <w:rFonts w:ascii="Arial" w:cs="Arial" w:eastAsia="Arial" w:hAnsi="Arial"/>
                <w:sz w:val="16"/>
                <w:szCs w:val="16"/>
                <w:color w:val="202020"/>
              </w:rPr>
              <w:t>All Other Fees</w:t>
            </w:r>
          </w:p>
        </w:tc>
        <w:tc>
          <w:tcPr>
            <w:tcW w:w="4360" w:type="dxa"/>
            <w:vAlign w:val="bottom"/>
          </w:tcPr>
          <w:p>
            <w:pPr>
              <w:jc w:val="right"/>
              <w:ind w:right="100"/>
              <w:spacing w:after="0"/>
              <w:rPr>
                <w:sz w:val="20"/>
                <w:szCs w:val="20"/>
                <w:color w:val="auto"/>
              </w:rPr>
            </w:pPr>
            <w:r>
              <w:rPr>
                <w:rFonts w:ascii="Arial" w:cs="Arial" w:eastAsia="Arial" w:hAnsi="Arial"/>
                <w:sz w:val="16"/>
                <w:szCs w:val="16"/>
                <w:color w:val="202020"/>
              </w:rPr>
              <w:t>2</w:t>
            </w:r>
          </w:p>
        </w:tc>
        <w:tc>
          <w:tcPr>
            <w:tcW w:w="580" w:type="dxa"/>
            <w:vAlign w:val="bottom"/>
          </w:tcPr>
          <w:p>
            <w:pPr>
              <w:jc w:val="right"/>
              <w:spacing w:after="0"/>
              <w:rPr>
                <w:sz w:val="20"/>
                <w:szCs w:val="20"/>
                <w:color w:val="auto"/>
              </w:rPr>
            </w:pPr>
            <w:r>
              <w:rPr>
                <w:rFonts w:ascii="Arial" w:cs="Arial" w:eastAsia="Arial" w:hAnsi="Arial"/>
                <w:sz w:val="16"/>
                <w:szCs w:val="16"/>
                <w:color w:val="202020"/>
              </w:rPr>
              <w:t>2</w:t>
            </w:r>
          </w:p>
        </w:tc>
      </w:tr>
      <w:tr>
        <w:trPr>
          <w:trHeight w:val="34"/>
        </w:trPr>
        <w:tc>
          <w:tcPr>
            <w:tcW w:w="5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9"/>
        </w:trPr>
        <w:tc>
          <w:tcPr>
            <w:tcW w:w="518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Total Fees</w:t>
            </w:r>
          </w:p>
        </w:tc>
        <w:tc>
          <w:tcPr>
            <w:tcW w:w="4360" w:type="dxa"/>
            <w:vAlign w:val="bottom"/>
            <w:tcBorders>
              <w:bottom w:val="single" w:sz="8" w:color="E9E9E9"/>
            </w:tcBorders>
            <w:shd w:val="clear" w:color="auto" w:fill="E9E9E9"/>
          </w:tcPr>
          <w:p>
            <w:pPr>
              <w:jc w:val="right"/>
              <w:ind w:right="100"/>
              <w:spacing w:after="0"/>
              <w:rPr>
                <w:sz w:val="20"/>
                <w:szCs w:val="20"/>
                <w:color w:val="auto"/>
              </w:rPr>
            </w:pPr>
            <w:r>
              <w:rPr>
                <w:rFonts w:ascii="Arial" w:cs="Arial" w:eastAsia="Arial" w:hAnsi="Arial"/>
                <w:sz w:val="16"/>
                <w:szCs w:val="16"/>
                <w:color w:val="202020"/>
              </w:rPr>
              <w:t>$922</w:t>
            </w:r>
          </w:p>
        </w:tc>
        <w:tc>
          <w:tcPr>
            <w:tcW w:w="58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$791</w:t>
            </w:r>
          </w:p>
        </w:tc>
      </w:tr>
      <w:tr>
        <w:trPr>
          <w:trHeight w:val="30"/>
        </w:trPr>
        <w:tc>
          <w:tcPr>
            <w:tcW w:w="5180" w:type="dxa"/>
            <w:vAlign w:val="bottom"/>
            <w:shd w:val="clear" w:color="auto" w:fill="202020"/>
          </w:tcPr>
          <w:p>
            <w:pPr>
              <w:spacing w:after="0"/>
              <w:rPr>
                <w:sz w:val="2"/>
                <w:szCs w:val="2"/>
                <w:color w:val="auto"/>
              </w:rPr>
            </w:pPr>
          </w:p>
        </w:tc>
        <w:tc>
          <w:tcPr>
            <w:tcW w:w="4360" w:type="dxa"/>
            <w:vAlign w:val="bottom"/>
            <w:shd w:val="clear" w:color="auto" w:fill="202020"/>
          </w:tcPr>
          <w:p>
            <w:pPr>
              <w:spacing w:after="0"/>
              <w:rPr>
                <w:sz w:val="2"/>
                <w:szCs w:val="2"/>
                <w:color w:val="auto"/>
              </w:rPr>
            </w:pPr>
          </w:p>
        </w:tc>
        <w:tc>
          <w:tcPr>
            <w:tcW w:w="580" w:type="dxa"/>
            <w:vAlign w:val="bottom"/>
            <w:shd w:val="clear" w:color="auto" w:fill="202020"/>
          </w:tcPr>
          <w:p>
            <w:pPr>
              <w:spacing w:after="0"/>
              <w:rPr>
                <w:sz w:val="2"/>
                <w:szCs w:val="2"/>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Audit Fees</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8"/>
          <w:szCs w:val="18"/>
          <w:color w:val="202020"/>
        </w:rPr>
        <w:t>Represents fees, including out of pocket expenses, for professional services provided in connection with the audit of our annual audited financial statements, the review of our quarterly financial statements included in our Forms 10-Q, accounting consultations or advice on accounting matters necessary for the rendering of an opinion on our financial statements, services provided in connection with the offerings of our common stock and audit services provided in connection with other statutory or regulatory filings.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Audit-Related Fees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202020"/>
        </w:rPr>
        <w:t>Audit-Related fees consist of fees for assurance and related services that are reasonably related to the performance of the audit or review of the Company’s consolidated financial statements and are not reported under “Audit Fees.” These fees include services pertaining to the Company’s implementation of a new enterprise resource planning system.</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Tax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02020"/>
        </w:rPr>
        <w:t>Tax fees are associated with tax compliance and tax planning related activities.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All Other Fees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02020"/>
        </w:rPr>
        <w:t>All other fees consist of fees relating to an accounting research tool and disclosures database.</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202020"/>
        </w:rPr>
        <w:t>The Audit Committee is responsible for appointing, setting compensation and overseeing the work of the independent auditors. The Audit Committee has established a policy regarding pre-approval of all auditing services and the terms thereof and non-audit services (other than non-audit services prohibited under Section 10A(g) of the Exchange Act or the applicable rules of the SEC or the Public Company Accounting Oversight Board) to be provided to Celldex by the independent auditor. However, the pre-approval requirement may be waived with respect to the provision of non-audit services for Celldex if the “de minimis” provisions of Section 10A(i)(1)(B) of the Exchange Act are satisfied.</w:t>
      </w:r>
    </w:p>
    <w:p>
      <w:pPr>
        <w:spacing w:after="0" w:line="102"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202020"/>
        </w:rPr>
        <w:t>The Audit Committee has considered whether the provision of Audit-Related Fees, Tax Fees, and All Other Fees as described above is compatible with maintaining PricewaterhouseCoopers LLP’s independence and has determined that such</w:t>
      </w:r>
    </w:p>
    <w:p>
      <w:pPr>
        <w:spacing w:after="0" w:line="149"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53</w:t>
      </w:r>
    </w:p>
    <w:p>
      <w:pPr>
        <w:sectPr>
          <w:pgSz w:w="11880" w:h="15480" w:orient="portrait"/>
          <w:cols w:equalWidth="0" w:num="1">
            <w:col w:w="10140"/>
          </w:cols>
          <w:pgMar w:left="880" w:top="544" w:right="860" w:bottom="96" w:gutter="0" w:footer="0" w:header="0"/>
        </w:sectPr>
      </w:pPr>
    </w:p>
    <w:bookmarkStart w:id="57" w:name="page58"/>
    <w:bookmarkEnd w:id="57"/>
    <w:p>
      <w:pPr>
        <w:spacing w:after="0"/>
        <w:rPr>
          <w:sz w:val="20"/>
          <w:szCs w:val="20"/>
          <w:color w:val="auto"/>
        </w:rPr>
      </w:pPr>
      <w:r>
        <w:rPr>
          <w:rFonts w:ascii="Arial" w:cs="Arial" w:eastAsia="Arial" w:hAnsi="Arial"/>
          <w:sz w:val="16"/>
          <w:szCs w:val="16"/>
          <w:color w:val="202020"/>
        </w:rPr>
        <w:t>Proposal 2: Ratification of Independent Public Accounting Firm</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8"/>
          <w:szCs w:val="18"/>
          <w:color w:val="202020"/>
        </w:rPr>
        <w:t>services for fiscal years 2025 and 2024 were compatible. All such services were approved by the Audit Committee pursuant to Rule 2-01 of Regulation S-X under the Exchange Act to the extent that rule was applicable.</w:t>
      </w:r>
    </w:p>
    <w:p>
      <w:pPr>
        <w:spacing w:after="0" w:line="86" w:lineRule="exact"/>
        <w:rPr>
          <w:sz w:val="20"/>
          <w:szCs w:val="20"/>
          <w:color w:val="auto"/>
        </w:rPr>
      </w:pPr>
    </w:p>
    <w:p>
      <w:pPr>
        <w:spacing w:after="0" w:line="261" w:lineRule="auto"/>
        <w:rPr>
          <w:sz w:val="20"/>
          <w:szCs w:val="20"/>
          <w:color w:val="auto"/>
        </w:rPr>
      </w:pPr>
      <w:r>
        <w:rPr>
          <w:rFonts w:ascii="Arial" w:cs="Arial" w:eastAsia="Arial" w:hAnsi="Arial"/>
          <w:sz w:val="18"/>
          <w:szCs w:val="18"/>
          <w:color w:val="202020"/>
        </w:rPr>
        <w:t>The Audit Committee is responsible for reviewing and discussing the audited financial statements with management, discussing with the independent registered public accountants the matters required in Auditing Standards No. 1301, receiving written disclosures from the independent registered public accountants required by the applicable requirements of the Public Company Accounting Oversight Board regarding the independent registered public accountants’ communications with the Audit Committee concerning independence and discussing with the independent registered public accountants their independence, and recommending to the Board of Directors that the audit financial statements be included in our annual report on Form 10-K.</w:t>
      </w:r>
    </w:p>
    <w:p>
      <w:pPr>
        <w:spacing w:after="0" w:line="120" w:lineRule="exact"/>
        <w:rPr>
          <w:sz w:val="20"/>
          <w:szCs w:val="20"/>
          <w:color w:val="auto"/>
        </w:rPr>
      </w:pPr>
    </w:p>
    <w:p>
      <w:pPr>
        <w:jc w:val="center"/>
        <w:ind w:left="900" w:right="1800"/>
        <w:spacing w:after="0" w:line="275" w:lineRule="auto"/>
        <w:rPr>
          <w:sz w:val="20"/>
          <w:szCs w:val="20"/>
          <w:color w:val="auto"/>
        </w:rPr>
      </w:pPr>
      <w:r>
        <w:rPr>
          <w:rFonts w:ascii="Arial" w:cs="Arial" w:eastAsia="Arial" w:hAnsi="Arial"/>
          <w:sz w:val="18"/>
          <w:szCs w:val="18"/>
          <w:b w:val="1"/>
          <w:bCs w:val="1"/>
          <w:color w:val="202020"/>
        </w:rPr>
        <w:t>THE BOARD OF DIRECTORS RECOMMENDS THAT THE STOCKHOLDERS VOTE “FOR” THE RATIFICATION OF THE INDEPENDENT REGISTERED PUBLIC ACCOUNTING FIRM.</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54 |</w:t>
        <w:tab/>
        <w:t>Celldex Therapeutics</w:t>
      </w:r>
    </w:p>
    <w:p>
      <w:pPr>
        <w:sectPr>
          <w:pgSz w:w="11880" w:h="15480" w:orient="portrait"/>
          <w:cols w:equalWidth="0" w:num="1">
            <w:col w:w="10120"/>
          </w:cols>
          <w:pgMar w:left="880" w:top="544" w:right="880" w:bottom="96" w:gutter="0" w:footer="0" w:header="0"/>
          <w:type w:val="continuous"/>
        </w:sectPr>
      </w:pPr>
    </w:p>
    <w:bookmarkStart w:id="58" w:name="page59"/>
    <w:bookmarkEnd w:id="58"/>
    <w:p>
      <w:pPr>
        <w:ind w:left="4020"/>
        <w:spacing w:after="0"/>
        <w:rPr>
          <w:sz w:val="20"/>
          <w:szCs w:val="20"/>
          <w:color w:val="auto"/>
        </w:rPr>
      </w:pPr>
      <w:r>
        <w:rPr>
          <w:rFonts w:ascii="Arial" w:cs="Arial" w:eastAsia="Arial" w:hAnsi="Arial"/>
          <w:sz w:val="16"/>
          <w:szCs w:val="16"/>
          <w:color w:val="202020"/>
        </w:rPr>
        <w:t>Proposal 3: Approval of an Amendment to the 2021 Omnibus Equity Incentive Plan</w:t>
      </w:r>
    </w:p>
    <w:p>
      <w:pPr>
        <w:spacing w:after="0" w:line="142" w:lineRule="exact"/>
        <w:rPr>
          <w:sz w:val="20"/>
          <w:szCs w:val="20"/>
          <w:color w:val="auto"/>
        </w:rPr>
      </w:pPr>
    </w:p>
    <w:p>
      <w:pPr>
        <w:ind w:right="120"/>
        <w:spacing w:after="0" w:line="239" w:lineRule="auto"/>
        <w:rPr>
          <w:sz w:val="20"/>
          <w:szCs w:val="20"/>
          <w:color w:val="auto"/>
        </w:rPr>
      </w:pPr>
      <w:r>
        <w:rPr>
          <w:rFonts w:ascii="Arial" w:cs="Arial" w:eastAsia="Arial" w:hAnsi="Arial"/>
          <w:sz w:val="36"/>
          <w:szCs w:val="36"/>
          <w:b w:val="1"/>
          <w:bCs w:val="1"/>
          <w:color w:val="202020"/>
        </w:rPr>
        <w:t>Proposal 3: Approval of an Amendment to The 2021 Incentive Plan to Increase The Number of Shares Available for Issuance Under The 2021 Incentive Plan by 3,400,000, From 9,500,000 Plus The Unused Shares of Common Stock Reserved Under The 2008 Incentive Plan, to 12,900,000 Plus The Unused Shares of Common Stock Reserved Under The 2008 Incentive Plan and to Clarify the Tax Withholding Provisions Applicable to Awards Under The 2021 Incentive Plan (Proposal No. 3)</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General</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202020"/>
        </w:rPr>
        <w:t>The primary purpose of the 2021 Incentive Plan is to provide a means whereby eligible employees, officers, non-employee directors and other individual service providers develop a sense of proprietorship and personal involvement in the development and financial success of the Company and to encourage them to devote their best efforts to the business of the Company, thereby advancing the interests of the Company and its stockholders. The Company, by means of the 2021 Incentive Plan, seeks to retain the services of such eligible persons and to provide incentives for such persons to exert maximum efforts for the success of the Company and its subsidiaries.</w:t>
      </w:r>
    </w:p>
    <w:p>
      <w:pPr>
        <w:spacing w:after="0" w:line="11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202020"/>
        </w:rPr>
        <w:t xml:space="preserve">Our Board believes that the granting of stock options, restricted stock awards and other kinds of equity-based compensation promotes continuity of management and increases incentive and personal interest in the welfare of our Company and alignment with shareholders by those who are primarily responsible for shaping and carrying out our long-range plans and securing our growth and financial success. On March 12, 2026, our Board approved an amendment to increase in the number of shares available for issuance thereunder by 3,400,000 shares and to clarify the tax withholding provisions applicable to awards under the 2021 Incentive Plan, and directed that the amendment be submitted to the shareholders for approval at the Annual Meeting. A copy of the amendment is attached as </w:t>
      </w:r>
      <w:r>
        <w:rPr>
          <w:rFonts w:ascii="Arial" w:cs="Arial" w:eastAsia="Arial" w:hAnsi="Arial"/>
          <w:sz w:val="18"/>
          <w:szCs w:val="18"/>
          <w:u w:val="single" w:color="auto"/>
          <w:color w:val="202020"/>
        </w:rPr>
        <w:t>Annex A</w:t>
      </w:r>
      <w:r>
        <w:rPr>
          <w:rFonts w:ascii="Arial" w:cs="Arial" w:eastAsia="Arial" w:hAnsi="Arial"/>
          <w:sz w:val="18"/>
          <w:szCs w:val="18"/>
          <w:color w:val="202020"/>
        </w:rPr>
        <w:t>.</w:t>
      </w:r>
    </w:p>
    <w:p>
      <w:pPr>
        <w:spacing w:after="0" w:line="11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202020"/>
        </w:rPr>
        <w:t>Our Board believes the increase in the number of shares available for issuance under the 2021 Incentive Plan is needed in order to make awards to expected new hires as a result of the Company planning for commercialization. Our Board also believes that amending the tax withholding provisions of the 2021 Incentive Plan will provide the Company and participants with greater flexibility and certainty in the methods available to satisfy tax withholding obligations arising in connection with awards under the 2021 Incentive Plan.</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8"/>
          <w:szCs w:val="18"/>
          <w:color w:val="202020"/>
        </w:rPr>
        <w:t>We believe that our future success will depend in large part upon our ability to attract and retain highly skilled scientific, managerial and marketing personnel. The life sciences industry is highly competitive, and our results are largely attributable to the talents, expertise, efforts and dedication of our employees. Our compensation program, including the granting of equity compensation, is an important component in attracting and recruiting new employees as well as retaining our most experienced and skilled employees.</w:t>
      </w:r>
    </w:p>
    <w:p>
      <w:pPr>
        <w:spacing w:after="0" w:line="1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02020"/>
        </w:rPr>
        <w:t>Equity compensation is also fundamental to our compensation philosophy of paying for performance and aligning the interests of employees with those of our stockholders. We believe that equity awards, and the potential they hold for appreciation through an increase in our stock price, support our pay-for-performance philosophy, provide further incentive to our employees to focus on creating long-term stockholder value and create an ownership culture that links employees’ interests with those of our stockholders and our long-term results, performance and financial condition. We also believe that amending the tax withholding provisions of the 2021 Incentive Plan is in the best interests of the Company and its participants. The amendment expands the scope of the tax withholding provision and provides greater clarity and certainty for both the Company and participants regarding the mechanics of tax withholding in connection with equity awards. In particular, the amended tax withholding provision expressly authorizes the Compensation Committee of our Board (the “Committee”) to use multiple methods to satisfy tax withholding obligations, including net share issuance.</w:t>
      </w:r>
    </w:p>
    <w:p>
      <w:pPr>
        <w:spacing w:after="0" w:line="123" w:lineRule="exact"/>
        <w:rPr>
          <w:sz w:val="20"/>
          <w:szCs w:val="20"/>
          <w:color w:val="auto"/>
        </w:rPr>
      </w:pPr>
    </w:p>
    <w:p>
      <w:pPr>
        <w:ind w:right="100"/>
        <w:spacing w:after="0" w:line="299" w:lineRule="auto"/>
        <w:rPr>
          <w:sz w:val="20"/>
          <w:szCs w:val="20"/>
          <w:color w:val="auto"/>
        </w:rPr>
      </w:pPr>
      <w:r>
        <w:rPr>
          <w:rFonts w:ascii="Arial" w:cs="Arial" w:eastAsia="Arial" w:hAnsi="Arial"/>
          <w:sz w:val="18"/>
          <w:szCs w:val="18"/>
          <w:color w:val="202020"/>
        </w:rPr>
        <w:t>Accordingly, it is the judgment of our Board of Directors that the approval of this Proposal 3 is in the best interests of our Company and its stockholders.</w:t>
      </w:r>
    </w:p>
    <w:p>
      <w:pPr>
        <w:spacing w:after="0" w:line="87" w:lineRule="exact"/>
        <w:rPr>
          <w:sz w:val="20"/>
          <w:szCs w:val="20"/>
          <w:color w:val="auto"/>
        </w:rPr>
      </w:pPr>
    </w:p>
    <w:p>
      <w:pPr>
        <w:ind w:right="120"/>
        <w:spacing w:after="0" w:line="299" w:lineRule="auto"/>
        <w:rPr>
          <w:sz w:val="20"/>
          <w:szCs w:val="20"/>
          <w:color w:val="auto"/>
        </w:rPr>
      </w:pPr>
      <w:r>
        <w:rPr>
          <w:rFonts w:ascii="Arial" w:cs="Arial" w:eastAsia="Arial" w:hAnsi="Arial"/>
          <w:sz w:val="18"/>
          <w:szCs w:val="18"/>
          <w:color w:val="202020"/>
        </w:rPr>
        <w:t>If the Company’s stockholders do not approve the amendment, the Company will continue to operate the 2021 Incentive Plan under its current provisions.</w:t>
      </w:r>
    </w:p>
    <w:p>
      <w:pPr>
        <w:spacing w:after="0" w:line="146"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55</w:t>
      </w:r>
    </w:p>
    <w:p>
      <w:pPr>
        <w:sectPr>
          <w:pgSz w:w="11880" w:h="15480" w:orient="portrait"/>
          <w:cols w:equalWidth="0" w:num="1">
            <w:col w:w="10140"/>
          </w:cols>
          <w:pgMar w:left="880" w:top="544" w:right="860" w:bottom="96" w:gutter="0" w:footer="0" w:header="0"/>
        </w:sectPr>
      </w:pPr>
    </w:p>
    <w:bookmarkStart w:id="59" w:name="page60"/>
    <w:bookmarkEnd w:id="59"/>
    <w:p>
      <w:pPr>
        <w:spacing w:after="0"/>
        <w:rPr>
          <w:sz w:val="20"/>
          <w:szCs w:val="20"/>
          <w:color w:val="auto"/>
        </w:rPr>
      </w:pPr>
      <w:r>
        <w:rPr>
          <w:rFonts w:ascii="Arial" w:cs="Arial" w:eastAsia="Arial" w:hAnsi="Arial"/>
          <w:sz w:val="16"/>
          <w:szCs w:val="16"/>
          <w:color w:val="202020"/>
        </w:rPr>
        <w:t>Proposal 3: Approval of an Amendment to the 2021 Omnibus Equity Incentive Plan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Description of the 2021 Incentive Plan</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02020"/>
        </w:rPr>
        <w:t>The following description of the material terms of the 2021 Incentive Plan is intended to be a summary only. This summary is qualified in its entirety by the full text of the 2021 Incentive Plan, which is incorporated herein by reference to Appendix A of the Company’s Definitive Proxy Statement filed on April 27, 2021, as amended on June 15, 2023, June 13, 2024 and June 5, 2025.</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202020"/>
        </w:rPr>
        <w:t>Administration</w:t>
      </w:r>
      <w:r>
        <w:rPr>
          <w:rFonts w:ascii="Arial" w:cs="Arial" w:eastAsia="Arial" w:hAnsi="Arial"/>
          <w:sz w:val="18"/>
          <w:szCs w:val="18"/>
          <w:b w:val="1"/>
          <w:b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2021 Incentive Plan is administered by the Committee. However, the entire Board may act in lieu of</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Committee on any matter. The Committee has authority, in its discretion, to approve the persons to whom awards may be granted, to make any combination of awards to participants, to accelerate the exercisability or vesting of an award and to determine the specific terms and conditions of each award, subject to the provisions of the 2021 Incentive Plan. The Committee may also approve rules and regulations for the administration of the 2021 Incentive Plan and amendments or modifications of outstanding awards (except that (i) options and stock appreciation rights (“SARs”) cannot be repriced and (ii) options and SARs cannot be cancelled in exchange for cash or another award, in each case, without shareholder approval). The Committee may delegate authority to the chief executive officer and/or other executive officers to grant awards to employees (other than themselves), subject to applicable law and the 2021 Incentive Plan. No awards may be made under the 2021 Incentive Plan on or after the ten (10)-year anniversary of the Effective Date, but the 2021 Incentive Plan will continue thereafter while previously granted awards remain outstanding.</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i w:val="1"/>
          <w:iCs w:val="1"/>
          <w:color w:val="202020"/>
        </w:rPr>
        <w:t>Eligibility</w:t>
      </w:r>
      <w:r>
        <w:rPr>
          <w:rFonts w:ascii="Arial" w:cs="Arial" w:eastAsia="Arial" w:hAnsi="Arial"/>
          <w:sz w:val="18"/>
          <w:szCs w:val="18"/>
          <w:b w:val="1"/>
          <w:b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Persons eligible to receive awards under the 2021 Incentive Plan are all employees, officers, directors,</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consultants, scientific advisors, other individual advisors and other individual service providers of our Company and our subsidiaries, who, in the opinion of the Committee, are in a position to contribute to the success and growth of the Company, or any person who is determined by the Committee to be a prospective employee, officer, director, consultant, scientific advisor, other individual advisor or other individual service provider of the Company or any subsidiary. As of March 31, 2026, the Company and its subsidiaries had a total of 205 employees, including 17 officers and 10 executive officers (who are not included in the number of officers) and eight non-employee directors. Our subsidiary does not have employees and none of the officers and directors of our subsidiaries are eligible for awards under the 2021 Incentive Plan other than those who are eligible as officers or directors of the Company. As of that date, we had approximately five consultants who we have historically granted options to, and no one in the categories of scientific advisors, other individual advisors or other individual service providers. As of March 31, 2026, no person is eligible to participate as a result of a determination by the Committee that that person is a prospective employee, officer, director, consultant, scientific advisor, other individual advisor or other individual service provider of the Company or any subsidiary. As awards under the</w:t>
      </w:r>
    </w:p>
    <w:p>
      <w:pPr>
        <w:spacing w:after="0" w:line="2"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202020"/>
        </w:rPr>
        <w:t>2021 Incentive Plan are within the discretion of the Committee, the Company cannot determine how many individuals in each of the categories described above will receive awards.</w:t>
      </w:r>
    </w:p>
    <w:p>
      <w:pPr>
        <w:spacing w:after="0" w:line="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202020"/>
        </w:rPr>
        <w:t xml:space="preserve">Shares Subject to the 2021 Incentive Plan. </w:t>
      </w:r>
      <w:r>
        <w:rPr>
          <w:rFonts w:ascii="Arial" w:cs="Arial" w:eastAsia="Arial" w:hAnsi="Arial"/>
          <w:sz w:val="18"/>
          <w:szCs w:val="18"/>
          <w:color w:val="202020"/>
        </w:rPr>
        <w:t>Prior to the proposed increase, an aggregate of (i) 9,500,000 shares of</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common stock plus (ii) such number of unused shares of common stock reserved under the 2008 Incentive Plan as of the Effective Date that were rolled into the 2021 Incentive Plan, (subsections (i) and (ii) together, the “Share Reserve”), of which approximately 2,680,069 shares remain available for issuance as of March 31, 2026. All such shares of common stock reserved for issuance under the 2021 Incentive Plan may, but need not, be issued in respect of ISOs. In addition, shares of our common stock that relate to any outstanding grants or awards under the 2008 Incentive Plan as of the Effective Date that are forfeited, cancelled or otherwise lapse in accordance with applicable plan terms shall be rolled into the 2021 Incentive Plan and added to the Share Reserve (but not issued in respect of ISOs).</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02020"/>
        </w:rPr>
        <w:t>If any option granted under the 2021 Incentive Plan terminates without having been exercised in full or if any award is forfeited or cancelled, the number of shares of common stock as to which such award was forfeited or withheld will be available for future grants under the 2021 Incentive Plan. However, any shares of common stock otherwise issuable that are withheld to satisfy the exercise price of a stock option, tax withholding obligations or repurchased by the Company with stock option proceeds, shall not revert to the 2021 Incentive Plan or be added back to the Share Reserve.</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color w:val="202020"/>
        </w:rPr>
        <w:t>The number of shares of common stock authorized for issuance under the 2021 Incentive Plan and the foregoing share limitations are subject to customary adjustment for stock splits, stock dividends or similar transactions.</w:t>
      </w: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202020"/>
        </w:rPr>
        <w:t>Equity-based awards under the 2021 Incentive Plan may vest no earlier than the first anniversary of the date of grant, with limited exceptions for substitute awards, shares of common stock delivered in lieu of fully vested cash awards, director awards vesting on the earlier of the one-year anniversary of grant or the next annual meeting of stockholders and for equity-based awards with respect to up to 5% of the Share Reserve.</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202020"/>
        </w:rPr>
        <w:t>Outside Director Limitation</w:t>
      </w:r>
      <w:r>
        <w:rPr>
          <w:rFonts w:ascii="Arial" w:cs="Arial" w:eastAsia="Arial" w:hAnsi="Arial"/>
          <w:sz w:val="18"/>
          <w:szCs w:val="18"/>
          <w:color w:val="202020"/>
        </w:rPr>
        <w:t>. The grant date fair value (determined as of the grant date in accordance with Financial</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Accounting Standards Board Accounting Standards Codification Topic 718, or any successor thereto) of awards granted under the 2021 Incentive Plan to any non-employee director during any calendar year shall not exceed $750,000 (inclusive of any cash awards to a non-employee director for such year that are not made pursuant to the 2021 Incentive Plan); provided that in the case of a new non-employee director, such amount shall be increased to $1,200,000 for the initial year of the non-employee director’s term.</w:t>
      </w:r>
    </w:p>
    <w:p>
      <w:pPr>
        <w:spacing w:after="0" w:line="18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56 |</w:t>
        <w:tab/>
        <w:t>Celldex Therapeutics</w:t>
      </w:r>
    </w:p>
    <w:p>
      <w:pPr>
        <w:sectPr>
          <w:pgSz w:w="11880" w:h="15480" w:orient="portrait"/>
          <w:cols w:equalWidth="0" w:num="1">
            <w:col w:w="10140"/>
          </w:cols>
          <w:pgMar w:left="880" w:top="544" w:right="860" w:bottom="96" w:gutter="0" w:footer="0" w:header="0"/>
        </w:sectPr>
      </w:pPr>
    </w:p>
    <w:bookmarkStart w:id="60" w:name="page61"/>
    <w:bookmarkEnd w:id="60"/>
    <w:p>
      <w:pPr>
        <w:ind w:left="4020"/>
        <w:spacing w:after="0"/>
        <w:rPr>
          <w:sz w:val="20"/>
          <w:szCs w:val="20"/>
          <w:color w:val="auto"/>
        </w:rPr>
      </w:pPr>
      <w:r>
        <w:rPr>
          <w:rFonts w:ascii="Arial" w:cs="Arial" w:eastAsia="Arial" w:hAnsi="Arial"/>
          <w:sz w:val="16"/>
          <w:szCs w:val="16"/>
          <w:color w:val="202020"/>
        </w:rPr>
        <w:t>Proposal 3: Approval of an Amendment to the 2021 Omnibus Equity Incentive Plan</w:t>
      </w:r>
    </w:p>
    <w:p>
      <w:pPr>
        <w:spacing w:after="0" w:line="21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202020"/>
        </w:rPr>
        <w:t xml:space="preserve">Terms and Conditions of Options. </w:t>
      </w:r>
      <w:r>
        <w:rPr>
          <w:rFonts w:ascii="Arial" w:cs="Arial" w:eastAsia="Arial" w:hAnsi="Arial"/>
          <w:sz w:val="18"/>
          <w:szCs w:val="18"/>
          <w:color w:val="202020"/>
        </w:rPr>
        <w:t>Options granted under the 2021 Incentive Plan may be either ISOs or “nonstatutory</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stock options” that do not meet the requirements of Section 422 of the Internal Revenue Code of 1986 (the “Code”). The Committee will determine the exercise price of options granted under the 2021 Incentive Plan. The exercise price of stock options may not be less than the fair market value per share of our common stock on the date of grant (or 110% of fair market value in the case of ISOs granted to a ten-percent stockholder).</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202020"/>
        </w:rPr>
        <w:t>If on the date of grant the common stock is listed on a stock exchange or is quoted on the automated quotation system of Nasdaq, the fair market value will generally be the closing sale price on the date of grant (or the last trading day before the date of grant if no trades occurred on the date of grant). If no such prices are available, the fair market value will be determined in good faith by the Committee based on the reasonable application of a reasonable valuation method. On April 20, 2026, the closing sale price of a share of common stock on Nasdaq was $34.38.</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202020"/>
        </w:rPr>
        <w:t>No option may be exercisable for more than ten years (five years in the case of an ISO granted to a ten-percent stockholder) from the date of grant. Options granted under the 2021 Incentive Plan will be exercisable at such time or times as the Committee prescribes at the time of grant. No employee may receive ISOs that first become exercisable in any calendar year in an amount exceeding $100,000. The Committee may, in its discretion, permit a holder of a nonstatutory option to exercise the option before it has otherwise become exercisable, in which case the shares of our common stock issued to the recipient will continue to be subject to the vesting requirements that applied to the option before exercise.</w:t>
      </w:r>
    </w:p>
    <w:p>
      <w:pPr>
        <w:spacing w:after="0" w:line="119"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color w:val="202020"/>
        </w:rPr>
        <w:t>Generally, the option price may be paid (a) in cash or by certified or bank check or (b) through a broker-assisted exercise program implemented by the Committee in connection with the 2021 Incentive Plan.</w:t>
      </w:r>
    </w:p>
    <w:p>
      <w:pPr>
        <w:spacing w:after="0" w:line="87"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202020"/>
        </w:rPr>
        <w:t>No option may be transferred other than by will or by the laws of descent and distribution, and during a recipient’s lifetime an option may be exercised only by the recipient. However, the Committee may permit the holder of a nonstatutory option to transfer the award to immediate family members or a family trust for estate planning purposes. The Committee will determine the extent to which a holder of a stock option may exercise the option following termination of service with us.</w:t>
      </w:r>
    </w:p>
    <w:p>
      <w:pPr>
        <w:spacing w:after="0" w:line="339"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202020"/>
        </w:rPr>
        <w:t>Stock Appreciation Rights</w:t>
      </w:r>
      <w:r>
        <w:rPr>
          <w:rFonts w:ascii="Arial" w:cs="Arial" w:eastAsia="Arial" w:hAnsi="Arial"/>
          <w:sz w:val="18"/>
          <w:szCs w:val="18"/>
          <w:b w:val="1"/>
          <w:b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Committee may grant SARs independent of or in connection with an option. The</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Committee will determine the other terms applicable to SARs. The exercise price per share of a SAR will not be less than 100% of the fair market value of a share of our common stock on the date of grant, as determined by the Committee. The maximum term of any SAR granted under the 2021 Incentive Plan is ten years from the date of grant. Generally, each SAR will entitle a participant upon exercise to an amount equal to:</w:t>
      </w:r>
    </w:p>
    <w:p>
      <w:pPr>
        <w:spacing w:after="0" w:line="76" w:lineRule="exact"/>
        <w:rPr>
          <w:sz w:val="20"/>
          <w:szCs w:val="20"/>
          <w:color w:val="auto"/>
        </w:rPr>
      </w:pPr>
    </w:p>
    <w:p>
      <w:pPr>
        <w:ind w:left="160" w:right="500" w:hanging="159"/>
        <w:spacing w:after="0" w:line="299" w:lineRule="auto"/>
        <w:tabs>
          <w:tab w:leader="none" w:pos="160" w:val="left"/>
        </w:tabs>
        <w:numPr>
          <w:ilvl w:val="0"/>
          <w:numId w:val="43"/>
        </w:numPr>
        <w:rPr>
          <w:rFonts w:ascii="Arial" w:cs="Arial" w:eastAsia="Arial" w:hAnsi="Arial"/>
          <w:sz w:val="18"/>
          <w:szCs w:val="18"/>
          <w:color w:val="202020"/>
        </w:rPr>
      </w:pPr>
      <w:r>
        <w:rPr>
          <w:rFonts w:ascii="Arial" w:cs="Arial" w:eastAsia="Arial" w:hAnsi="Arial"/>
          <w:sz w:val="18"/>
          <w:szCs w:val="18"/>
          <w:color w:val="202020"/>
        </w:rPr>
        <w:t xml:space="preserve">the excess of the fair market value on the exercise date of one share of our common stock over the exercise price, </w:t>
      </w:r>
      <w:r>
        <w:rPr>
          <w:rFonts w:ascii="Arial" w:cs="Arial" w:eastAsia="Arial" w:hAnsi="Arial"/>
          <w:sz w:val="18"/>
          <w:szCs w:val="18"/>
          <w:i w:val="1"/>
          <w:iCs w:val="1"/>
          <w:color w:val="202020"/>
        </w:rPr>
        <w:t>multiplied by</w:t>
      </w:r>
    </w:p>
    <w:p>
      <w:pPr>
        <w:spacing w:after="0" w:line="46" w:lineRule="exact"/>
        <w:rPr>
          <w:rFonts w:ascii="Arial" w:cs="Arial" w:eastAsia="Arial" w:hAnsi="Arial"/>
          <w:sz w:val="18"/>
          <w:szCs w:val="18"/>
          <w:color w:val="202020"/>
        </w:rPr>
      </w:pPr>
    </w:p>
    <w:p>
      <w:pPr>
        <w:ind w:left="160" w:hanging="159"/>
        <w:spacing w:after="0"/>
        <w:tabs>
          <w:tab w:leader="none" w:pos="160" w:val="left"/>
        </w:tabs>
        <w:numPr>
          <w:ilvl w:val="0"/>
          <w:numId w:val="43"/>
        </w:numPr>
        <w:rPr>
          <w:rFonts w:ascii="Arial" w:cs="Arial" w:eastAsia="Arial" w:hAnsi="Arial"/>
          <w:sz w:val="18"/>
          <w:szCs w:val="18"/>
          <w:color w:val="202020"/>
        </w:rPr>
      </w:pPr>
      <w:r>
        <w:rPr>
          <w:rFonts w:ascii="Arial" w:cs="Arial" w:eastAsia="Arial" w:hAnsi="Arial"/>
          <w:sz w:val="18"/>
          <w:szCs w:val="18"/>
          <w:color w:val="202020"/>
        </w:rPr>
        <w:t>the number of shares of common stock covered by the SAR.</w:t>
      </w:r>
    </w:p>
    <w:p>
      <w:pPr>
        <w:spacing w:after="0" w:line="174" w:lineRule="exact"/>
        <w:rPr>
          <w:sz w:val="20"/>
          <w:szCs w:val="20"/>
          <w:color w:val="auto"/>
        </w:rPr>
      </w:pPr>
    </w:p>
    <w:p>
      <w:pPr>
        <w:ind w:right="600"/>
        <w:spacing w:after="0" w:line="299" w:lineRule="auto"/>
        <w:rPr>
          <w:sz w:val="20"/>
          <w:szCs w:val="20"/>
          <w:color w:val="auto"/>
        </w:rPr>
      </w:pPr>
      <w:r>
        <w:rPr>
          <w:rFonts w:ascii="Arial" w:cs="Arial" w:eastAsia="Arial" w:hAnsi="Arial"/>
          <w:sz w:val="18"/>
          <w:szCs w:val="18"/>
          <w:color w:val="202020"/>
        </w:rPr>
        <w:t>Payment may be made in shares of our common stock, in cash, or partly in common stock and partly in cash, all as determined by the Committee.</w:t>
      </w:r>
    </w:p>
    <w:p>
      <w:pPr>
        <w:spacing w:after="0" w:line="8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02020"/>
        </w:rPr>
        <w:t>Restricted Stock and Restricted Stock Units</w:t>
      </w:r>
      <w:r>
        <w:rPr>
          <w:rFonts w:ascii="Arial" w:cs="Arial" w:eastAsia="Arial" w:hAnsi="Arial"/>
          <w:sz w:val="18"/>
          <w:szCs w:val="18"/>
          <w:i w:val="1"/>
          <w:i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Committee may award restricted common stock and/or restricted</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stock units under the 2021 Incentive Plan. Restricted stock awards consist of shares of common stock that are transferred to a participant subject to restrictions that may result in forfeiture if specified conditions are not satisfied. Restricted stock units confer the right to receive shares of our common stock, cash, or a combination of shares of common stock and cash, at a future date upon or following the attainment of certain conditions specified by the Committee. The restrictions and conditions applicable to each award of restricted stock or restricted stock units may include performance-based conditions. Dividends with respect to restricted stock will only be paid to the holder of the shares at the time that the restricted stock vests. Dividend equivalent amounts may be deemed reinvested in additional restricted stock units, as determined by the Committee in its sole discretion, or paid with respect to restricted stock units when the units vest. Unless the Committee determines otherwise, holders of restricted stock will have the right to vote the shares.</w:t>
      </w:r>
    </w:p>
    <w:p>
      <w:pPr>
        <w:spacing w:after="0" w:line="123"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i w:val="1"/>
          <w:iCs w:val="1"/>
          <w:color w:val="202020"/>
        </w:rPr>
        <w:t>Performance Shares and Performance Units</w:t>
      </w:r>
      <w:r>
        <w:rPr>
          <w:rFonts w:ascii="Arial" w:cs="Arial" w:eastAsia="Arial" w:hAnsi="Arial"/>
          <w:sz w:val="18"/>
          <w:szCs w:val="18"/>
          <w:i w:val="1"/>
          <w:i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Committee may award performance shares and/or performance units</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under the 2021 Incentive Plan to any eligible employee or other individual service provider other than a non-employee director of the Board. Performance shares and performance units are awards, denominated in either shares of common stock or U.S. dollars, which are earned during a specified performance period subject to the attainment of performance criteria, as established by the Committee. The Committee will determine the restrictions and conditions applicable to each award of performance shares and performance units.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202020"/>
        </w:rPr>
        <w:t>Incentive Bonus Awards, Other Stock-Based and Cash-Based Awards</w:t>
      </w:r>
      <w:r>
        <w:rPr>
          <w:rFonts w:ascii="Arial" w:cs="Arial" w:eastAsia="Arial" w:hAnsi="Arial"/>
          <w:sz w:val="18"/>
          <w:szCs w:val="18"/>
          <w:i w:val="1"/>
          <w:i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Committee may award other types of equity-based or cash-based awards under the 2021 Incentive Plan, including the grant or offer for sale of shares of our common stock that do not have vesting requirements and the right to receive one or more cash payments subject to satisfaction of such conditions as the Committee may impose.</w:t>
      </w:r>
    </w:p>
    <w:p>
      <w:pPr>
        <w:spacing w:after="0" w:line="172"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57</w:t>
      </w:r>
    </w:p>
    <w:p>
      <w:pPr>
        <w:sectPr>
          <w:pgSz w:w="11880" w:h="15480" w:orient="portrait"/>
          <w:cols w:equalWidth="0" w:num="1">
            <w:col w:w="10140"/>
          </w:cols>
          <w:pgMar w:left="880" w:top="544" w:right="860" w:bottom="96" w:gutter="0" w:footer="0" w:header="0"/>
        </w:sectPr>
      </w:pPr>
    </w:p>
    <w:bookmarkStart w:id="61" w:name="page62"/>
    <w:bookmarkEnd w:id="61"/>
    <w:p>
      <w:pPr>
        <w:spacing w:after="0"/>
        <w:rPr>
          <w:sz w:val="20"/>
          <w:szCs w:val="20"/>
          <w:color w:val="auto"/>
        </w:rPr>
      </w:pPr>
      <w:r>
        <w:rPr>
          <w:rFonts w:ascii="Arial" w:cs="Arial" w:eastAsia="Arial" w:hAnsi="Arial"/>
          <w:sz w:val="16"/>
          <w:szCs w:val="16"/>
          <w:color w:val="202020"/>
        </w:rPr>
        <w:t>Proposal 3: Approval of an Amendment to the 2021 Omnibus Equity Incentive Plan</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202020"/>
        </w:rPr>
        <w:t>Effect of Certain Corporate Transactions</w:t>
      </w:r>
      <w:r>
        <w:rPr>
          <w:rFonts w:ascii="Arial" w:cs="Arial" w:eastAsia="Arial" w:hAnsi="Arial"/>
          <w:sz w:val="18"/>
          <w:szCs w:val="18"/>
          <w:b w:val="1"/>
          <w:b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The Committee may, at the time of the grant of an award provide for the</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effect of a change in control (as defined in the 2021 Incentive Plan) on any award, including (i) accelerating or extending the time periods for exercising, vesting in, or realizing gain from any award, (ii) eliminating or modifying the performance or other conditions of an award, or (iii) providing for the cash settlement of an award for an equivalent cash value, as determined by the Committee. The Committee may, in its discretion and without the need for the consent of any recipient of an award, also take one or more of the following actions contingent upon the occurrence of a change in control:</w:t>
      </w:r>
    </w:p>
    <w:p>
      <w:pPr>
        <w:spacing w:after="0" w:line="5" w:lineRule="exact"/>
        <w:rPr>
          <w:sz w:val="20"/>
          <w:szCs w:val="20"/>
          <w:color w:val="auto"/>
        </w:rPr>
      </w:pPr>
    </w:p>
    <w:p>
      <w:pPr>
        <w:jc w:val="center"/>
        <w:ind w:right="20" w:firstLine="1"/>
        <w:spacing w:after="0" w:line="249" w:lineRule="auto"/>
        <w:tabs>
          <w:tab w:leader="none" w:pos="253" w:val="left"/>
        </w:tabs>
        <w:numPr>
          <w:ilvl w:val="0"/>
          <w:numId w:val="44"/>
        </w:numPr>
        <w:rPr>
          <w:rFonts w:ascii="Arial" w:cs="Arial" w:eastAsia="Arial" w:hAnsi="Arial"/>
          <w:sz w:val="18"/>
          <w:szCs w:val="18"/>
          <w:color w:val="202020"/>
        </w:rPr>
      </w:pPr>
      <w:r>
        <w:rPr>
          <w:rFonts w:ascii="Arial" w:cs="Arial" w:eastAsia="Arial" w:hAnsi="Arial"/>
          <w:sz w:val="18"/>
          <w:szCs w:val="18"/>
          <w:color w:val="202020"/>
        </w:rPr>
        <w:t>cause any or all outstanding options and SARs to become immediately exercisable, in whole or in part; (b) cause any other awards to become non-forfeitable, in whole or in part; (c) cancel any option or SAR in exchange for a substitute option;</w:t>
      </w:r>
    </w:p>
    <w:p>
      <w:pPr>
        <w:spacing w:after="0" w:line="1" w:lineRule="exact"/>
        <w:rPr>
          <w:rFonts w:ascii="Arial" w:cs="Arial" w:eastAsia="Arial" w:hAnsi="Arial"/>
          <w:sz w:val="18"/>
          <w:szCs w:val="18"/>
          <w:color w:val="202020"/>
        </w:rPr>
      </w:pPr>
    </w:p>
    <w:p>
      <w:pPr>
        <w:ind w:right="40" w:firstLine="1"/>
        <w:spacing w:after="0" w:line="249" w:lineRule="auto"/>
        <w:tabs>
          <w:tab w:leader="none" w:pos="263" w:val="left"/>
        </w:tabs>
        <w:numPr>
          <w:ilvl w:val="0"/>
          <w:numId w:val="45"/>
        </w:numPr>
        <w:rPr>
          <w:rFonts w:ascii="Arial" w:cs="Arial" w:eastAsia="Arial" w:hAnsi="Arial"/>
          <w:sz w:val="18"/>
          <w:szCs w:val="18"/>
          <w:color w:val="202020"/>
        </w:rPr>
      </w:pPr>
      <w:r>
        <w:rPr>
          <w:rFonts w:ascii="Arial" w:cs="Arial" w:eastAsia="Arial" w:hAnsi="Arial"/>
          <w:sz w:val="18"/>
          <w:szCs w:val="18"/>
          <w:color w:val="202020"/>
        </w:rPr>
        <w:t>cancel any award of restricted stock, restricted stock units, performance shares or performance units in exchange for a similar award of the capital stock of any successor corporation; (e) redeem any restricted stock for cash and/or other substitute consideration with a value equal to the fair market value of an unrestricted share of our common stock on the date of the change in control; (f) cancel any awards in exchange for cash and/or other property equal to the amount, if any, that would have been attained upon the exercise of such award or realization of rights upon a change in control;</w:t>
      </w:r>
    </w:p>
    <w:p>
      <w:pPr>
        <w:spacing w:after="0" w:line="3" w:lineRule="exact"/>
        <w:rPr>
          <w:rFonts w:ascii="Arial" w:cs="Arial" w:eastAsia="Arial" w:hAnsi="Arial"/>
          <w:sz w:val="18"/>
          <w:szCs w:val="18"/>
          <w:color w:val="202020"/>
        </w:rPr>
      </w:pPr>
    </w:p>
    <w:p>
      <w:pPr>
        <w:ind w:right="20" w:firstLine="1"/>
        <w:spacing w:after="0" w:line="271" w:lineRule="auto"/>
        <w:tabs>
          <w:tab w:leader="none" w:pos="251" w:val="left"/>
        </w:tabs>
        <w:numPr>
          <w:ilvl w:val="0"/>
          <w:numId w:val="46"/>
        </w:numPr>
        <w:rPr>
          <w:rFonts w:ascii="Arial" w:cs="Arial" w:eastAsia="Arial" w:hAnsi="Arial"/>
          <w:sz w:val="18"/>
          <w:szCs w:val="18"/>
          <w:color w:val="202020"/>
        </w:rPr>
      </w:pPr>
      <w:r>
        <w:rPr>
          <w:rFonts w:ascii="Arial" w:cs="Arial" w:eastAsia="Arial" w:hAnsi="Arial"/>
          <w:sz w:val="18"/>
          <w:szCs w:val="18"/>
          <w:color w:val="202020"/>
        </w:rPr>
        <w:t>cancel any outstanding underwater options or SARs for no consideration; or (h) take any other action the Committee deems necessary or appropriate to carry out the terms of any definitive agreement controlling the terms and conditions of the change in control.</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202020"/>
        </w:rPr>
        <w:t xml:space="preserve">Clawback/Recoupment. </w:t>
      </w:r>
      <w:r>
        <w:rPr>
          <w:rFonts w:ascii="Arial" w:cs="Arial" w:eastAsia="Arial" w:hAnsi="Arial"/>
          <w:sz w:val="18"/>
          <w:szCs w:val="18"/>
          <w:color w:val="202020"/>
        </w:rPr>
        <w:t>Awards granted under the 2021 Incentive Plan will be subject to the requirement that the</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awards be forfeited or amounts repaid to the Company after they have been distributed to the participant (i) to the extent set forth in an award agreement or (ii) to the extent covered by any clawback or recapture policy adopted by the Company from time to time, or any applicable laws that impose mandatory forfeiture or recoupment, under circumstances set forth in such applicable laws.</w:t>
      </w:r>
    </w:p>
    <w:p>
      <w:pPr>
        <w:spacing w:after="0" w:line="33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202020"/>
        </w:rPr>
        <w:t>Amendment, Termination</w:t>
      </w:r>
      <w:r>
        <w:rPr>
          <w:rFonts w:ascii="Arial" w:cs="Arial" w:eastAsia="Arial" w:hAnsi="Arial"/>
          <w:sz w:val="18"/>
          <w:szCs w:val="18"/>
          <w:b w:val="1"/>
          <w:bCs w:val="1"/>
          <w:color w:val="202020"/>
        </w:rPr>
        <w:t>.</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Our Board may at any time amend the 2021 Incentive Plan for the purpose of satisfying the</w:t>
      </w:r>
      <w:r>
        <w:rPr>
          <w:rFonts w:ascii="Arial" w:cs="Arial" w:eastAsia="Arial" w:hAnsi="Arial"/>
          <w:sz w:val="18"/>
          <w:szCs w:val="18"/>
          <w:b w:val="1"/>
          <w:bCs w:val="1"/>
          <w:i w:val="1"/>
          <w:iCs w:val="1"/>
          <w:color w:val="202020"/>
        </w:rPr>
        <w:t xml:space="preserve"> </w:t>
      </w:r>
      <w:r>
        <w:rPr>
          <w:rFonts w:ascii="Arial" w:cs="Arial" w:eastAsia="Arial" w:hAnsi="Arial"/>
          <w:sz w:val="18"/>
          <w:szCs w:val="18"/>
          <w:color w:val="202020"/>
        </w:rPr>
        <w:t>requirements of the Code, or other applicable law or regulation or for any other legal purpose, provided that, without the consent of our stockholders, the Board may not (a) increase the number of shares of common stock available under the 2021 Incentive Plan, (b) change the group of individuals eligible to receive awards, (c) extend the term of the 2021 Incentive Plan, or (d) reduce or reprice the exercise price of any stock option and/or SAR or cancel any stock option and/or SAR in exchange for cash or another award.</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Other Information</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202020"/>
        </w:rPr>
        <w:t>A “new plan benefits” table, as described in the SEC’s proxy rules, is not provided because the grant of options and other awards under the 2021 Incentive Plan is discretionary, and we cannot determine now the specific number or type of options or awards to be granted in the future to any particular person or group. However, please refer to “Executive Compensation” in this Proxy Statement, which provides information on the grants made in the previous fiscal year, and please refer to the description of grants made to our non-employee directors in the last previous year under the heading “Director Compensation” in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Material Federal Income Tax Consequences</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6"/>
          <w:szCs w:val="16"/>
          <w:color w:val="202020"/>
        </w:rPr>
        <w:t>THE FOLLOWING IS A BRIEF SUMMARY OF THE EFFECT OF FEDERAL INCOME TAXATION UPON THE PARTICIPANTS AND THE COMPANY WITH RESPECT TO THE PURCHASE OF SHARES UNDER THE 2021 INCENTIVE PLAN. THIS SUMMARY DOES NOT PURPORT TO BE COMPLETE AND DOES NOT ADDRESS THE FEDERAL INCOME TAX CONSEQUENCES TO TAXPAYERS WITH SPECIAL TAX STATUS. IN ADDITION, THIS SUMMARY DOES NOT DISCUSS THE PROVISIONS OF THE INCOME TAX LAWS OF ANY MUNICIPALITY, STATE OR FOREIGN COUNTRY IN WHICH THE PARTICIPANT MAY RESIDE, AND DOES NOT DISCUSS ESTATE, GIFT OR OTHER TAX CONSEQUENCES OTHER THAN INCOME TAX CONSEQUENCES. THE COMPANY ADVISES EACH PARTICIPANT TO CONSULT HIS OR HER OWN TAX ADVISOR REGARDING THE TAX CONSEQUENCES OF PARTICIPATION IN THE 2021 INCENTIVE PLAN AND FOR REFERENCE TO APPLICABLE PROVISIONS OF THE CODE.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Treatment of Options</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202020"/>
        </w:rPr>
        <w:t>The Code treats incentive stock options and nonstatutory stock options differently. However, as to both types of options, no income will be recognized to the optionee at the time of the grant of the options under the 2021 Incentive Plan, nor will our Company be entitled to a tax deduction at that time.</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02020"/>
        </w:rPr>
        <w:t>Generally, upon exercise of a nonstatutory stock option (including an option intended to be an incentive stock option but which has not continued to so qualify at the time of exercise), an optionee will recognize ordinary income tax on the excess of the fair market value of the stock on the exercise date over the option price. Our Company will be entitled to a tax deduction in an amount equal to the ordinary income recognized by the optionee in the fiscal year which includes the end of the optionee’s taxable year. We will be required to satisfy applicable withholding requirements in order to be entitled to a tax deduction. In general, if an optionee, in exercising a nonstatutory stock option, tenders shares of our common stock in partial or full payment of the option price, no gain or loss will be recognized on the tender. However, if</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58 |</w:t>
        <w:tab/>
        <w:t>Celldex Therapeutics</w:t>
      </w:r>
    </w:p>
    <w:p>
      <w:pPr>
        <w:sectPr>
          <w:pgSz w:w="11880" w:h="15480" w:orient="portrait"/>
          <w:cols w:equalWidth="0" w:num="1">
            <w:col w:w="10140"/>
          </w:cols>
          <w:pgMar w:left="880" w:top="544" w:right="860" w:bottom="96" w:gutter="0" w:footer="0" w:header="0"/>
        </w:sectPr>
      </w:pPr>
    </w:p>
    <w:bookmarkStart w:id="62" w:name="page63"/>
    <w:bookmarkEnd w:id="62"/>
    <w:p>
      <w:pPr>
        <w:ind w:left="4020"/>
        <w:spacing w:after="0"/>
        <w:rPr>
          <w:sz w:val="20"/>
          <w:szCs w:val="20"/>
          <w:color w:val="auto"/>
        </w:rPr>
      </w:pPr>
      <w:r>
        <w:rPr>
          <w:rFonts w:ascii="Arial" w:cs="Arial" w:eastAsia="Arial" w:hAnsi="Arial"/>
          <w:sz w:val="16"/>
          <w:szCs w:val="16"/>
          <w:color w:val="202020"/>
        </w:rPr>
        <w:t>Proposal 3: Approval of an Amendment to the 2021 Omnibus Equity Incentive Plan</w:t>
      </w:r>
    </w:p>
    <w:p>
      <w:pPr>
        <w:spacing w:after="0" w:line="21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202020"/>
        </w:rPr>
        <w:t>the tendered shares were previously acquired upon the exercise of an incentive stock option and the tender is within two years from the date of grant or one year after the date of exercise of the incentive stock option, the tender will be a disqualifying disposition of the shares acquired upon exercise of the incentive stock option.</w:t>
      </w:r>
    </w:p>
    <w:p>
      <w:pPr>
        <w:spacing w:after="0" w:line="107" w:lineRule="exact"/>
        <w:rPr>
          <w:sz w:val="20"/>
          <w:szCs w:val="20"/>
          <w:color w:val="auto"/>
        </w:rPr>
      </w:pPr>
    </w:p>
    <w:p>
      <w:pPr>
        <w:spacing w:after="0" w:line="252" w:lineRule="auto"/>
        <w:rPr>
          <w:sz w:val="20"/>
          <w:szCs w:val="20"/>
          <w:color w:val="auto"/>
        </w:rPr>
      </w:pPr>
      <w:r>
        <w:rPr>
          <w:rFonts w:ascii="Arial" w:cs="Arial" w:eastAsia="Arial" w:hAnsi="Arial"/>
          <w:sz w:val="18"/>
          <w:szCs w:val="18"/>
          <w:color w:val="202020"/>
        </w:rPr>
        <w:t>For incentive stock options, there is no taxable income to an optionee at the time of exercise. However, the excess of the fair market value of the stock on the date of exercise over the exercise price will be taken into account in determining whether the “alternative minimum tax” will apply for the year of exercise. If the shares acquired upon exercise are held until at least two years from the date of grant and more than one year from the date of exercise, any gain or loss upon the sale of such shares, if held as capital assets, will be long-term capital gain or loss (measured by the difference between the sales price of the stock and the exercise price). Under current federal income tax law, a long-term capital gain will be taxed at a rate which is less than the maximum rate of tax on ordinary income. If the two-year and one year holding period requirements are not met (a “disqualifying disposition”), an optionee will recognize ordinary income in the year of disposition in an amount equal to the lesser of (i) the fair market value of the stock on the date of exercise minus the exercise price or (ii) the amount realized on disposition minus the exercise price. The remainder of the gain will be treated as long-term capital gain, depending upon whether the stock has been held for more than a year. If an optionee makes a disqualifying disposition, our Company will be entitled to a tax deduction equal to the amount of ordinary income recognized by the optionee.</w:t>
      </w:r>
    </w:p>
    <w:p>
      <w:pPr>
        <w:spacing w:after="0" w:line="34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202020"/>
        </w:rPr>
        <w:t>In general, if an optionee, in exercising an incentive stock option, tenders shares of common stock in partial or full payment of the option price, no gain or loss will be recognized on the tender. However, if the tendered shares were previously acquired upon the exercise of another incentive stock option and the tender is within two years from the date of grant or one year after the date of exercise of the other option, the tender will be a disqualifying disposition of the shares acquired upon exercise of the other option.</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202020"/>
        </w:rPr>
        <w:t>As noted above, the exercise of an incentive stock option could subject an optionee to the alternative minimum tax. The application of the alternative minimum tax to any particular optionee depends upon the particular facts and circumstances which exist with respect to the optionee in the year of exercise. However, as a general rule, the amount by which the fair market value of the common stock on the date of exercise of an option exceeds the exercise price of the option will constitute an item of “adjustment” for purposes of determining the alternative minimum taxable income on which the alternative tax may be imposed. As such, this item will enter into the tax base on which the alternative minimum tax is computed, and may therefore cause the alternative minimum tax to become applicable in any given year.</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Treatment of Stock Appreciation Rights</w:t>
      </w:r>
    </w:p>
    <w:p>
      <w:pPr>
        <w:spacing w:after="0" w:line="18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202020"/>
        </w:rPr>
        <w:t>Generally, the recipient of a SAR will not recognize any income upon grant of the SAR, nor will our Company be entitled to a deduction at that time. Upon exercise of a SAR, the holder will recognize ordinary income, and our Company generally will be entitled to a corresponding deduction, equal to the fair market value of our common stock at that time.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Treatment of Stock Awards</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8"/>
          <w:szCs w:val="18"/>
          <w:color w:val="202020"/>
        </w:rPr>
        <w:t>Generally, absent an election to be taxed currently under Section 83(b) of the Code (a “Section 83(b) Election”), there will be no federal income tax consequences to either the recipient or our Company upon the grant of a restricted stock award. At the expiration of the restriction period and the satisfaction of any other restrictions applicable to the restricted shares, the recipient will recognize ordinary income and our Company generally will be entitled to a corresponding deduction equal to the fair market value of the common stock at that time. If a Section 83(b) Election is made within</w:t>
      </w:r>
    </w:p>
    <w:p>
      <w:pPr>
        <w:spacing w:after="0" w:line="4" w:lineRule="exact"/>
        <w:rPr>
          <w:sz w:val="20"/>
          <w:szCs w:val="20"/>
          <w:color w:val="auto"/>
        </w:rPr>
      </w:pPr>
    </w:p>
    <w:p>
      <w:pPr>
        <w:spacing w:after="0" w:line="257" w:lineRule="auto"/>
        <w:rPr>
          <w:sz w:val="20"/>
          <w:szCs w:val="20"/>
          <w:color w:val="auto"/>
        </w:rPr>
      </w:pPr>
      <w:r>
        <w:rPr>
          <w:rFonts w:ascii="Arial" w:cs="Arial" w:eastAsia="Arial" w:hAnsi="Arial"/>
          <w:sz w:val="18"/>
          <w:szCs w:val="18"/>
          <w:color w:val="202020"/>
        </w:rPr>
        <w:t>30 days after the date the restricted stock award is granted, the recipient will recognize an amount of ordinary income at the time of the receipt of the restricted shares, and our Company generally will be entitled to a corresponding deduction, equal to the fair market value (determined without regard to applicable restrictions) of the shares at such time, less any amount paid by the recipient for the shares. If a Section 83(b) Election is made, no additional income will be recognized by the recipient upon the lapse of restrictions on the shares (and prior to the sale of such shares), but, if the shares are subsequently forfeited, the recipient may not deduct the income that was recognized pursuant to the Section 83(b) Election at the time of the receipt of the shares.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202020"/>
        </w:rPr>
        <w:t>The recipient of an unrestricted stock award will recognize ordinary income, and our Company generally will be entitled to a corresponding deduction, equal to the fair market value of our common stock that is the subject of the award when the award is made.</w:t>
      </w:r>
    </w:p>
    <w:p>
      <w:pPr>
        <w:spacing w:after="0" w:line="105" w:lineRule="exact"/>
        <w:rPr>
          <w:sz w:val="20"/>
          <w:szCs w:val="20"/>
          <w:color w:val="auto"/>
        </w:rPr>
      </w:pPr>
    </w:p>
    <w:p>
      <w:pPr>
        <w:spacing w:after="0" w:line="264" w:lineRule="auto"/>
        <w:rPr>
          <w:sz w:val="20"/>
          <w:szCs w:val="20"/>
          <w:color w:val="auto"/>
        </w:rPr>
      </w:pPr>
      <w:r>
        <w:rPr>
          <w:rFonts w:ascii="Arial" w:cs="Arial" w:eastAsia="Arial" w:hAnsi="Arial"/>
          <w:sz w:val="18"/>
          <w:szCs w:val="18"/>
          <w:color w:val="202020"/>
        </w:rPr>
        <w:t>The recipient of a restricted stock unit will recognize ordinary income as and when the units vest and shares of our common stock are issued. The amount of the income will be equal to the fair market value of the shares of our common stock issued at that time, and our Company will be entitled to a corresponding deduction. The recipient of a restricted stock unit will not be permitted to make a Section 83(b) Election with respect to such award.</w:t>
      </w:r>
    </w:p>
    <w:p>
      <w:pPr>
        <w:spacing w:after="0" w:line="11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202020"/>
        </w:rPr>
        <w:t>The federal income tax consequences of performance share awards, performance unit awards, incentive bonus awards, other cash-based awards and other stock-based awards will depend on the terms and conditions of those awards but, in</w:t>
      </w:r>
    </w:p>
    <w:p>
      <w:pPr>
        <w:spacing w:after="0" w:line="150"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59</w:t>
      </w:r>
    </w:p>
    <w:p>
      <w:pPr>
        <w:sectPr>
          <w:pgSz w:w="11880" w:h="15480" w:orient="portrait"/>
          <w:cols w:equalWidth="0" w:num="1">
            <w:col w:w="10120"/>
          </w:cols>
          <w:pgMar w:left="880" w:top="544" w:right="880" w:bottom="96" w:gutter="0" w:footer="0" w:header="0"/>
        </w:sectPr>
      </w:pPr>
    </w:p>
    <w:bookmarkStart w:id="63" w:name="page64"/>
    <w:bookmarkEnd w:id="63"/>
    <w:p>
      <w:pPr>
        <w:spacing w:after="0"/>
        <w:rPr>
          <w:sz w:val="20"/>
          <w:szCs w:val="20"/>
          <w:color w:val="auto"/>
        </w:rPr>
      </w:pPr>
      <w:r>
        <w:rPr>
          <w:rFonts w:ascii="Arial" w:cs="Arial" w:eastAsia="Arial" w:hAnsi="Arial"/>
          <w:sz w:val="16"/>
          <w:szCs w:val="16"/>
          <w:color w:val="202020"/>
        </w:rPr>
        <w:t>Proposal 3: Approval of an Amendment to the 2021 Omnibus Equity Incentive Plan</w:t>
      </w:r>
    </w:p>
    <w:p>
      <w:pPr>
        <w:spacing w:after="0" w:line="21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202020"/>
        </w:rPr>
        <w:t>general, participants will be required to recognize ordinary income in an amount equal to the cash and the fair market value of any fully vested shares of our common stock paid, determined at the time of such payment, in connection with such awards.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Section 409A</w:t>
      </w:r>
    </w:p>
    <w:p>
      <w:pPr>
        <w:spacing w:after="0" w:line="180" w:lineRule="exact"/>
        <w:rPr>
          <w:sz w:val="20"/>
          <w:szCs w:val="20"/>
          <w:color w:val="auto"/>
        </w:rPr>
      </w:pPr>
    </w:p>
    <w:p>
      <w:pPr>
        <w:jc w:val="both"/>
        <w:ind w:right="260"/>
        <w:spacing w:after="0" w:line="280" w:lineRule="auto"/>
        <w:rPr>
          <w:sz w:val="20"/>
          <w:szCs w:val="20"/>
          <w:color w:val="auto"/>
        </w:rPr>
      </w:pPr>
      <w:r>
        <w:rPr>
          <w:rFonts w:ascii="Arial" w:cs="Arial" w:eastAsia="Arial" w:hAnsi="Arial"/>
          <w:sz w:val="18"/>
          <w:szCs w:val="18"/>
          <w:color w:val="202020"/>
        </w:rPr>
        <w:t>If an award is subject to Section 409A of the Code, but does not comply with the requirements of Section 409A of the Code, the taxable events as described above could apply earlier than described, and could result in the imposition of additional taxes and penalties. Participants are urged to consult with their tax advisors regarding the applicability of Section 409A of the Code to their awards.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Potential Limitation on Company Deductions</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8"/>
          <w:szCs w:val="18"/>
          <w:color w:val="202020"/>
        </w:rPr>
        <w:t>Section 162(m) of the Code generally disallows a tax deduction for compensation in excess of $1 million paid in a taxable year by a publicly held corporation to its chief executive officer and certain other “covered employees”. The Board and the Committee intend to consider the potential impact of Section 162(m) on grants made under the 2021 Incentive Plan, but reserve the right to approve grants of awards for an executive officer that exceeds the deduction limit of Section 162(m).</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Restrictions on Resale</w:t>
      </w:r>
    </w:p>
    <w:p>
      <w:pPr>
        <w:spacing w:after="0" w:line="18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202020"/>
        </w:rPr>
        <w:t>Certain officers and directors of the Company may be deemed to be “affiliates” of the Company as that term is defined under the Securities Act. The common stock acquired under the 2021 Incentive Plan by an affiliate may be reoffered or resold only pursuant to an effective registration statement or pursuant to Rule 144 under the Securities Act or another exemption from the registration requirements of the Securities Act. It is intended that the shares issuable pursuant to the 2021 Incentive Plan will be registered under the Securities Act of 1933, as amended.</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Tax Withholding</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color w:val="202020"/>
        </w:rPr>
        <w:t>Under the amendment, the Company may require, as a condition to the grant, vesting, settlement, or delivery of any award, the satisfaction of applicable federal, state, local, and foreign tax withholding obligations. To satisfy such obligations, the Committee is authorized, in its discretion and subject to applicable law, to (i) require cash payments by the participant,</w:t>
      </w:r>
    </w:p>
    <w:p>
      <w:pPr>
        <w:ind w:firstLine="1"/>
        <w:spacing w:after="0" w:line="266" w:lineRule="auto"/>
        <w:tabs>
          <w:tab w:leader="none" w:pos="244" w:val="left"/>
        </w:tabs>
        <w:numPr>
          <w:ilvl w:val="0"/>
          <w:numId w:val="47"/>
        </w:numPr>
        <w:rPr>
          <w:rFonts w:ascii="Arial" w:cs="Arial" w:eastAsia="Arial" w:hAnsi="Arial"/>
          <w:sz w:val="18"/>
          <w:szCs w:val="18"/>
          <w:color w:val="202020"/>
        </w:rPr>
      </w:pPr>
      <w:r>
        <w:rPr>
          <w:rFonts w:ascii="Arial" w:cs="Arial" w:eastAsia="Arial" w:hAnsi="Arial"/>
          <w:sz w:val="18"/>
          <w:szCs w:val="18"/>
          <w:color w:val="202020"/>
        </w:rPr>
        <w:t>withhold from any amounts otherwise payable in cash to the participant, (iii) withhold a number of whole shares otherwise issuable with respect to the award having an aggregate fair market value equal to the amount of such obligations,</w:t>
      </w:r>
    </w:p>
    <w:p>
      <w:pPr>
        <w:ind w:firstLine="1"/>
        <w:spacing w:after="0" w:line="273" w:lineRule="auto"/>
        <w:tabs>
          <w:tab w:leader="none" w:pos="288" w:val="left"/>
        </w:tabs>
        <w:numPr>
          <w:ilvl w:val="0"/>
          <w:numId w:val="48"/>
        </w:numPr>
        <w:rPr>
          <w:rFonts w:ascii="Arial" w:cs="Arial" w:eastAsia="Arial" w:hAnsi="Arial"/>
          <w:sz w:val="18"/>
          <w:szCs w:val="18"/>
          <w:color w:val="202020"/>
        </w:rPr>
      </w:pPr>
      <w:r>
        <w:rPr>
          <w:rFonts w:ascii="Arial" w:cs="Arial" w:eastAsia="Arial" w:hAnsi="Arial"/>
          <w:sz w:val="18"/>
          <w:szCs w:val="18"/>
          <w:color w:val="202020"/>
        </w:rPr>
        <w:t>accept delivery by the participant to the Company of shares having an aggregate fair market value equal to the amount of such obligations, and/or (v) facilitate a sale of shares issued upon settlement to generate proceeds sufficient to satisfy such obligations. The number of shares withheld may not exceed such number as is necessary to satisfy the maximum statutory tax rates (or such lower rate as may be necessary to avoid adverse accounting treatment) in the participant’s applicable jurisdictions. Shares withheld or delivered to the Company pursuant to this provision shall not again be available for issuance under the 2021 Incentive Plan. For purposes of withholding, fair market value shall be determined pursuant to the Company’s consistently applied valuation method for tax withholding.</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New Plan Benefits</w:t>
      </w:r>
    </w:p>
    <w:p>
      <w:pPr>
        <w:spacing w:after="0" w:line="180"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202020"/>
        </w:rPr>
        <w:t>The grant of options and other awards under the 2021 Incentive Plan is discretionary, and we cannot determine now the number or type of options or other awards to be granted in the future to any particular person or group.</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Options granted under the 2021 Incentive Plan as of March 31, 2026</w:t>
      </w:r>
    </w:p>
    <w:p>
      <w:pPr>
        <w:spacing w:after="0" w:line="18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202020"/>
        </w:rPr>
        <w:t>Since the adoption of the 2021 Incentive Plan through March 31, 2026 we have granted the following stock options under the 2021 Incentive Plan to the individuals and groups listed below. In all cases, the securities underlying such stock options were shares of our common stock. As of the date hereof, we have granted only stock options and no other type of award under the 2021 Incentive Plan.</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60 |</w:t>
        <w:tab/>
        <w:t>Celldex Therapeutics</w:t>
      </w:r>
    </w:p>
    <w:p>
      <w:pPr>
        <w:sectPr>
          <w:pgSz w:w="11880" w:h="15480" w:orient="portrait"/>
          <w:cols w:equalWidth="0" w:num="1">
            <w:col w:w="10120"/>
          </w:cols>
          <w:pgMar w:left="880" w:top="544" w:right="880" w:bottom="96"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17"/>
        </w:trPr>
        <w:tc>
          <w:tcPr>
            <w:tcW w:w="10120" w:type="dxa"/>
            <w:vAlign w:val="bottom"/>
            <w:gridSpan w:val="2"/>
          </w:tcPr>
          <w:p>
            <w:pPr>
              <w:ind w:left="4020"/>
              <w:spacing w:after="0"/>
              <w:rPr>
                <w:sz w:val="20"/>
                <w:szCs w:val="20"/>
                <w:color w:val="auto"/>
              </w:rPr>
            </w:pPr>
            <w:r>
              <w:rPr>
                <w:rFonts w:ascii="Arial" w:cs="Arial" w:eastAsia="Arial" w:hAnsi="Arial"/>
                <w:sz w:val="16"/>
                <w:szCs w:val="16"/>
                <w:color w:val="202020"/>
              </w:rPr>
              <w:t>Proposal 3: Approval of an Amendment to the 2021 Omnibus Equity Incentive Plan</w:t>
            </w:r>
          </w:p>
        </w:tc>
      </w:tr>
      <w:tr>
        <w:trPr>
          <w:trHeight w:val="442"/>
        </w:trPr>
        <w:tc>
          <w:tcPr>
            <w:tcW w:w="6820" w:type="dxa"/>
            <w:vAlign w:val="bottom"/>
          </w:tcPr>
          <w:p>
            <w:pPr>
              <w:spacing w:after="0"/>
              <w:rPr>
                <w:sz w:val="24"/>
                <w:szCs w:val="24"/>
                <w:color w:val="auto"/>
              </w:rPr>
            </w:pPr>
          </w:p>
        </w:tc>
        <w:tc>
          <w:tcPr>
            <w:tcW w:w="3300" w:type="dxa"/>
            <w:vAlign w:val="bottom"/>
          </w:tcPr>
          <w:p>
            <w:pPr>
              <w:jc w:val="right"/>
              <w:spacing w:after="0"/>
              <w:rPr>
                <w:sz w:val="20"/>
                <w:szCs w:val="20"/>
                <w:color w:val="auto"/>
              </w:rPr>
            </w:pPr>
            <w:r>
              <w:rPr>
                <w:rFonts w:ascii="Arial" w:cs="Arial" w:eastAsia="Arial" w:hAnsi="Arial"/>
                <w:sz w:val="16"/>
                <w:szCs w:val="16"/>
                <w:b w:val="1"/>
                <w:bCs w:val="1"/>
                <w:color w:val="202020"/>
              </w:rPr>
              <w:t>Number of Shares</w:t>
            </w:r>
          </w:p>
        </w:tc>
      </w:tr>
      <w:tr>
        <w:trPr>
          <w:trHeight w:val="180"/>
        </w:trPr>
        <w:tc>
          <w:tcPr>
            <w:tcW w:w="6820" w:type="dxa"/>
            <w:vAlign w:val="bottom"/>
          </w:tcPr>
          <w:p>
            <w:pPr>
              <w:spacing w:after="0"/>
              <w:rPr>
                <w:sz w:val="15"/>
                <w:szCs w:val="15"/>
                <w:color w:val="auto"/>
              </w:rPr>
            </w:pPr>
          </w:p>
        </w:tc>
        <w:tc>
          <w:tcPr>
            <w:tcW w:w="3300" w:type="dxa"/>
            <w:vAlign w:val="bottom"/>
          </w:tcPr>
          <w:p>
            <w:pPr>
              <w:jc w:val="right"/>
              <w:spacing w:after="0" w:line="180" w:lineRule="exact"/>
              <w:rPr>
                <w:sz w:val="20"/>
                <w:szCs w:val="20"/>
                <w:color w:val="auto"/>
              </w:rPr>
            </w:pPr>
            <w:r>
              <w:rPr>
                <w:rFonts w:ascii="Arial" w:cs="Arial" w:eastAsia="Arial" w:hAnsi="Arial"/>
                <w:sz w:val="16"/>
                <w:szCs w:val="16"/>
                <w:b w:val="1"/>
                <w:bCs w:val="1"/>
                <w:color w:val="202020"/>
              </w:rPr>
              <w:t>Subject to Stock</w:t>
            </w:r>
          </w:p>
        </w:tc>
      </w:tr>
      <w:tr>
        <w:trPr>
          <w:trHeight w:val="217"/>
        </w:trPr>
        <w:tc>
          <w:tcPr>
            <w:tcW w:w="6820" w:type="dxa"/>
            <w:vAlign w:val="bottom"/>
          </w:tcPr>
          <w:p>
            <w:pPr>
              <w:ind w:left="60"/>
              <w:spacing w:after="0"/>
              <w:rPr>
                <w:sz w:val="20"/>
                <w:szCs w:val="20"/>
                <w:color w:val="auto"/>
              </w:rPr>
            </w:pPr>
            <w:r>
              <w:rPr>
                <w:rFonts w:ascii="Arial" w:cs="Arial" w:eastAsia="Arial" w:hAnsi="Arial"/>
                <w:sz w:val="16"/>
                <w:szCs w:val="16"/>
                <w:b w:val="1"/>
                <w:bCs w:val="1"/>
                <w:color w:val="202020"/>
              </w:rPr>
              <w:t>Name and Position</w:t>
            </w:r>
          </w:p>
        </w:tc>
        <w:tc>
          <w:tcPr>
            <w:tcW w:w="3300" w:type="dxa"/>
            <w:vAlign w:val="bottom"/>
          </w:tcPr>
          <w:p>
            <w:pPr>
              <w:jc w:val="right"/>
              <w:spacing w:after="0"/>
              <w:rPr>
                <w:sz w:val="20"/>
                <w:szCs w:val="20"/>
                <w:color w:val="auto"/>
              </w:rPr>
            </w:pPr>
            <w:r>
              <w:rPr>
                <w:rFonts w:ascii="Arial" w:cs="Arial" w:eastAsia="Arial" w:hAnsi="Arial"/>
                <w:sz w:val="16"/>
                <w:szCs w:val="16"/>
                <w:b w:val="1"/>
                <w:bCs w:val="1"/>
                <w:color w:val="202020"/>
              </w:rPr>
              <w:t>Options</w:t>
            </w:r>
          </w:p>
        </w:tc>
      </w:tr>
      <w:tr>
        <w:trPr>
          <w:trHeight w:val="44"/>
        </w:trPr>
        <w:tc>
          <w:tcPr>
            <w:tcW w:w="6820" w:type="dxa"/>
            <w:vAlign w:val="bottom"/>
            <w:tcBorders>
              <w:bottom w:val="single" w:sz="8" w:color="202020"/>
            </w:tcBorders>
          </w:tcPr>
          <w:p>
            <w:pPr>
              <w:spacing w:after="0"/>
              <w:rPr>
                <w:sz w:val="3"/>
                <w:szCs w:val="3"/>
                <w:color w:val="auto"/>
              </w:rPr>
            </w:pPr>
          </w:p>
        </w:tc>
        <w:tc>
          <w:tcPr>
            <w:tcW w:w="3300" w:type="dxa"/>
            <w:vAlign w:val="bottom"/>
            <w:tcBorders>
              <w:bottom w:val="single" w:sz="8" w:color="202020"/>
            </w:tcBorders>
          </w:tcPr>
          <w:p>
            <w:pPr>
              <w:spacing w:after="0"/>
              <w:rPr>
                <w:sz w:val="3"/>
                <w:szCs w:val="3"/>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b w:val="1"/>
                <w:bCs w:val="1"/>
                <w:color w:val="202020"/>
              </w:rPr>
              <w:t>Named Executive Officers</w:t>
            </w:r>
          </w:p>
        </w:tc>
        <w:tc>
          <w:tcPr>
            <w:tcW w:w="3300" w:type="dxa"/>
            <w:vAlign w:val="bottom"/>
            <w:tcBorders>
              <w:bottom w:val="single" w:sz="8" w:color="E9E9E9"/>
            </w:tcBorders>
            <w:shd w:val="clear" w:color="auto" w:fill="E9E9E9"/>
          </w:tcPr>
          <w:p>
            <w:pPr>
              <w:spacing w:after="0"/>
              <w:rPr>
                <w:sz w:val="20"/>
                <w:szCs w:val="20"/>
                <w:color w:val="auto"/>
              </w:rPr>
            </w:pPr>
          </w:p>
        </w:tc>
      </w:tr>
      <w:tr>
        <w:trPr>
          <w:trHeight w:val="209"/>
        </w:trPr>
        <w:tc>
          <w:tcPr>
            <w:tcW w:w="682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3300" w:type="dxa"/>
            <w:vAlign w:val="bottom"/>
          </w:tcPr>
          <w:p>
            <w:pPr>
              <w:spacing w:after="0"/>
              <w:rPr>
                <w:sz w:val="18"/>
                <w:szCs w:val="18"/>
                <w:color w:val="auto"/>
              </w:rPr>
            </w:pPr>
          </w:p>
        </w:tc>
      </w:tr>
      <w:tr>
        <w:trPr>
          <w:trHeight w:val="217"/>
        </w:trPr>
        <w:tc>
          <w:tcPr>
            <w:tcW w:w="6820" w:type="dxa"/>
            <w:vAlign w:val="bottom"/>
          </w:tcPr>
          <w:p>
            <w:pPr>
              <w:ind w:left="60"/>
              <w:spacing w:after="0"/>
              <w:rPr>
                <w:sz w:val="20"/>
                <w:szCs w:val="20"/>
                <w:color w:val="auto"/>
              </w:rPr>
            </w:pPr>
            <w:r>
              <w:rPr>
                <w:rFonts w:ascii="Arial" w:cs="Arial" w:eastAsia="Arial" w:hAnsi="Arial"/>
                <w:sz w:val="16"/>
                <w:szCs w:val="16"/>
                <w:i w:val="1"/>
                <w:iCs w:val="1"/>
                <w:color w:val="202020"/>
              </w:rPr>
              <w:t>President and Chief Executive Officer</w:t>
            </w:r>
          </w:p>
        </w:tc>
        <w:tc>
          <w:tcPr>
            <w:tcW w:w="3300" w:type="dxa"/>
            <w:vAlign w:val="bottom"/>
          </w:tcPr>
          <w:p>
            <w:pPr>
              <w:jc w:val="right"/>
              <w:spacing w:after="0"/>
              <w:rPr>
                <w:sz w:val="20"/>
                <w:szCs w:val="20"/>
                <w:color w:val="auto"/>
              </w:rPr>
            </w:pPr>
            <w:r>
              <w:rPr>
                <w:rFonts w:ascii="Arial" w:cs="Arial" w:eastAsia="Arial" w:hAnsi="Arial"/>
                <w:sz w:val="16"/>
                <w:szCs w:val="16"/>
                <w:color w:val="202020"/>
              </w:rPr>
              <w:t>1,324,000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09"/>
        </w:trPr>
        <w:tc>
          <w:tcPr>
            <w:tcW w:w="682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Tibor Keler, Ph.D.</w:t>
            </w:r>
          </w:p>
        </w:tc>
        <w:tc>
          <w:tcPr>
            <w:tcW w:w="3300" w:type="dxa"/>
            <w:vAlign w:val="bottom"/>
            <w:shd w:val="clear" w:color="auto" w:fill="E9E9E9"/>
          </w:tcPr>
          <w:p>
            <w:pPr>
              <w:spacing w:after="0"/>
              <w:rPr>
                <w:sz w:val="18"/>
                <w:szCs w:val="18"/>
                <w:color w:val="auto"/>
              </w:rPr>
            </w:pPr>
          </w:p>
        </w:tc>
      </w:tr>
      <w:tr>
        <w:trPr>
          <w:trHeight w:val="230"/>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i w:val="1"/>
                <w:iCs w:val="1"/>
                <w:color w:val="202020"/>
              </w:rPr>
              <w:t>Executive Vice President and Chief Scientific Officer</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460,000</w:t>
            </w:r>
          </w:p>
        </w:tc>
      </w:tr>
      <w:tr>
        <w:trPr>
          <w:trHeight w:val="209"/>
        </w:trPr>
        <w:tc>
          <w:tcPr>
            <w:tcW w:w="6820" w:type="dxa"/>
            <w:vAlign w:val="bottom"/>
          </w:tcPr>
          <w:p>
            <w:pPr>
              <w:ind w:left="60"/>
              <w:spacing w:after="0"/>
              <w:rPr>
                <w:sz w:val="20"/>
                <w:szCs w:val="20"/>
                <w:color w:val="auto"/>
              </w:rPr>
            </w:pPr>
            <w:r>
              <w:rPr>
                <w:rFonts w:ascii="Arial" w:cs="Arial" w:eastAsia="Arial" w:hAnsi="Arial"/>
                <w:sz w:val="16"/>
                <w:szCs w:val="16"/>
                <w:color w:val="202020"/>
              </w:rPr>
              <w:t>Elizabeth Crowley</w:t>
            </w:r>
          </w:p>
        </w:tc>
        <w:tc>
          <w:tcPr>
            <w:tcW w:w="3300" w:type="dxa"/>
            <w:vAlign w:val="bottom"/>
          </w:tcPr>
          <w:p>
            <w:pPr>
              <w:spacing w:after="0"/>
              <w:rPr>
                <w:sz w:val="18"/>
                <w:szCs w:val="18"/>
                <w:color w:val="auto"/>
              </w:rPr>
            </w:pPr>
          </w:p>
        </w:tc>
      </w:tr>
      <w:tr>
        <w:trPr>
          <w:trHeight w:val="217"/>
        </w:trPr>
        <w:tc>
          <w:tcPr>
            <w:tcW w:w="6820" w:type="dxa"/>
            <w:vAlign w:val="bottom"/>
          </w:tcPr>
          <w:p>
            <w:pPr>
              <w:ind w:left="60"/>
              <w:spacing w:after="0"/>
              <w:rPr>
                <w:sz w:val="20"/>
                <w:szCs w:val="20"/>
                <w:color w:val="auto"/>
              </w:rPr>
            </w:pPr>
            <w:r>
              <w:rPr>
                <w:rFonts w:ascii="Arial" w:cs="Arial" w:eastAsia="Arial" w:hAnsi="Arial"/>
                <w:sz w:val="16"/>
                <w:szCs w:val="16"/>
                <w:i w:val="1"/>
                <w:iCs w:val="1"/>
                <w:color w:val="202020"/>
              </w:rPr>
              <w:t>Senior Vice President, Chief Product Development Officer</w:t>
            </w:r>
          </w:p>
        </w:tc>
        <w:tc>
          <w:tcPr>
            <w:tcW w:w="3300" w:type="dxa"/>
            <w:vAlign w:val="bottom"/>
          </w:tcPr>
          <w:p>
            <w:pPr>
              <w:jc w:val="right"/>
              <w:spacing w:after="0"/>
              <w:rPr>
                <w:sz w:val="20"/>
                <w:szCs w:val="20"/>
                <w:color w:val="auto"/>
              </w:rPr>
            </w:pPr>
            <w:r>
              <w:rPr>
                <w:rFonts w:ascii="Arial" w:cs="Arial" w:eastAsia="Arial" w:hAnsi="Arial"/>
                <w:sz w:val="16"/>
                <w:szCs w:val="16"/>
                <w:color w:val="202020"/>
              </w:rPr>
              <w:t>385,000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09"/>
        </w:trPr>
        <w:tc>
          <w:tcPr>
            <w:tcW w:w="6820" w:type="dxa"/>
            <w:vAlign w:val="bottom"/>
            <w:shd w:val="clear" w:color="auto" w:fill="E9E9E9"/>
          </w:tcPr>
          <w:p>
            <w:pPr>
              <w:ind w:left="60"/>
              <w:spacing w:after="0"/>
              <w:rPr>
                <w:sz w:val="20"/>
                <w:szCs w:val="20"/>
                <w:color w:val="auto"/>
              </w:rPr>
            </w:pPr>
            <w:r>
              <w:rPr>
                <w:rFonts w:ascii="Arial" w:cs="Arial" w:eastAsia="Arial" w:hAnsi="Arial"/>
                <w:sz w:val="16"/>
                <w:szCs w:val="16"/>
                <w:color w:val="202020"/>
              </w:rPr>
              <w:t>Margo Heath-Chiozzi, M.D.</w:t>
            </w:r>
          </w:p>
        </w:tc>
        <w:tc>
          <w:tcPr>
            <w:tcW w:w="3300" w:type="dxa"/>
            <w:vAlign w:val="bottom"/>
            <w:shd w:val="clear" w:color="auto" w:fill="E9E9E9"/>
          </w:tcPr>
          <w:p>
            <w:pPr>
              <w:spacing w:after="0"/>
              <w:rPr>
                <w:sz w:val="18"/>
                <w:szCs w:val="18"/>
                <w:color w:val="auto"/>
              </w:rPr>
            </w:pPr>
          </w:p>
        </w:tc>
      </w:tr>
      <w:tr>
        <w:trPr>
          <w:trHeight w:val="230"/>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i w:val="1"/>
                <w:iCs w:val="1"/>
                <w:color w:val="202020"/>
              </w:rPr>
              <w:t>Senior Vice President, Regulatory Affairs</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383,500</w:t>
            </w:r>
          </w:p>
        </w:tc>
      </w:tr>
      <w:tr>
        <w:trPr>
          <w:trHeight w:val="209"/>
        </w:trPr>
        <w:tc>
          <w:tcPr>
            <w:tcW w:w="6820" w:type="dxa"/>
            <w:vAlign w:val="bottom"/>
          </w:tcPr>
          <w:p>
            <w:pPr>
              <w:ind w:left="60"/>
              <w:spacing w:after="0"/>
              <w:rPr>
                <w:sz w:val="20"/>
                <w:szCs w:val="20"/>
                <w:color w:val="auto"/>
              </w:rPr>
            </w:pPr>
            <w:r>
              <w:rPr>
                <w:rFonts w:ascii="Arial" w:cs="Arial" w:eastAsia="Arial" w:hAnsi="Arial"/>
                <w:sz w:val="16"/>
                <w:szCs w:val="16"/>
                <w:color w:val="202020"/>
              </w:rPr>
              <w:t>Sam Martin</w:t>
            </w:r>
          </w:p>
        </w:tc>
        <w:tc>
          <w:tcPr>
            <w:tcW w:w="3300" w:type="dxa"/>
            <w:vAlign w:val="bottom"/>
          </w:tcPr>
          <w:p>
            <w:pPr>
              <w:spacing w:after="0"/>
              <w:rPr>
                <w:sz w:val="18"/>
                <w:szCs w:val="18"/>
                <w:color w:val="auto"/>
              </w:rPr>
            </w:pPr>
          </w:p>
        </w:tc>
      </w:tr>
      <w:tr>
        <w:trPr>
          <w:trHeight w:val="217"/>
        </w:trPr>
        <w:tc>
          <w:tcPr>
            <w:tcW w:w="6820" w:type="dxa"/>
            <w:vAlign w:val="bottom"/>
          </w:tcPr>
          <w:p>
            <w:pPr>
              <w:ind w:left="60"/>
              <w:spacing w:after="0"/>
              <w:rPr>
                <w:sz w:val="20"/>
                <w:szCs w:val="20"/>
                <w:color w:val="auto"/>
              </w:rPr>
            </w:pPr>
            <w:r>
              <w:rPr>
                <w:rFonts w:ascii="Arial" w:cs="Arial" w:eastAsia="Arial" w:hAnsi="Arial"/>
                <w:sz w:val="16"/>
                <w:szCs w:val="16"/>
                <w:i w:val="1"/>
                <w:iCs w:val="1"/>
                <w:color w:val="202020"/>
              </w:rPr>
              <w:t>Senior Vice President and Chief Financial Officer</w:t>
            </w:r>
          </w:p>
        </w:tc>
        <w:tc>
          <w:tcPr>
            <w:tcW w:w="3300" w:type="dxa"/>
            <w:vAlign w:val="bottom"/>
          </w:tcPr>
          <w:p>
            <w:pPr>
              <w:jc w:val="right"/>
              <w:spacing w:after="0"/>
              <w:rPr>
                <w:sz w:val="20"/>
                <w:szCs w:val="20"/>
                <w:color w:val="auto"/>
              </w:rPr>
            </w:pPr>
            <w:r>
              <w:rPr>
                <w:rFonts w:ascii="Arial" w:cs="Arial" w:eastAsia="Arial" w:hAnsi="Arial"/>
                <w:sz w:val="16"/>
                <w:szCs w:val="16"/>
                <w:color w:val="202020"/>
              </w:rPr>
              <w:t>412,000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b w:val="1"/>
                <w:bCs w:val="1"/>
                <w:color w:val="202020"/>
              </w:rPr>
              <w:t>All current executive officers, as a group</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4,252,000</w:t>
            </w:r>
          </w:p>
        </w:tc>
      </w:tr>
      <w:tr>
        <w:trPr>
          <w:trHeight w:val="226"/>
        </w:trPr>
        <w:tc>
          <w:tcPr>
            <w:tcW w:w="6820" w:type="dxa"/>
            <w:vAlign w:val="bottom"/>
          </w:tcPr>
          <w:p>
            <w:pPr>
              <w:ind w:left="60"/>
              <w:spacing w:after="0"/>
              <w:rPr>
                <w:sz w:val="20"/>
                <w:szCs w:val="20"/>
                <w:color w:val="auto"/>
              </w:rPr>
            </w:pPr>
            <w:r>
              <w:rPr>
                <w:rFonts w:ascii="Arial" w:cs="Arial" w:eastAsia="Arial" w:hAnsi="Arial"/>
                <w:sz w:val="16"/>
                <w:szCs w:val="16"/>
                <w:b w:val="1"/>
                <w:bCs w:val="1"/>
                <w:color w:val="202020"/>
              </w:rPr>
              <w:t>All current directors who are not executive officers, as a group</w:t>
            </w:r>
          </w:p>
        </w:tc>
        <w:tc>
          <w:tcPr>
            <w:tcW w:w="3300" w:type="dxa"/>
            <w:vAlign w:val="bottom"/>
          </w:tcPr>
          <w:p>
            <w:pPr>
              <w:jc w:val="right"/>
              <w:spacing w:after="0"/>
              <w:rPr>
                <w:sz w:val="20"/>
                <w:szCs w:val="20"/>
                <w:color w:val="auto"/>
              </w:rPr>
            </w:pPr>
            <w:r>
              <w:rPr>
                <w:rFonts w:ascii="Arial" w:cs="Arial" w:eastAsia="Arial" w:hAnsi="Arial"/>
                <w:sz w:val="16"/>
                <w:szCs w:val="16"/>
                <w:color w:val="202020"/>
              </w:rPr>
              <w:t>505,700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b w:val="1"/>
                <w:bCs w:val="1"/>
                <w:color w:val="202020"/>
              </w:rPr>
              <w:t>Each Nominee for Election as a Director</w:t>
            </w:r>
          </w:p>
        </w:tc>
        <w:tc>
          <w:tcPr>
            <w:tcW w:w="3300" w:type="dxa"/>
            <w:vAlign w:val="bottom"/>
            <w:tcBorders>
              <w:bottom w:val="single" w:sz="8" w:color="E9E9E9"/>
            </w:tcBorders>
            <w:shd w:val="clear" w:color="auto" w:fill="E9E9E9"/>
          </w:tcPr>
          <w:p>
            <w:pPr>
              <w:spacing w:after="0"/>
              <w:rPr>
                <w:sz w:val="20"/>
                <w:szCs w:val="20"/>
                <w:color w:val="auto"/>
              </w:rPr>
            </w:pPr>
          </w:p>
        </w:tc>
      </w:tr>
      <w:tr>
        <w:trPr>
          <w:trHeight w:val="226"/>
        </w:trPr>
        <w:tc>
          <w:tcPr>
            <w:tcW w:w="6820" w:type="dxa"/>
            <w:vAlign w:val="bottom"/>
          </w:tcPr>
          <w:p>
            <w:pPr>
              <w:ind w:left="60"/>
              <w:spacing w:after="0"/>
              <w:rPr>
                <w:sz w:val="20"/>
                <w:szCs w:val="20"/>
                <w:color w:val="auto"/>
              </w:rPr>
            </w:pPr>
            <w:r>
              <w:rPr>
                <w:rFonts w:ascii="Arial" w:cs="Arial" w:eastAsia="Arial" w:hAnsi="Arial"/>
                <w:sz w:val="16"/>
                <w:szCs w:val="16"/>
                <w:color w:val="202020"/>
              </w:rPr>
              <w:t>Anthony S. Marucci</w:t>
            </w:r>
          </w:p>
        </w:tc>
        <w:tc>
          <w:tcPr>
            <w:tcW w:w="3300" w:type="dxa"/>
            <w:vAlign w:val="bottom"/>
          </w:tcPr>
          <w:p>
            <w:pPr>
              <w:jc w:val="right"/>
              <w:spacing w:after="0"/>
              <w:rPr>
                <w:sz w:val="20"/>
                <w:szCs w:val="20"/>
                <w:color w:val="auto"/>
              </w:rPr>
            </w:pPr>
            <w:r>
              <w:rPr>
                <w:rFonts w:ascii="Arial" w:cs="Arial" w:eastAsia="Arial" w:hAnsi="Arial"/>
                <w:sz w:val="16"/>
                <w:szCs w:val="16"/>
                <w:color w:val="202020"/>
              </w:rPr>
              <w:t>1,324,000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Keith L. Brownlie</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69,900</w:t>
            </w:r>
          </w:p>
        </w:tc>
      </w:tr>
      <w:tr>
        <w:trPr>
          <w:trHeight w:val="226"/>
        </w:trPr>
        <w:tc>
          <w:tcPr>
            <w:tcW w:w="6820" w:type="dxa"/>
            <w:vAlign w:val="bottom"/>
          </w:tcPr>
          <w:p>
            <w:pPr>
              <w:ind w:left="60"/>
              <w:spacing w:after="0"/>
              <w:rPr>
                <w:sz w:val="20"/>
                <w:szCs w:val="20"/>
                <w:color w:val="auto"/>
              </w:rPr>
            </w:pPr>
            <w:r>
              <w:rPr>
                <w:rFonts w:ascii="Arial" w:cs="Arial" w:eastAsia="Arial" w:hAnsi="Arial"/>
                <w:sz w:val="16"/>
                <w:szCs w:val="16"/>
                <w:color w:val="202020"/>
              </w:rPr>
              <w:t>Cheryl L. Cohen</w:t>
            </w:r>
          </w:p>
        </w:tc>
        <w:tc>
          <w:tcPr>
            <w:tcW w:w="3300" w:type="dxa"/>
            <w:vAlign w:val="bottom"/>
          </w:tcPr>
          <w:p>
            <w:pPr>
              <w:jc w:val="right"/>
              <w:spacing w:after="0"/>
              <w:rPr>
                <w:sz w:val="20"/>
                <w:szCs w:val="20"/>
                <w:color w:val="auto"/>
              </w:rPr>
            </w:pPr>
            <w:r>
              <w:rPr>
                <w:rFonts w:ascii="Arial" w:cs="Arial" w:eastAsia="Arial" w:hAnsi="Arial"/>
                <w:sz w:val="16"/>
                <w:szCs w:val="16"/>
                <w:color w:val="202020"/>
              </w:rPr>
              <w:t>71,500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Herbert J. Conrad</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69,900</w:t>
            </w:r>
          </w:p>
        </w:tc>
      </w:tr>
      <w:tr>
        <w:trPr>
          <w:trHeight w:val="226"/>
        </w:trPr>
        <w:tc>
          <w:tcPr>
            <w:tcW w:w="6820" w:type="dxa"/>
            <w:vAlign w:val="bottom"/>
          </w:tcPr>
          <w:p>
            <w:pPr>
              <w:ind w:left="60"/>
              <w:spacing w:after="0"/>
              <w:rPr>
                <w:sz w:val="20"/>
                <w:szCs w:val="20"/>
                <w:color w:val="auto"/>
              </w:rPr>
            </w:pPr>
            <w:r>
              <w:rPr>
                <w:rFonts w:ascii="Arial" w:cs="Arial" w:eastAsia="Arial" w:hAnsi="Arial"/>
                <w:sz w:val="16"/>
                <w:szCs w:val="16"/>
                <w:color w:val="202020"/>
              </w:rPr>
              <w:t>Rita I. Jain, M.D.</w:t>
            </w:r>
          </w:p>
        </w:tc>
        <w:tc>
          <w:tcPr>
            <w:tcW w:w="3300" w:type="dxa"/>
            <w:vAlign w:val="bottom"/>
          </w:tcPr>
          <w:p>
            <w:pPr>
              <w:jc w:val="right"/>
              <w:spacing w:after="0"/>
              <w:rPr>
                <w:sz w:val="20"/>
                <w:szCs w:val="20"/>
                <w:color w:val="auto"/>
              </w:rPr>
            </w:pPr>
            <w:r>
              <w:rPr>
                <w:rFonts w:ascii="Arial" w:cs="Arial" w:eastAsia="Arial" w:hAnsi="Arial"/>
                <w:sz w:val="16"/>
                <w:szCs w:val="16"/>
                <w:color w:val="202020"/>
              </w:rPr>
              <w:t>50,100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James J. Marino</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69,900</w:t>
            </w:r>
          </w:p>
        </w:tc>
      </w:tr>
      <w:tr>
        <w:trPr>
          <w:trHeight w:val="226"/>
        </w:trPr>
        <w:tc>
          <w:tcPr>
            <w:tcW w:w="6820" w:type="dxa"/>
            <w:vAlign w:val="bottom"/>
          </w:tcPr>
          <w:p>
            <w:pPr>
              <w:ind w:left="60"/>
              <w:spacing w:after="0"/>
              <w:rPr>
                <w:sz w:val="20"/>
                <w:szCs w:val="20"/>
                <w:color w:val="auto"/>
              </w:rPr>
            </w:pPr>
            <w:r>
              <w:rPr>
                <w:rFonts w:ascii="Arial" w:cs="Arial" w:eastAsia="Arial" w:hAnsi="Arial"/>
                <w:sz w:val="16"/>
                <w:szCs w:val="16"/>
                <w:color w:val="202020"/>
              </w:rPr>
              <w:t>Garry A. Neil, M.D.</w:t>
            </w:r>
          </w:p>
        </w:tc>
        <w:tc>
          <w:tcPr>
            <w:tcW w:w="3300" w:type="dxa"/>
            <w:vAlign w:val="bottom"/>
          </w:tcPr>
          <w:p>
            <w:pPr>
              <w:jc w:val="right"/>
              <w:spacing w:after="0"/>
              <w:rPr>
                <w:sz w:val="20"/>
                <w:szCs w:val="20"/>
                <w:color w:val="auto"/>
              </w:rPr>
            </w:pPr>
            <w:r>
              <w:rPr>
                <w:rFonts w:ascii="Arial" w:cs="Arial" w:eastAsia="Arial" w:hAnsi="Arial"/>
                <w:sz w:val="16"/>
                <w:szCs w:val="16"/>
                <w:color w:val="202020"/>
              </w:rPr>
              <w:t>71,500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color w:val="202020"/>
              </w:rPr>
              <w:t>Harry H. Penner, Jr.</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69,900</w:t>
            </w:r>
          </w:p>
        </w:tc>
      </w:tr>
      <w:tr>
        <w:trPr>
          <w:trHeight w:val="226"/>
        </w:trPr>
        <w:tc>
          <w:tcPr>
            <w:tcW w:w="6820" w:type="dxa"/>
            <w:vAlign w:val="bottom"/>
          </w:tcPr>
          <w:p>
            <w:pPr>
              <w:ind w:left="60"/>
              <w:spacing w:after="0"/>
              <w:rPr>
                <w:sz w:val="20"/>
                <w:szCs w:val="20"/>
                <w:color w:val="auto"/>
              </w:rPr>
            </w:pPr>
            <w:r>
              <w:rPr>
                <w:rFonts w:ascii="Arial" w:cs="Arial" w:eastAsia="Arial" w:hAnsi="Arial"/>
                <w:sz w:val="16"/>
                <w:szCs w:val="16"/>
                <w:color w:val="202020"/>
              </w:rPr>
              <w:t>Denice Torres</w:t>
            </w:r>
          </w:p>
        </w:tc>
        <w:tc>
          <w:tcPr>
            <w:tcW w:w="3300" w:type="dxa"/>
            <w:vAlign w:val="bottom"/>
          </w:tcPr>
          <w:p>
            <w:pPr>
              <w:jc w:val="right"/>
              <w:spacing w:after="0"/>
              <w:rPr>
                <w:sz w:val="20"/>
                <w:szCs w:val="20"/>
                <w:color w:val="auto"/>
              </w:rPr>
            </w:pPr>
            <w:r>
              <w:rPr>
                <w:rFonts w:ascii="Arial" w:cs="Arial" w:eastAsia="Arial" w:hAnsi="Arial"/>
                <w:sz w:val="16"/>
                <w:szCs w:val="16"/>
                <w:color w:val="202020"/>
              </w:rPr>
              <w:t>33,000</w:t>
            </w:r>
          </w:p>
        </w:tc>
      </w:tr>
      <w:tr>
        <w:trPr>
          <w:trHeight w:val="34"/>
        </w:trPr>
        <w:tc>
          <w:tcPr>
            <w:tcW w:w="68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39"/>
        </w:trPr>
        <w:tc>
          <w:tcPr>
            <w:tcW w:w="6820" w:type="dxa"/>
            <w:vAlign w:val="bottom"/>
            <w:tcBorders>
              <w:bottom w:val="single" w:sz="8" w:color="E9E9E9"/>
            </w:tcBorders>
            <w:shd w:val="clear" w:color="auto" w:fill="E9E9E9"/>
          </w:tcPr>
          <w:p>
            <w:pPr>
              <w:ind w:left="60"/>
              <w:spacing w:after="0"/>
              <w:rPr>
                <w:sz w:val="20"/>
                <w:szCs w:val="20"/>
                <w:color w:val="auto"/>
              </w:rPr>
            </w:pPr>
            <w:r>
              <w:rPr>
                <w:rFonts w:ascii="Arial" w:cs="Arial" w:eastAsia="Arial" w:hAnsi="Arial"/>
                <w:sz w:val="16"/>
                <w:szCs w:val="16"/>
                <w:b w:val="1"/>
                <w:bCs w:val="1"/>
                <w:color w:val="202020"/>
              </w:rPr>
              <w:t>All employees who are not executive officers, as a group</w:t>
            </w:r>
          </w:p>
        </w:tc>
        <w:tc>
          <w:tcPr>
            <w:tcW w:w="3300" w:type="dxa"/>
            <w:vAlign w:val="bottom"/>
            <w:tcBorders>
              <w:bottom w:val="single" w:sz="8" w:color="E9E9E9"/>
            </w:tcBorders>
            <w:shd w:val="clear" w:color="auto" w:fill="E9E9E9"/>
          </w:tcPr>
          <w:p>
            <w:pPr>
              <w:jc w:val="right"/>
              <w:spacing w:after="0"/>
              <w:rPr>
                <w:sz w:val="20"/>
                <w:szCs w:val="20"/>
                <w:color w:val="auto"/>
              </w:rPr>
            </w:pPr>
            <w:r>
              <w:rPr>
                <w:rFonts w:ascii="Arial" w:cs="Arial" w:eastAsia="Arial" w:hAnsi="Arial"/>
                <w:sz w:val="16"/>
                <w:szCs w:val="16"/>
                <w:color w:val="202020"/>
              </w:rPr>
              <w:t>3,041,225</w:t>
            </w:r>
          </w:p>
        </w:tc>
      </w:tr>
      <w:tr>
        <w:trPr>
          <w:trHeight w:val="30"/>
        </w:trPr>
        <w:tc>
          <w:tcPr>
            <w:tcW w:w="6820" w:type="dxa"/>
            <w:vAlign w:val="bottom"/>
            <w:shd w:val="clear" w:color="auto" w:fill="202020"/>
          </w:tcPr>
          <w:p>
            <w:pPr>
              <w:spacing w:after="0"/>
              <w:rPr>
                <w:sz w:val="2"/>
                <w:szCs w:val="2"/>
                <w:color w:val="auto"/>
              </w:rPr>
            </w:pPr>
          </w:p>
        </w:tc>
        <w:tc>
          <w:tcPr>
            <w:tcW w:w="3300" w:type="dxa"/>
            <w:vAlign w:val="bottom"/>
            <w:shd w:val="clear" w:color="auto" w:fill="202020"/>
          </w:tcPr>
          <w:p>
            <w:pPr>
              <w:spacing w:after="0"/>
              <w:rPr>
                <w:sz w:val="2"/>
                <w:szCs w:val="2"/>
                <w:color w:val="auto"/>
              </w:rPr>
            </w:pPr>
          </w:p>
        </w:tc>
      </w:tr>
    </w:tbl>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202020"/>
        </w:rPr>
        <w:t>THE BOARD OF DIRECTORS UNANIMOUSLY RECOMMENDS THAT YOU VOTE “</w:t>
      </w:r>
      <w:r>
        <w:rPr>
          <w:rFonts w:ascii="Arial" w:cs="Arial" w:eastAsia="Arial" w:hAnsi="Arial"/>
          <w:sz w:val="18"/>
          <w:szCs w:val="18"/>
          <w:b w:val="1"/>
          <w:bCs w:val="1"/>
          <w:i w:val="1"/>
          <w:iCs w:val="1"/>
          <w:color w:val="202020"/>
        </w:rPr>
        <w:t>FOR”</w:t>
      </w:r>
      <w:r>
        <w:rPr>
          <w:rFonts w:ascii="Arial" w:cs="Arial" w:eastAsia="Arial" w:hAnsi="Arial"/>
          <w:sz w:val="18"/>
          <w:szCs w:val="18"/>
          <w:b w:val="1"/>
          <w:bCs w:val="1"/>
          <w:color w:val="202020"/>
        </w:rPr>
        <w:t xml:space="preserve"> THE AMENDMENT TO THE 2021 INCENTIVE PLAN TO INCREASE THE NUMBER OF SHARES AVAILABLE FOR ISSUANCE UNDER THE 2021 INCENTIVE PLAN BY 3,400,000, FROM 9,500,000 PLUS THE UNUSED SHARES OF COMMON STOCK RESERVED UNDER THE 2008 INCENTIVE PLAN, TO 12,900,000 PLUS THE UNUSED SHARES OF COMMON STOCK RESERVED UNDER THE 2008 INCENTIVE PLAN, AND TO CLARIFY THE TAX WITHHOLDING PROVISIONS APPLICABLE TO AWARDS UNDER THE 2021 INCENTIVE PLAN.</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61</w:t>
      </w:r>
    </w:p>
    <w:p>
      <w:pPr>
        <w:sectPr>
          <w:pgSz w:w="11880" w:h="15480" w:orient="portrait"/>
          <w:cols w:equalWidth="0" w:num="1">
            <w:col w:w="10120"/>
          </w:cols>
          <w:pgMar w:left="880" w:top="544" w:right="880" w:bottom="96"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color w:val="202020"/>
        </w:rPr>
        <w:t>Proposal 4: Advisory Vote on Executive Compensation</w:t>
      </w:r>
    </w:p>
    <w:p>
      <w:pPr>
        <w:spacing w:after="0" w:line="142" w:lineRule="exact"/>
        <w:rPr>
          <w:sz w:val="20"/>
          <w:szCs w:val="20"/>
          <w:color w:val="auto"/>
        </w:rPr>
      </w:pPr>
    </w:p>
    <w:p>
      <w:pPr>
        <w:ind w:right="600"/>
        <w:spacing w:after="0" w:line="274" w:lineRule="auto"/>
        <w:rPr>
          <w:sz w:val="20"/>
          <w:szCs w:val="20"/>
          <w:color w:val="auto"/>
        </w:rPr>
      </w:pPr>
      <w:r>
        <w:rPr>
          <w:rFonts w:ascii="Arial" w:cs="Arial" w:eastAsia="Arial" w:hAnsi="Arial"/>
          <w:sz w:val="36"/>
          <w:szCs w:val="36"/>
          <w:b w:val="1"/>
          <w:bCs w:val="1"/>
          <w:color w:val="202020"/>
        </w:rPr>
        <w:t>Proposal 4: Advisory Vote on Executive Compensation (Proposal No. 4)</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202020"/>
        </w:rPr>
        <w:t>Under the Dodd-Frank Wall Street Reform and Consumer Protection Act, or the Dodd-Frank Act, and Section 14A of the Securities Exchange Act of 1934, as amended, or the Exchange Act, our stockholders are entitled to vote to approve, on an advisory (nonbinding) basis, the compensation of our Named Executive Officers as disclosed in this proxy statement in accordance with the Securities and Exchange Commission’s rules.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color w:val="202020"/>
        </w:rPr>
        <w:t>As described in detail under the heading “Compensation of Executive Officers — Compensation Discussion and Analysis,” our executive compensation programs are designed to retain and incentivize the high quality executives whose efforts are key to our long-term success. Under these programs, our Named Executive Officers are rewarded on the basis of individual and corporate performance measured against established corporate and strategic goals. Please read the section of this proxy statement under the heading “Compensation of Executive Officers — Compensation Discussion and Analysis” for additional details about our executive compensation programs, including information about the fiscal year 2025 compensation of our Named Executive Officers.</w:t>
      </w:r>
    </w:p>
    <w:p>
      <w:pPr>
        <w:spacing w:after="0" w:line="12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202020"/>
        </w:rPr>
        <w:t>The Compensation and Organization Development Committee of our Board of Directors continually reviews the compensation programs for our Named Executive Officers to ensure they achieve the desired goals of aligning our executive compensation structure with our stockholders’ interests and current market practices.</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020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are asking our stockholders to cast a non-binding advisory vote “FOR” the following resolution at the Annual Meeting:</w:t>
      </w:r>
    </w:p>
    <w:p>
      <w:pPr>
        <w:spacing w:after="0" w:line="11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02020"/>
        </w:rPr>
        <w:t>“RESOLVED, that the compensation of the Named Executive Officers, as disclosed in the Company’s Proxy Statement for the 2026 Annual Meeting of Stockholders pursuant to Item 402 of Regulation S-K, including the Compensation Discussion and Analysis, compensation tables and narrative disclosure is hereby APPROVED.”</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202020"/>
        </w:rPr>
        <w:t>The say-on-pay vote is advisory, and therefore not binding on Celldex, the Compensation and Organization Development Committee or our Board of Directors. Nevertheless, our Board of Directors and our Compensation and Organization Development Committee value the opinions of our stockholders, whether expressed through this vote or otherwise, and accordingly, the Board and Compensation and Organization Development Committee intend to consider the results of this vote among the many factors they consider in making determinations in the future regarding executive compensation arrangements.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02020"/>
        </w:rPr>
        <w:t>THE BOARD OF DIRECTORS RECOMMENDS THAT THE STOCKHOLDERS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02020"/>
        </w:rPr>
        <w:t>VOTE “FOR” THIS PROPOSAL NO. 4.</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62 |</w:t>
        <w:tab/>
        <w:t>Celldex Therapeutics</w:t>
      </w:r>
    </w:p>
    <w:p>
      <w:pPr>
        <w:sectPr>
          <w:pgSz w:w="11880" w:h="15480" w:orient="portrait"/>
          <w:cols w:equalWidth="0" w:num="1">
            <w:col w:w="10120"/>
          </w:cols>
          <w:pgMar w:left="880" w:top="544" w:right="880" w:bottom="96" w:gutter="0" w:footer="0" w:header="0"/>
          <w:type w:val="continuous"/>
        </w:sectPr>
      </w:pPr>
    </w:p>
    <w:bookmarkStart w:id="66" w:name="page67"/>
    <w:bookmarkEnd w:id="66"/>
    <w:p>
      <w:pPr>
        <w:ind w:left="8460"/>
        <w:spacing w:after="0"/>
        <w:rPr>
          <w:sz w:val="20"/>
          <w:szCs w:val="20"/>
          <w:color w:val="auto"/>
        </w:rPr>
      </w:pPr>
      <w:r>
        <w:rPr>
          <w:rFonts w:ascii="Arial" w:cs="Arial" w:eastAsia="Arial" w:hAnsi="Arial"/>
          <w:sz w:val="16"/>
          <w:szCs w:val="16"/>
          <w:color w:val="202020"/>
        </w:rPr>
        <w:t>Stockholder Proposals</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Stockholder Proposals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Submitting Proxy Proposals and Director Nominations for the 2027 Annual Meeting</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02020"/>
        </w:rPr>
        <w:t>Proposals for Inclusion in Our 2027 Proxy Materials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02020"/>
        </w:rPr>
        <w:t>Any stockholder proposals submitted pursuant to Exchange Act Rule 14a-8 for inclusion in Celldex’s proxy statement and form of proxy for our 2027 Annual Meeting must be received by Celldex on or before January 4, 2027 in order to be considered for inclusion in our proxy statement and form of proxy. Such proposal must also comply with the requirements as to form and substance established by the SEC if such proposals are to be included in the proxy statement and form of proxy. Any such proposal shall be mailed to: Celldex Therapeutics, Inc., Perryville III Building, 53 Frontage Road, Suite 220, Hampton, NJ 08827, Attn.: Secretary.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202020"/>
        </w:rPr>
        <w:t>Director Nominations for Inclusion in Our 2027 Proxy Materials (Proxy Access)</w:t>
      </w:r>
    </w:p>
    <w:p>
      <w:pPr>
        <w:spacing w:after="0" w:line="1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202020"/>
        </w:rPr>
        <w:t>Any stockholder considering a proxy access nomination should carefully review our bylaws. Under our proxy access bylaw, if a stockholder (or a group of stockholders) who has owned at least 3% of our shares for at least three years and has complied with the other requirements in our bylaws wants us to include director nominees (up to the greater of two nominees or 20% of the Board) in our 2027 proxy materials for election at our 2027 Annual Meeting of Stockholders, then the nominations must be mailed to: Celldex Therapeutics, Inc., Perryville III Building, 53 Frontage Road, Suite 220, Hampton, NJ 08827, Attn.: Secretary. Any such nomination must be received by us not earlier than December 5, 2026 and not later than January 4, 2027.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02020"/>
        </w:rPr>
        <w:t>Other Proposals or Nominations to be Brought before Our 2027 Annual Meeting</w:t>
      </w:r>
    </w:p>
    <w:p>
      <w:pPr>
        <w:spacing w:after="0" w:line="17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202020"/>
        </w:rPr>
        <w:t>Any shareholder considering introducing a nomination or other item of business should carefully review the procedures set forth in our bylaws. Our bylaws state that a stockholder must provide timely written notice of such nomination or proposal and supporting documentation as well as be present at such meeting, either in person or by a representative.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202020"/>
        </w:rPr>
        <w:t>A stockholder’s notice shall be timely received by Celldex at our principal executive office not less than seventy-five (75) days nor more than one hundred twenty (120) days prior to the anniversary date of the immediately preceding annual meeting (the “Anniversary Date”); provided, however, that in the event the annual meeting is scheduled to be held on a date more than thirty (30) days before the Anniversary Date or more than sixty (60) days after the Anniversary Date, a stockholder’s notice shall be timely if received by Celldex at our principal executive office not later than the close of business on the later of (i) the seventy-fifth (75</w:t>
      </w:r>
      <w:r>
        <w:rPr>
          <w:rFonts w:ascii="Arial" w:cs="Arial" w:eastAsia="Arial" w:hAnsi="Arial"/>
          <w:sz w:val="21"/>
          <w:szCs w:val="21"/>
          <w:color w:val="202020"/>
          <w:vertAlign w:val="superscript"/>
        </w:rPr>
        <w:t>th</w:t>
      </w:r>
      <w:r>
        <w:rPr>
          <w:rFonts w:ascii="Arial" w:cs="Arial" w:eastAsia="Arial" w:hAnsi="Arial"/>
          <w:sz w:val="18"/>
          <w:szCs w:val="18"/>
          <w:color w:val="202020"/>
        </w:rPr>
        <w:t>) day prior to the scheduled date of such annual meeting or (ii) the fifteenth (15</w:t>
      </w:r>
      <w:r>
        <w:rPr>
          <w:rFonts w:ascii="Arial" w:cs="Arial" w:eastAsia="Arial" w:hAnsi="Arial"/>
          <w:sz w:val="21"/>
          <w:szCs w:val="21"/>
          <w:color w:val="202020"/>
          <w:vertAlign w:val="superscript"/>
        </w:rPr>
        <w:t>th</w:t>
      </w:r>
      <w:r>
        <w:rPr>
          <w:rFonts w:ascii="Arial" w:cs="Arial" w:eastAsia="Arial" w:hAnsi="Arial"/>
          <w:sz w:val="18"/>
          <w:szCs w:val="18"/>
          <w:color w:val="202020"/>
        </w:rPr>
        <w:t>) day following the day on which such public announcement of the date of such annual meeting is first made by Celldex. Proxies solicited by our Board of Directors will confer discretionary voting authority with respect to these proposals, subject to SEC rules and regulations governing the exercise of this authority. Any such proposal shall be mailed to: Celldex Therapeutics, Inc., Perryville III Building, 53 Frontage Road, Suite 220, Hampton, NJ 08827, Attn.: Secretary.</w:t>
      </w:r>
    </w:p>
    <w:p>
      <w:pPr>
        <w:spacing w:after="0" w:line="12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02020"/>
        </w:rPr>
        <w:t>Further, if you intend to nominate a director and solicit proxies in support of such director nominee(s) at the 2027 Annual Meeting of Stockholders, you must also provide the notice and additional information required by Rule 14a-19 to: Celldex Therapeutics, Inc., Perryville III Building, 53 Frontage Road, Suite 220, Hampton, NJ 08827, Attn.: Secretary., no later than April 26, 2027. This deadline under Rule 14a-19 does not supersede any of the timing requirements for advance notice under our by-laws. The supplemental notice and information required under Rule 14a-19 is in addition to the applicable advance notice requirements under our by-laws as described in this section and it shall not extend any such deadline set forth under our by-laws.</w:t>
      </w:r>
    </w:p>
    <w:p>
      <w:pPr>
        <w:sectPr>
          <w:pgSz w:w="11880" w:h="15480" w:orient="portrait"/>
          <w:cols w:equalWidth="0" w:num="1">
            <w:col w:w="10140"/>
          </w:cols>
          <w:pgMar w:left="880" w:top="544" w:right="86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63</w:t>
      </w:r>
    </w:p>
    <w:p>
      <w:pPr>
        <w:sectPr>
          <w:pgSz w:w="11880" w:h="15480" w:orient="portrait"/>
          <w:cols w:equalWidth="0" w:num="1">
            <w:col w:w="10140"/>
          </w:cols>
          <w:pgMar w:left="880" w:top="544" w:right="860" w:bottom="96"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color w:val="202020"/>
        </w:rPr>
        <w:t>Where You Can Find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Where You Can Find Additional Information</w:t>
      </w:r>
    </w:p>
    <w:p>
      <w:pPr>
        <w:spacing w:after="0" w:line="2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202020"/>
        </w:rPr>
        <w:t>The Company files annual, quarterly and current reports, proxy statements and other information with the SEC. Our SEC filings are available to the public over the Internet at the SEC’s website at http://www.sec.gov. The SEC’s website contains reports, proxy statements and other information regarding issuers, such as Celldex Therapeutics, Inc., that file electronically with the SEC.</w:t>
      </w:r>
    </w:p>
    <w:p>
      <w:pPr>
        <w:spacing w:after="0" w:line="113" w:lineRule="exact"/>
        <w:rPr>
          <w:sz w:val="20"/>
          <w:szCs w:val="20"/>
          <w:color w:val="auto"/>
        </w:rPr>
      </w:pPr>
    </w:p>
    <w:p>
      <w:pPr>
        <w:spacing w:after="0" w:line="263" w:lineRule="auto"/>
        <w:rPr>
          <w:sz w:val="20"/>
          <w:szCs w:val="20"/>
          <w:color w:val="auto"/>
        </w:rPr>
      </w:pPr>
      <w:r>
        <w:rPr>
          <w:rFonts w:ascii="Arial" w:cs="Arial" w:eastAsia="Arial" w:hAnsi="Arial"/>
          <w:sz w:val="18"/>
          <w:szCs w:val="18"/>
          <w:color w:val="202020"/>
        </w:rPr>
        <w:t>The SEC allows the Company to “incorporate by reference” certain information the Company files with it, which means that the Company can disclose important information to you by referring you to those documents. The information incorporated by reference is considered to be part of this Proxy Statement, and information that the Company files later with the SEC will automatically update and supersede previously filed information, including information contained in this document. We are incorporating by reference the following, which include the information required by Item 13(a) of Schedule 14A in connection with Proposal 4:</w:t>
      </w:r>
    </w:p>
    <w:p>
      <w:pPr>
        <w:spacing w:after="0" w:line="76" w:lineRule="exact"/>
        <w:rPr>
          <w:sz w:val="20"/>
          <w:szCs w:val="20"/>
          <w:color w:val="auto"/>
        </w:rPr>
      </w:pPr>
    </w:p>
    <w:p>
      <w:pPr>
        <w:ind w:left="160" w:right="20" w:hanging="159"/>
        <w:spacing w:after="0" w:line="265" w:lineRule="auto"/>
        <w:tabs>
          <w:tab w:leader="none" w:pos="160" w:val="left"/>
        </w:tabs>
        <w:numPr>
          <w:ilvl w:val="0"/>
          <w:numId w:val="49"/>
        </w:numPr>
        <w:rPr>
          <w:rFonts w:ascii="Arial" w:cs="Arial" w:eastAsia="Arial" w:hAnsi="Arial"/>
          <w:sz w:val="18"/>
          <w:szCs w:val="18"/>
          <w:color w:val="202020"/>
        </w:rPr>
      </w:pPr>
      <w:r>
        <w:rPr>
          <w:rFonts w:ascii="Arial" w:cs="Arial" w:eastAsia="Arial" w:hAnsi="Arial"/>
          <w:sz w:val="18"/>
          <w:szCs w:val="18"/>
          <w:color w:val="202020"/>
        </w:rPr>
        <w:t>Sections of our Annual Report on Form 10-K for the year ended December 31, 2025, filed with the SEC on February 25, 2026: “Part II. Item 7 — Management’s Discussion and Analysis of Financial Condition and Results of Operations,” “Part II. Item 8 — Financial Statements and Supplementary Data,” “Part II. Item 7A — Quantitative and Qualitative Disclosure About Market Risk” and “Part II. Item 9 — Changes in and Disagreements With Accountants on Accounting and Financial Disclosure.”</w:t>
      </w:r>
    </w:p>
    <w:p>
      <w:pPr>
        <w:spacing w:after="0" w:line="11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202020"/>
        </w:rPr>
        <w:t>In addition, all documents we file under Section 13(a), 13(c), 14 or 15(d) of the Exchange Act after the date of this Proxy Statement and before the date of the Annual Meeting are incorporated by reference into and deemed a part of this Proxy Statement from the date of filing of those documents.</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202020"/>
        </w:rPr>
        <w:t>Any person, including any beneficial owner, to whom this Proxy Statement is delivered may request copies of reports, proxy statements or other information concerning the Company (including the documents incorporated by reference herein) without charge, by written or telephonic request directed to our Corporate Secretary at Celldex Therapeutics, Inc., Perryville III Building, 53 Frontage Road, Suite 220, Hampton, NJ 08827. A request for copies of reports, proxy statements or other information concerning the Company (including the documents incorporated by reference herein) must set forth a good-faith representation that the requesting party was either a holder of record or a beneficial owner of our common stock on April 27, 2026.</w:t>
      </w:r>
    </w:p>
    <w:p>
      <w:pPr>
        <w:sectPr>
          <w:pgSz w:w="11880" w:h="15480" w:orient="portrait"/>
          <w:cols w:equalWidth="0" w:num="1">
            <w:col w:w="10140"/>
          </w:cols>
          <w:pgMar w:left="880" w:top="544" w:right="86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64 |</w:t>
        <w:tab/>
        <w:t>Celldex Therapeutics</w:t>
      </w:r>
    </w:p>
    <w:p>
      <w:pPr>
        <w:sectPr>
          <w:pgSz w:w="11880" w:h="15480" w:orient="portrait"/>
          <w:cols w:equalWidth="0" w:num="1">
            <w:col w:w="10140"/>
          </w:cols>
          <w:pgMar w:left="880" w:top="544" w:right="860" w:bottom="96" w:gutter="0" w:footer="0" w:header="0"/>
          <w:type w:val="continuous"/>
        </w:sectPr>
      </w:pPr>
    </w:p>
    <w:bookmarkStart w:id="68" w:name="page69"/>
    <w:bookmarkEnd w:id="68"/>
    <w:p>
      <w:pPr>
        <w:ind w:left="9060"/>
        <w:spacing w:after="0"/>
        <w:rPr>
          <w:sz w:val="20"/>
          <w:szCs w:val="20"/>
          <w:color w:val="auto"/>
        </w:rPr>
      </w:pPr>
      <w:r>
        <w:rPr>
          <w:rFonts w:ascii="Arial" w:cs="Arial" w:eastAsia="Arial" w:hAnsi="Arial"/>
          <w:sz w:val="16"/>
          <w:szCs w:val="16"/>
          <w:color w:val="202020"/>
        </w:rPr>
        <w:t>Other Matters</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color w:val="202020"/>
        </w:rPr>
        <w:t>Other Matters</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8"/>
          <w:szCs w:val="18"/>
          <w:color w:val="202020"/>
        </w:rPr>
        <w:t>As of the date of this proxy statement, the Board of Directors does not intend to present at the Annual Meeting any matters other than those described herein and does not presently know of any matters that will be presented by other parties. If any other matter requiring a vote of the stockholders should come before the meeting, it is the intention of the persons named in the proxy to vote with respect to any such matter in accordance with the recommendation of the Board of Directors or, in the absence of such a recommendation, in accordance with the best judgment of the proxy holder.</w:t>
      </w:r>
    </w:p>
    <w:p>
      <w:pPr>
        <w:spacing w:after="0" w:line="114"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By Order of the Board of Directors</w:t>
      </w:r>
    </w:p>
    <w:p>
      <w:pPr>
        <w:spacing w:after="0" w:line="352"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/s/ S</w:t>
      </w:r>
      <w:r>
        <w:rPr>
          <w:rFonts w:ascii="Arial" w:cs="Arial" w:eastAsia="Arial" w:hAnsi="Arial"/>
          <w:sz w:val="11"/>
          <w:szCs w:val="11"/>
          <w:color w:val="202020"/>
        </w:rPr>
        <w:t>AM</w:t>
      </w:r>
      <w:r>
        <w:rPr>
          <w:rFonts w:ascii="Arial" w:cs="Arial" w:eastAsia="Arial" w:hAnsi="Arial"/>
          <w:sz w:val="18"/>
          <w:szCs w:val="18"/>
          <w:color w:val="202020"/>
        </w:rPr>
        <w:t xml:space="preserve"> M</w:t>
      </w:r>
      <w:r>
        <w:rPr>
          <w:rFonts w:ascii="Arial" w:cs="Arial" w:eastAsia="Arial" w:hAnsi="Arial"/>
          <w:sz w:val="11"/>
          <w:szCs w:val="11"/>
          <w:color w:val="202020"/>
        </w:rPr>
        <w:t>ARTIN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202020"/>
        </w:rPr>
        <w:t>Secretary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202020"/>
        </w:rPr>
        <w:t>Hampton, NJ</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202020"/>
        </w:rPr>
        <w:t>May 4, 2026</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80"/>
        <w:spacing w:after="0"/>
        <w:tabs>
          <w:tab w:leader="none" w:pos="9760" w:val="left"/>
        </w:tabs>
        <w:rPr>
          <w:sz w:val="20"/>
          <w:szCs w:val="20"/>
          <w:color w:val="auto"/>
        </w:rPr>
      </w:pPr>
      <w:r>
        <w:rPr>
          <w:rFonts w:ascii="Arial" w:cs="Arial" w:eastAsia="Arial" w:hAnsi="Arial"/>
          <w:sz w:val="18"/>
          <w:szCs w:val="18"/>
          <w:color w:val="202020"/>
        </w:rPr>
        <w:t>Celldex Therapeutics</w:t>
        <w:tab/>
        <w:t>| 65</w:t>
      </w:r>
    </w:p>
    <w:p>
      <w:pPr>
        <w:sectPr>
          <w:pgSz w:w="11880" w:h="15480" w:orient="portrait"/>
          <w:cols w:equalWidth="0" w:num="1">
            <w:col w:w="10120"/>
          </w:cols>
          <w:pgMar w:left="880" w:top="544" w:right="880" w:bottom="96"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color w:val="202020"/>
        </w:rPr>
        <w:t>Annex A</w:t>
      </w:r>
    </w:p>
    <w:p>
      <w:pPr>
        <w:spacing w:after="0" w:line="142" w:lineRule="exact"/>
        <w:rPr>
          <w:sz w:val="20"/>
          <w:szCs w:val="20"/>
          <w:color w:val="auto"/>
        </w:rPr>
      </w:pPr>
    </w:p>
    <w:p>
      <w:pPr>
        <w:spacing w:after="0"/>
        <w:rPr>
          <w:sz w:val="20"/>
          <w:szCs w:val="20"/>
          <w:color w:val="auto"/>
        </w:rPr>
      </w:pPr>
      <w:r>
        <w:rPr>
          <w:rFonts w:ascii="Arial" w:cs="Arial" w:eastAsia="Arial" w:hAnsi="Arial"/>
          <w:sz w:val="36"/>
          <w:szCs w:val="36"/>
          <w:b w:val="1"/>
          <w:bCs w:val="1"/>
          <w:u w:val="single" w:color="auto"/>
          <w:color w:val="202020"/>
        </w:rPr>
        <w:t>Annex A</w:t>
      </w:r>
    </w:p>
    <w:p>
      <w:pPr>
        <w:spacing w:after="0" w:line="165" w:lineRule="exact"/>
        <w:rPr>
          <w:sz w:val="20"/>
          <w:szCs w:val="20"/>
          <w:color w:val="auto"/>
        </w:rPr>
      </w:pPr>
    </w:p>
    <w:p>
      <w:pPr>
        <w:ind w:right="1460"/>
        <w:spacing w:after="0" w:line="382" w:lineRule="auto"/>
        <w:rPr>
          <w:sz w:val="20"/>
          <w:szCs w:val="20"/>
          <w:color w:val="auto"/>
        </w:rPr>
      </w:pPr>
      <w:r>
        <w:rPr>
          <w:rFonts w:ascii="Arial" w:cs="Arial" w:eastAsia="Arial" w:hAnsi="Arial"/>
          <w:sz w:val="21"/>
          <w:szCs w:val="21"/>
          <w:b w:val="1"/>
          <w:bCs w:val="1"/>
          <w:color w:val="202020"/>
        </w:rPr>
        <w:t>Amendment No. 4 to Celldex Therapeutics, Inc. 2021 Omnibus Equity Incentive Plan Approved by the Board of Directors on April 19, 2026</w:t>
      </w:r>
    </w:p>
    <w:p>
      <w:pPr>
        <w:spacing w:after="0" w:line="2" w:lineRule="exact"/>
        <w:rPr>
          <w:sz w:val="20"/>
          <w:szCs w:val="20"/>
          <w:color w:val="auto"/>
        </w:rPr>
      </w:pPr>
    </w:p>
    <w:p>
      <w:pPr>
        <w:ind w:right="400"/>
        <w:spacing w:after="0" w:line="297" w:lineRule="auto"/>
        <w:rPr>
          <w:sz w:val="20"/>
          <w:szCs w:val="20"/>
          <w:color w:val="auto"/>
        </w:rPr>
      </w:pPr>
      <w:r>
        <w:rPr>
          <w:rFonts w:ascii="Arial" w:cs="Arial" w:eastAsia="Arial" w:hAnsi="Arial"/>
          <w:sz w:val="18"/>
          <w:szCs w:val="18"/>
          <w:color w:val="202020"/>
        </w:rPr>
        <w:t>This Agreement amends the Celldex Therapeutics, Inc. 2021 Omnibus Equity Incentive Plan (the “</w:t>
      </w:r>
      <w:r>
        <w:rPr>
          <w:rFonts w:ascii="Arial" w:cs="Arial" w:eastAsia="Arial" w:hAnsi="Arial"/>
          <w:sz w:val="18"/>
          <w:szCs w:val="18"/>
          <w:i w:val="1"/>
          <w:iCs w:val="1"/>
          <w:color w:val="202020"/>
        </w:rPr>
        <w:t>Plan</w:t>
      </w:r>
      <w:r>
        <w:rPr>
          <w:rFonts w:ascii="Arial" w:cs="Arial" w:eastAsia="Arial" w:hAnsi="Arial"/>
          <w:sz w:val="18"/>
          <w:szCs w:val="18"/>
          <w:color w:val="202020"/>
        </w:rPr>
        <w:t>”). All capitalized terms not defined herein shall have the meanings set forth in the Plan.</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202020"/>
        </w:rPr>
        <w:t>Recitals</w:t>
      </w:r>
    </w:p>
    <w:p>
      <w:pPr>
        <w:spacing w:after="0" w:line="120" w:lineRule="exact"/>
        <w:rPr>
          <w:sz w:val="20"/>
          <w:szCs w:val="20"/>
          <w:color w:val="auto"/>
        </w:rPr>
      </w:pPr>
    </w:p>
    <w:p>
      <w:pPr>
        <w:spacing w:after="0" w:line="297" w:lineRule="auto"/>
        <w:rPr>
          <w:sz w:val="20"/>
          <w:szCs w:val="20"/>
          <w:color w:val="auto"/>
        </w:rPr>
      </w:pPr>
      <w:r>
        <w:rPr>
          <w:rFonts w:ascii="Arial" w:cs="Arial" w:eastAsia="Arial" w:hAnsi="Arial"/>
          <w:sz w:val="18"/>
          <w:szCs w:val="18"/>
          <w:color w:val="202020"/>
        </w:rPr>
        <w:t>WHEREAS, Section 17.2 of the Plan reserves to the Board of Directors (“</w:t>
      </w:r>
      <w:r>
        <w:rPr>
          <w:rFonts w:ascii="Arial" w:cs="Arial" w:eastAsia="Arial" w:hAnsi="Arial"/>
          <w:sz w:val="18"/>
          <w:szCs w:val="18"/>
          <w:i w:val="1"/>
          <w:iCs w:val="1"/>
          <w:color w:val="202020"/>
        </w:rPr>
        <w:t>Board</w:t>
      </w:r>
      <w:r>
        <w:rPr>
          <w:rFonts w:ascii="Arial" w:cs="Arial" w:eastAsia="Arial" w:hAnsi="Arial"/>
          <w:sz w:val="18"/>
          <w:szCs w:val="18"/>
          <w:color w:val="202020"/>
        </w:rPr>
        <w:t>”) of Celldex Therapeutics, Inc. (the “</w:t>
      </w:r>
      <w:r>
        <w:rPr>
          <w:rFonts w:ascii="Arial" w:cs="Arial" w:eastAsia="Arial" w:hAnsi="Arial"/>
          <w:sz w:val="18"/>
          <w:szCs w:val="18"/>
          <w:i w:val="1"/>
          <w:iCs w:val="1"/>
          <w:color w:val="202020"/>
        </w:rPr>
        <w:t>Company</w:t>
      </w:r>
      <w:r>
        <w:rPr>
          <w:rFonts w:ascii="Arial" w:cs="Arial" w:eastAsia="Arial" w:hAnsi="Arial"/>
          <w:sz w:val="18"/>
          <w:szCs w:val="18"/>
          <w:color w:val="202020"/>
        </w:rPr>
        <w:t>”) the right to amend the Plan from time to time; and</w:t>
      </w:r>
    </w:p>
    <w:p>
      <w:pPr>
        <w:spacing w:after="0" w:line="27" w:lineRule="exact"/>
        <w:rPr>
          <w:sz w:val="20"/>
          <w:szCs w:val="20"/>
          <w:color w:val="auto"/>
        </w:rPr>
      </w:pPr>
    </w:p>
    <w:p>
      <w:pPr>
        <w:ind w:right="100"/>
        <w:spacing w:after="0" w:line="297" w:lineRule="auto"/>
        <w:rPr>
          <w:sz w:val="20"/>
          <w:szCs w:val="20"/>
          <w:color w:val="auto"/>
        </w:rPr>
      </w:pPr>
      <w:r>
        <w:rPr>
          <w:rFonts w:ascii="Arial" w:cs="Arial" w:eastAsia="Arial" w:hAnsi="Arial"/>
          <w:sz w:val="18"/>
          <w:szCs w:val="18"/>
          <w:color w:val="202020"/>
        </w:rPr>
        <w:t>WHEREAS, the Board desires to amend the Plan to increase the number of shares available for awards under the plan by 3,400,000 shares in the manner hereinafter provided subject to approval by the Company’s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02020"/>
        </w:rPr>
        <w:t>NOW THEREFORE, the Plan is hereby amended as follows:</w:t>
      </w:r>
    </w:p>
    <w:p>
      <w:pPr>
        <w:spacing w:after="0" w:line="112" w:lineRule="exact"/>
        <w:rPr>
          <w:sz w:val="20"/>
          <w:szCs w:val="20"/>
          <w:color w:val="auto"/>
        </w:rPr>
      </w:pPr>
    </w:p>
    <w:p>
      <w:pPr>
        <w:ind w:left="340" w:hanging="339"/>
        <w:spacing w:after="0"/>
        <w:tabs>
          <w:tab w:leader="none" w:pos="340" w:val="left"/>
        </w:tabs>
        <w:numPr>
          <w:ilvl w:val="0"/>
          <w:numId w:val="50"/>
        </w:numPr>
        <w:rPr>
          <w:rFonts w:ascii="Arial" w:cs="Arial" w:eastAsia="Arial" w:hAnsi="Arial"/>
          <w:sz w:val="18"/>
          <w:szCs w:val="18"/>
          <w:color w:val="202020"/>
        </w:rPr>
      </w:pPr>
      <w:r>
        <w:rPr>
          <w:rFonts w:ascii="Arial" w:cs="Arial" w:eastAsia="Arial" w:hAnsi="Arial"/>
          <w:sz w:val="18"/>
          <w:szCs w:val="18"/>
          <w:i w:val="1"/>
          <w:iCs w:val="1"/>
          <w:color w:val="202020"/>
        </w:rPr>
        <w:t>Amendment to Plan Share Limitation.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color w:val="202020"/>
        </w:rPr>
        <w:t>Section 4.1(a) of the Plan is amended and restated in its entirety as follows:</w:t>
      </w:r>
    </w:p>
    <w:p>
      <w:pPr>
        <w:spacing w:after="0" w:line="112"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202020"/>
        </w:rPr>
        <w:t>“(a) Subject to adjustment pursuant to Section 4.3 and any other applicable provisions hereof, the maximum aggregate number of shares of Common Stock which may be issued under all Awards granted to Participants under the Plan shall be (i) 12,900,000 shares plus (ii) such number of unused shares of Common Stock reserved under the Prior Plan as of the Effective Date, which unused reserve shall be rolled into this Plan (subsections (i) and (ii) together, the “</w:t>
      </w:r>
      <w:r>
        <w:rPr>
          <w:rFonts w:ascii="Arial" w:cs="Arial" w:eastAsia="Arial" w:hAnsi="Arial"/>
          <w:sz w:val="18"/>
          <w:szCs w:val="18"/>
          <w:i w:val="1"/>
          <w:iCs w:val="1"/>
          <w:color w:val="202020"/>
        </w:rPr>
        <w:t>Share Reserve</w:t>
      </w:r>
      <w:r>
        <w:rPr>
          <w:rFonts w:ascii="Arial" w:cs="Arial" w:eastAsia="Arial" w:hAnsi="Arial"/>
          <w:sz w:val="18"/>
          <w:szCs w:val="18"/>
          <w:color w:val="202020"/>
        </w:rPr>
        <w:t>”); all of which shares may, but need not, be issued in respect of Incentive Stock Options. In addition, there shall be rolled into this Plan and added to the Share Reserve (but not issued in respect of Incentive Stock Options) such number of shares of Common Stock subject to outstanding grants or awards under the Prior Plan as of the Effective Date which are thereafter forfeited, cancelled or otherwise lapse in accordance with the provisions of Section 4.1(b).”</w:t>
      </w:r>
    </w:p>
    <w:p>
      <w:pPr>
        <w:spacing w:after="0" w:line="65" w:lineRule="exact"/>
        <w:rPr>
          <w:sz w:val="20"/>
          <w:szCs w:val="20"/>
          <w:color w:val="auto"/>
        </w:rPr>
      </w:pPr>
    </w:p>
    <w:p>
      <w:pPr>
        <w:ind w:left="340" w:hanging="339"/>
        <w:spacing w:after="0"/>
        <w:tabs>
          <w:tab w:leader="none" w:pos="340" w:val="left"/>
        </w:tabs>
        <w:numPr>
          <w:ilvl w:val="0"/>
          <w:numId w:val="51"/>
        </w:numPr>
        <w:rPr>
          <w:rFonts w:ascii="Arial" w:cs="Arial" w:eastAsia="Arial" w:hAnsi="Arial"/>
          <w:sz w:val="18"/>
          <w:szCs w:val="18"/>
          <w:color w:val="202020"/>
        </w:rPr>
      </w:pPr>
      <w:r>
        <w:rPr>
          <w:rFonts w:ascii="Arial" w:cs="Arial" w:eastAsia="Arial" w:hAnsi="Arial"/>
          <w:sz w:val="18"/>
          <w:szCs w:val="18"/>
          <w:i w:val="1"/>
          <w:iCs w:val="1"/>
          <w:color w:val="202020"/>
        </w:rPr>
        <w:t>Amendment to Tax Withholding Provision.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8"/>
          <w:szCs w:val="18"/>
          <w:color w:val="202020"/>
        </w:rPr>
        <w:t>Section 16.5 of the Plan is amended and restated in its entirety as follows:</w:t>
      </w:r>
    </w:p>
    <w:p>
      <w:pPr>
        <w:spacing w:after="0" w:line="112"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color w:val="202020"/>
        </w:rPr>
        <w:t>16.5 Tax Withholding. The Company may require, as a condition to the grant, vesting, settlement, or delivery of any Award, the satisfaction of applicable federal, state, local, and foreign tax withholding obligations. To satisfy such obligations, the Committee is authorized, in its discretion and subject to applicable law, to (i) require cash payments by the Participant, (ii) withhold from any amounts otherwise payable in cash to the Participant,</w:t>
      </w:r>
    </w:p>
    <w:p>
      <w:pPr>
        <w:spacing w:after="0" w:line="2" w:lineRule="exact"/>
        <w:rPr>
          <w:sz w:val="20"/>
          <w:szCs w:val="20"/>
          <w:color w:val="auto"/>
        </w:rPr>
      </w:pPr>
    </w:p>
    <w:p>
      <w:pPr>
        <w:ind w:left="800" w:hanging="1"/>
        <w:spacing w:after="0" w:line="259" w:lineRule="auto"/>
        <w:tabs>
          <w:tab w:leader="none" w:pos="1089" w:val="left"/>
        </w:tabs>
        <w:numPr>
          <w:ilvl w:val="1"/>
          <w:numId w:val="52"/>
        </w:numPr>
        <w:rPr>
          <w:rFonts w:ascii="Arial" w:cs="Arial" w:eastAsia="Arial" w:hAnsi="Arial"/>
          <w:sz w:val="18"/>
          <w:szCs w:val="18"/>
          <w:color w:val="202020"/>
        </w:rPr>
      </w:pPr>
      <w:r>
        <w:rPr>
          <w:rFonts w:ascii="Arial" w:cs="Arial" w:eastAsia="Arial" w:hAnsi="Arial"/>
          <w:sz w:val="18"/>
          <w:szCs w:val="18"/>
          <w:color w:val="202020"/>
        </w:rPr>
        <w:t>withhold a number of whole shares otherwise issuable with respect to the Award having an aggregate fair market value equal to the amount of such obligations, (iv) accept delivery by the Participant to the Company of shares having an aggregate fair market value equal to the amount of such obligations, and/or (v) facilitate a sale of shares issued upon settlement to generate proceeds sufficient to satisfy such obligations. Notwithstanding the foregoing, the number of shares withheld pursuant to clause (iii) shall not exceed such number as is necessary to satisfy the maximum statutory tax rates (or such lower rate as may be necessary to avoid adverse accounting treatment) in the Participant’s applicable jurisdictions. Shares withheld or delivered to the Company pursuant to this section shall not again be available for issuance under the Plan. For purposes of withholding, fair market value shall be determined pursuant to the Company’s consistently applied valuation method for tax withholding.</w:t>
      </w:r>
    </w:p>
    <w:p>
      <w:pPr>
        <w:spacing w:after="0" w:line="64" w:lineRule="exact"/>
        <w:rPr>
          <w:rFonts w:ascii="Arial" w:cs="Arial" w:eastAsia="Arial" w:hAnsi="Arial"/>
          <w:sz w:val="18"/>
          <w:szCs w:val="18"/>
          <w:color w:val="202020"/>
        </w:rPr>
      </w:pPr>
    </w:p>
    <w:p>
      <w:pPr>
        <w:ind w:left="320" w:hanging="319"/>
        <w:spacing w:after="0"/>
        <w:tabs>
          <w:tab w:leader="none" w:pos="320" w:val="left"/>
        </w:tabs>
        <w:numPr>
          <w:ilvl w:val="0"/>
          <w:numId w:val="53"/>
        </w:numPr>
        <w:rPr>
          <w:rFonts w:ascii="Arial" w:cs="Arial" w:eastAsia="Arial" w:hAnsi="Arial"/>
          <w:sz w:val="18"/>
          <w:szCs w:val="18"/>
          <w:i w:val="1"/>
          <w:iCs w:val="1"/>
          <w:color w:val="202020"/>
        </w:rPr>
      </w:pPr>
      <w:r>
        <w:rPr>
          <w:rFonts w:ascii="Arial" w:cs="Arial" w:eastAsia="Arial" w:hAnsi="Arial"/>
          <w:sz w:val="18"/>
          <w:szCs w:val="18"/>
          <w:i w:val="1"/>
          <w:iCs w:val="1"/>
          <w:color w:val="202020"/>
        </w:rPr>
        <w:t xml:space="preserve">No Other Changes.  </w:t>
      </w:r>
      <w:r>
        <w:rPr>
          <w:rFonts w:ascii="Arial" w:cs="Arial" w:eastAsia="Arial" w:hAnsi="Arial"/>
          <w:sz w:val="18"/>
          <w:szCs w:val="18"/>
          <w:color w:val="202020"/>
        </w:rPr>
        <w:t>Except as set forth herein, the Plan shall remain in full force and effect without modification.</w:t>
      </w:r>
    </w:p>
    <w:p>
      <w:pPr>
        <w:spacing w:after="0" w:line="112" w:lineRule="exact"/>
        <w:rPr>
          <w:sz w:val="20"/>
          <w:szCs w:val="20"/>
          <w:color w:val="auto"/>
        </w:rPr>
      </w:pPr>
    </w:p>
    <w:p>
      <w:pPr>
        <w:ind w:right="240"/>
        <w:spacing w:after="0" w:line="297" w:lineRule="auto"/>
        <w:rPr>
          <w:sz w:val="20"/>
          <w:szCs w:val="20"/>
          <w:color w:val="auto"/>
        </w:rPr>
      </w:pPr>
      <w:r>
        <w:rPr>
          <w:rFonts w:ascii="Arial" w:cs="Arial" w:eastAsia="Arial" w:hAnsi="Arial"/>
          <w:sz w:val="18"/>
          <w:szCs w:val="18"/>
          <w:color w:val="202020"/>
        </w:rPr>
        <w:t>IN WITNESS WHEREOF, the undersigned, a duly authorized officer of the Company, has executed this Amendment as of the date first above written as evidence of its adoption by the Company.</w:t>
      </w:r>
    </w:p>
    <w:p>
      <w:pPr>
        <w:spacing w:after="0" w:line="66" w:lineRule="exact"/>
        <w:rPr>
          <w:sz w:val="20"/>
          <w:szCs w:val="20"/>
          <w:color w:val="auto"/>
        </w:rPr>
      </w:pPr>
    </w:p>
    <w:p>
      <w:pPr>
        <w:ind w:left="4400"/>
        <w:spacing w:after="0"/>
        <w:rPr>
          <w:sz w:val="20"/>
          <w:szCs w:val="20"/>
          <w:color w:val="auto"/>
        </w:rPr>
      </w:pPr>
      <w:r>
        <w:rPr>
          <w:rFonts w:ascii="Arial" w:cs="Arial" w:eastAsia="Arial" w:hAnsi="Arial"/>
          <w:sz w:val="18"/>
          <w:szCs w:val="18"/>
          <w:color w:val="202020"/>
        </w:rPr>
        <w:t>CELLDEX THERAPEUTICS, INC.</w:t>
      </w:r>
    </w:p>
    <w:p>
      <w:pPr>
        <w:spacing w:after="0" w:line="352" w:lineRule="exact"/>
        <w:rPr>
          <w:sz w:val="20"/>
          <w:szCs w:val="20"/>
          <w:color w:val="auto"/>
        </w:rPr>
      </w:pPr>
    </w:p>
    <w:p>
      <w:pPr>
        <w:ind w:left="4400"/>
        <w:spacing w:after="0"/>
        <w:tabs>
          <w:tab w:leader="none" w:pos="4780" w:val="left"/>
        </w:tabs>
        <w:rPr>
          <w:sz w:val="20"/>
          <w:szCs w:val="20"/>
          <w:color w:val="auto"/>
        </w:rPr>
      </w:pPr>
      <w:r>
        <w:rPr>
          <w:rFonts w:ascii="Arial" w:cs="Arial" w:eastAsia="Arial" w:hAnsi="Arial"/>
          <w:sz w:val="18"/>
          <w:szCs w:val="18"/>
          <w:color w:val="202020"/>
        </w:rPr>
        <w:t>By:</w:t>
        <w:tab/>
        <w:t>/s/ Sam Martin</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color w:val="202020"/>
        </w:rPr>
        <w:t>Name: Sam Martin</w:t>
      </w:r>
    </w:p>
    <w:p>
      <w:pPr>
        <w:spacing w:after="0" w:line="12" w:lineRule="exact"/>
        <w:rPr>
          <w:sz w:val="20"/>
          <w:szCs w:val="20"/>
          <w:color w:val="auto"/>
        </w:rPr>
      </w:pPr>
    </w:p>
    <w:p>
      <w:pPr>
        <w:ind w:left="4800"/>
        <w:spacing w:after="0"/>
        <w:tabs>
          <w:tab w:leader="none" w:pos="5360" w:val="left"/>
        </w:tabs>
        <w:rPr>
          <w:sz w:val="20"/>
          <w:szCs w:val="20"/>
          <w:color w:val="auto"/>
        </w:rPr>
      </w:pPr>
      <w:r>
        <w:rPr>
          <w:rFonts w:ascii="Arial" w:cs="Arial" w:eastAsia="Arial" w:hAnsi="Arial"/>
          <w:sz w:val="18"/>
          <w:szCs w:val="18"/>
          <w:color w:val="202020"/>
        </w:rPr>
        <w:t>Title:</w:t>
        <w:tab/>
        <w:t>Senior Vice President and Chief Financial Officer</w:t>
      </w:r>
    </w:p>
    <w:p>
      <w:pPr>
        <w:sectPr>
          <w:pgSz w:w="11880" w:h="15480" w:orient="portrait"/>
          <w:cols w:equalWidth="0" w:num="1">
            <w:col w:w="10120"/>
          </w:cols>
          <w:pgMar w:left="880" w:top="544" w:right="88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202020"/>
        </w:rPr>
        <w:t>66 |</w:t>
        <w:tab/>
        <w:t>Celldex Therapeutics</w:t>
      </w:r>
    </w:p>
    <w:p>
      <w:pPr>
        <w:sectPr>
          <w:pgSz w:w="11880" w:h="15480" w:orient="portrait"/>
          <w:cols w:equalWidth="0" w:num="1">
            <w:col w:w="10120"/>
          </w:cols>
          <w:pgMar w:left="880" w:top="544" w:right="880" w:bottom="96"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44"/>
          <w:szCs w:val="44"/>
          <w:b w:val="1"/>
          <w:bCs w:val="1"/>
          <w:color w:val="auto"/>
        </w:rPr>
        <w:t>2025 Annual Report on Form 10-K</w:t>
      </w:r>
    </w:p>
    <w:p>
      <w:pPr>
        <w:sectPr>
          <w:pgSz w:w="11880" w:h="15480" w:orient="portrait"/>
          <w:cols w:equalWidth="0" w:num="1">
            <w:col w:w="9000"/>
          </w:cols>
          <w:pgMar w:left="1440" w:top="1440" w:right="1440"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323850</wp:posOffset>
                </wp:positionH>
                <wp:positionV relativeFrom="page">
                  <wp:posOffset>508635</wp:posOffset>
                </wp:positionV>
                <wp:extent cx="68961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40.05pt" to="568.5pt,40.0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569595</wp:posOffset>
                </wp:positionV>
                <wp:extent cx="68961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44.85pt" to="568.5pt,44.85pt" o:allowincell="f" strokecolor="#000000" strokeweight="0.4799pt">
                <w10:wrap anchorx="page" anchory="page"/>
              </v:line>
            </w:pict>
          </mc:Fallback>
        </mc:AlternateContent>
        <w:t>UNITED STATES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0" w:lineRule="exact"/>
        <w:rPr>
          <w:sz w:val="20"/>
          <w:szCs w:val="20"/>
          <w:color w:val="auto"/>
        </w:rPr>
      </w:pPr>
    </w:p>
    <w:p>
      <w:pPr>
        <w:ind w:left="1080" w:right="680" w:hanging="720"/>
        <w:spacing w:after="0" w:line="271" w:lineRule="auto"/>
        <w:tabs>
          <w:tab w:leader="none" w:pos="1080" w:val="left"/>
        </w:tabs>
        <w:numPr>
          <w:ilvl w:val="0"/>
          <w:numId w:val="5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0"/>
          <w:szCs w:val="20"/>
          <w:color w:val="auto"/>
        </w:rPr>
      </w:pPr>
    </w:p>
    <w:p>
      <w:pPr>
        <w:ind w:left="1080" w:right="280" w:hanging="720"/>
        <w:spacing w:after="0" w:line="271" w:lineRule="auto"/>
        <w:tabs>
          <w:tab w:leader="none" w:pos="1080" w:val="left"/>
        </w:tabs>
        <w:numPr>
          <w:ilvl w:val="0"/>
          <w:numId w:val="55"/>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000-15006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CELLDEX THERAPEUTICS,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gridSpan w:val="6"/>
          </w:tcPr>
          <w:p>
            <w:pPr>
              <w:jc w:val="center"/>
              <w:ind w:right="19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20" w:type="dxa"/>
            <w:vAlign w:val="bottom"/>
          </w:tcPr>
          <w:p>
            <w:pPr>
              <w:jc w:val="center"/>
              <w:ind w:right="1908"/>
              <w:spacing w:after="0"/>
              <w:rPr>
                <w:sz w:val="20"/>
                <w:szCs w:val="20"/>
                <w:color w:val="auto"/>
              </w:rPr>
            </w:pPr>
            <w:r>
              <w:rPr>
                <w:rFonts w:ascii="Times New Roman" w:cs="Times New Roman" w:eastAsia="Times New Roman" w:hAnsi="Times New Roman"/>
                <w:sz w:val="16"/>
                <w:szCs w:val="16"/>
                <w:b w:val="1"/>
                <w:bCs w:val="1"/>
                <w:color w:val="auto"/>
                <w:w w:val="98"/>
              </w:rPr>
              <w:t>13-3191702</w:t>
            </w:r>
          </w:p>
        </w:tc>
      </w:tr>
      <w:tr>
        <w:trPr>
          <w:trHeight w:val="184"/>
        </w:trPr>
        <w:tc>
          <w:tcPr>
            <w:tcW w:w="7380" w:type="dxa"/>
            <w:vAlign w:val="bottom"/>
            <w:gridSpan w:val="6"/>
          </w:tcPr>
          <w:p>
            <w:pPr>
              <w:jc w:val="center"/>
              <w:ind w:right="1980"/>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3420" w:type="dxa"/>
            <w:vAlign w:val="bottom"/>
          </w:tcPr>
          <w:p>
            <w:pPr>
              <w:jc w:val="center"/>
              <w:ind w:right="1908"/>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12"/>
        </w:trPr>
        <w:tc>
          <w:tcPr>
            <w:tcW w:w="7380" w:type="dxa"/>
            <w:vAlign w:val="bottom"/>
            <w:gridSpan w:val="6"/>
          </w:tcPr>
          <w:p>
            <w:pPr>
              <w:jc w:val="center"/>
              <w:ind w:right="198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20" w:type="dxa"/>
            <w:vAlign w:val="bottom"/>
          </w:tcPr>
          <w:p>
            <w:pPr>
              <w:jc w:val="center"/>
              <w:ind w:right="1908"/>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8"/>
        </w:trPr>
        <w:tc>
          <w:tcPr>
            <w:tcW w:w="2500" w:type="dxa"/>
            <w:vAlign w:val="bottom"/>
          </w:tcPr>
          <w:p>
            <w:pPr>
              <w:spacing w:after="0"/>
              <w:rPr>
                <w:sz w:val="23"/>
                <w:szCs w:val="23"/>
                <w:color w:val="auto"/>
              </w:rPr>
            </w:pPr>
          </w:p>
        </w:tc>
        <w:tc>
          <w:tcPr>
            <w:tcW w:w="8300" w:type="dxa"/>
            <w:vAlign w:val="bottom"/>
            <w:gridSpan w:val="6"/>
          </w:tcPr>
          <w:p>
            <w:pPr>
              <w:jc w:val="center"/>
              <w:ind w:right="2428"/>
              <w:spacing w:after="0"/>
              <w:rPr>
                <w:sz w:val="20"/>
                <w:szCs w:val="20"/>
                <w:color w:val="auto"/>
              </w:rPr>
            </w:pPr>
            <w:r>
              <w:rPr>
                <w:rFonts w:ascii="Times New Roman" w:cs="Times New Roman" w:eastAsia="Times New Roman" w:hAnsi="Times New Roman"/>
                <w:sz w:val="16"/>
                <w:szCs w:val="16"/>
                <w:b w:val="1"/>
                <w:bCs w:val="1"/>
                <w:color w:val="auto"/>
                <w:w w:val="99"/>
              </w:rPr>
              <w:t>Perryville III Building, 53 Frontage Road, Suite 220, Hampton, New Jersey 08827</w:t>
            </w:r>
          </w:p>
        </w:tc>
      </w:tr>
      <w:tr>
        <w:trPr>
          <w:trHeight w:val="212"/>
        </w:trPr>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(Address of principal executive offices) (Zip Code)</w:t>
            </w:r>
          </w:p>
        </w:tc>
        <w:tc>
          <w:tcPr>
            <w:tcW w:w="3420" w:type="dxa"/>
            <w:vAlign w:val="bottom"/>
          </w:tcPr>
          <w:p>
            <w:pPr>
              <w:spacing w:after="0"/>
              <w:rPr>
                <w:sz w:val="18"/>
                <w:szCs w:val="18"/>
                <w:color w:val="auto"/>
              </w:rPr>
            </w:pPr>
          </w:p>
        </w:tc>
      </w:tr>
      <w:tr>
        <w:trPr>
          <w:trHeight w:val="284"/>
        </w:trPr>
        <w:tc>
          <w:tcPr>
            <w:tcW w:w="2500" w:type="dxa"/>
            <w:vAlign w:val="bottom"/>
          </w:tcPr>
          <w:p>
            <w:pPr>
              <w:spacing w:after="0"/>
              <w:rPr>
                <w:sz w:val="24"/>
                <w:szCs w:val="24"/>
                <w:color w:val="auto"/>
              </w:rPr>
            </w:pPr>
          </w:p>
        </w:tc>
        <w:tc>
          <w:tcPr>
            <w:tcW w:w="8300" w:type="dxa"/>
            <w:vAlign w:val="bottom"/>
            <w:gridSpan w:val="6"/>
          </w:tcPr>
          <w:p>
            <w:pPr>
              <w:jc w:val="center"/>
              <w:ind w:right="2408"/>
              <w:spacing w:after="0"/>
              <w:rPr>
                <w:sz w:val="20"/>
                <w:szCs w:val="20"/>
                <w:color w:val="auto"/>
              </w:rPr>
            </w:pPr>
            <w:r>
              <w:rPr>
                <w:rFonts w:ascii="Times New Roman" w:cs="Times New Roman" w:eastAsia="Times New Roman" w:hAnsi="Times New Roman"/>
                <w:sz w:val="16"/>
                <w:szCs w:val="16"/>
                <w:color w:val="auto"/>
                <w:w w:val="99"/>
              </w:rPr>
              <w:t xml:space="preserve">Registrant’s telephone number, including area code: </w:t>
            </w:r>
            <w:r>
              <w:rPr>
                <w:rFonts w:ascii="Times New Roman" w:cs="Times New Roman" w:eastAsia="Times New Roman" w:hAnsi="Times New Roman"/>
                <w:sz w:val="16"/>
                <w:szCs w:val="16"/>
                <w:b w:val="1"/>
                <w:bCs w:val="1"/>
                <w:color w:val="auto"/>
                <w:w w:val="99"/>
              </w:rPr>
              <w:t>(908) 200-7500</w:t>
            </w:r>
          </w:p>
        </w:tc>
      </w:tr>
      <w:tr>
        <w:trPr>
          <w:trHeight w:val="276"/>
        </w:trPr>
        <w:tc>
          <w:tcPr>
            <w:tcW w:w="2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40" w:type="dxa"/>
            <w:vAlign w:val="bottom"/>
            <w:gridSpan w:val="4"/>
          </w:tcPr>
          <w:p>
            <w:pPr>
              <w:jc w:val="center"/>
              <w:ind w:left="10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420" w:type="dxa"/>
            <w:vAlign w:val="bottom"/>
          </w:tcPr>
          <w:p>
            <w:pPr>
              <w:spacing w:after="0"/>
              <w:rPr>
                <w:sz w:val="23"/>
                <w:szCs w:val="23"/>
                <w:color w:val="auto"/>
              </w:rPr>
            </w:pPr>
          </w:p>
        </w:tc>
      </w:tr>
      <w:tr>
        <w:trPr>
          <w:trHeight w:val="265"/>
        </w:trPr>
        <w:tc>
          <w:tcPr>
            <w:tcW w:w="2500" w:type="dxa"/>
            <w:vAlign w:val="bottom"/>
          </w:tcPr>
          <w:p>
            <w:pPr>
              <w:jc w:val="center"/>
              <w:ind w:left="668"/>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760" w:type="dxa"/>
            <w:vAlign w:val="bottom"/>
            <w:gridSpan w:val="3"/>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3420" w:type="dxa"/>
            <w:vAlign w:val="bottom"/>
          </w:tcPr>
          <w:p>
            <w:pPr>
              <w:jc w:val="center"/>
              <w:ind w:right="388"/>
              <w:spacing w:after="0"/>
              <w:rPr>
                <w:sz w:val="20"/>
                <w:szCs w:val="20"/>
                <w:color w:val="auto"/>
              </w:rPr>
            </w:pPr>
            <w:r>
              <w:rPr>
                <w:rFonts w:ascii="Times New Roman" w:cs="Times New Roman" w:eastAsia="Times New Roman" w:hAnsi="Times New Roman"/>
                <w:sz w:val="12"/>
                <w:szCs w:val="12"/>
                <w:b w:val="1"/>
                <w:bCs w:val="1"/>
                <w:color w:val="auto"/>
                <w:w w:val="99"/>
              </w:rPr>
              <w:t>Name of Each Exchange Where Registered:</w:t>
            </w:r>
          </w:p>
        </w:tc>
      </w:tr>
      <w:tr>
        <w:trPr>
          <w:trHeight w:val="129"/>
        </w:trPr>
        <w:tc>
          <w:tcPr>
            <w:tcW w:w="2500" w:type="dxa"/>
            <w:vAlign w:val="bottom"/>
            <w:tcBorders>
              <w:top w:val="single" w:sz="8" w:color="auto"/>
            </w:tcBorders>
          </w:tcPr>
          <w:p>
            <w:pPr>
              <w:jc w:val="center"/>
              <w:ind w:left="668"/>
              <w:spacing w:after="0" w:line="129" w:lineRule="exact"/>
              <w:rPr>
                <w:sz w:val="20"/>
                <w:szCs w:val="20"/>
                <w:color w:val="auto"/>
              </w:rPr>
            </w:pPr>
            <w:r>
              <w:rPr>
                <w:rFonts w:ascii="Times New Roman" w:cs="Times New Roman" w:eastAsia="Times New Roman" w:hAnsi="Times New Roman"/>
                <w:sz w:val="12"/>
                <w:szCs w:val="12"/>
                <w:color w:val="auto"/>
              </w:rPr>
              <w:t>Common Stock, par value $.001</w:t>
            </w: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9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CLDX</w:t>
            </w:r>
          </w:p>
        </w:tc>
        <w:tc>
          <w:tcPr>
            <w:tcW w:w="3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20" w:type="dxa"/>
            <w:vAlign w:val="bottom"/>
            <w:tcBorders>
              <w:top w:val="single" w:sz="8" w:color="auto"/>
            </w:tcBorders>
          </w:tcPr>
          <w:p>
            <w:pPr>
              <w:jc w:val="center"/>
              <w:ind w:right="388"/>
              <w:spacing w:after="0" w:line="129" w:lineRule="exact"/>
              <w:rPr>
                <w:sz w:val="20"/>
                <w:szCs w:val="20"/>
                <w:color w:val="auto"/>
              </w:rPr>
            </w:pPr>
            <w:r>
              <w:rPr>
                <w:rFonts w:ascii="Times New Roman" w:cs="Times New Roman" w:eastAsia="Times New Roman" w:hAnsi="Times New Roman"/>
                <w:sz w:val="12"/>
                <w:szCs w:val="12"/>
                <w:color w:val="auto"/>
                <w:w w:val="98"/>
              </w:rPr>
              <w:t>NASDAQ Capital Market</w:t>
            </w:r>
          </w:p>
        </w:tc>
      </w:tr>
    </w:tbl>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51" w:lineRule="exact"/>
        <w:rPr>
          <w:sz w:val="20"/>
          <w:szCs w:val="20"/>
          <w:color w:val="auto"/>
        </w:rPr>
      </w:pPr>
    </w:p>
    <w:p>
      <w:pPr>
        <w:ind w:left="360" w:right="1900"/>
        <w:spacing w:after="0" w:line="335"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0"/>
          <w:szCs w:val="20"/>
          <w:color w:val="auto"/>
        </w:rPr>
      </w:pPr>
    </w:p>
    <w:p>
      <w:pPr>
        <w:ind w:right="40" w:firstLine="360"/>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2" w:lineRule="exact"/>
        <w:rPr>
          <w:sz w:val="20"/>
          <w:szCs w:val="20"/>
          <w:color w:val="auto"/>
        </w:rPr>
      </w:pPr>
    </w:p>
    <w:p>
      <w:pPr>
        <w:ind w:right="740" w:firstLine="360"/>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2"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880" w:h="15480" w:orient="portrait"/>
          <w:cols w:equalWidth="0" w:num="1">
            <w:col w:w="10800"/>
          </w:cols>
          <w:pgMar w:left="540" w:top="966" w:right="540" w:bottom="228" w:gutter="0" w:footer="0" w:header="0"/>
        </w:sectPr>
      </w:pP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76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34" w:lineRule="exact"/>
        <w:rPr>
          <w:sz w:val="20"/>
          <w:szCs w:val="20"/>
          <w:color w:val="auto"/>
        </w:rPr>
      </w:pPr>
    </w:p>
    <w:p>
      <w:pPr>
        <w:sectPr>
          <w:pgSz w:w="11880" w:h="15480" w:orient="portrait"/>
          <w:cols w:equalWidth="0" w:num="5">
            <w:col w:w="1900" w:space="40"/>
            <w:col w:w="840" w:space="720"/>
            <w:col w:w="1860" w:space="720"/>
            <w:col w:w="1800" w:space="720"/>
            <w:col w:w="2200"/>
          </w:cols>
          <w:pgMar w:left="540" w:top="966" w:right="540" w:bottom="228" w:gutter="0" w:footer="0" w:header="0"/>
          <w:type w:val="continuous"/>
        </w:sectPr>
      </w:pPr>
    </w:p>
    <w:p>
      <w:pPr>
        <w:ind w:right="420" w:firstLine="360"/>
        <w:spacing w:after="0" w:line="24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ind w:right="140" w:firstLine="360"/>
        <w:spacing w:after="0" w:line="248"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report. </w:t>
      </w:r>
      <w:r>
        <w:rPr>
          <w:rFonts w:ascii="MS PGothic" w:cs="MS PGothic" w:eastAsia="MS PGothic" w:hAnsi="MS PGothic"/>
          <w:sz w:val="16"/>
          <w:szCs w:val="16"/>
          <w:color w:val="auto"/>
        </w:rPr>
        <w:t>☒</w:t>
      </w:r>
    </w:p>
    <w:p>
      <w:pPr>
        <w:spacing w:after="0" w:line="112" w:lineRule="exact"/>
        <w:rPr>
          <w:sz w:val="20"/>
          <w:szCs w:val="20"/>
          <w:color w:val="auto"/>
        </w:rPr>
      </w:pPr>
    </w:p>
    <w:p>
      <w:pPr>
        <w:ind w:right="340" w:firstLine="360"/>
        <w:spacing w:after="0" w:line="24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0"/>
          <w:szCs w:val="20"/>
          <w:color w:val="auto"/>
        </w:rPr>
      </w:pPr>
    </w:p>
    <w:p>
      <w:pPr>
        <w:ind w:right="60" w:firstLine="3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6"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as of June 30, 2025 was $1.3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number of shares of common stock outstanding at February 13, 2026 was 66,566,346 shares.</w:t>
      </w:r>
    </w:p>
    <w:p>
      <w:pPr>
        <w:spacing w:after="0" w:line="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Portions of the definitive Proxy Statement for our 2026 Annual Meeting of Stockholders are incorporated by reference into Part III of this Report.</w:t>
      </w:r>
    </w:p>
    <w:p>
      <w:pPr>
        <w:spacing w:after="0" w:line="75" w:lineRule="exact"/>
        <w:rPr>
          <w:sz w:val="20"/>
          <w:szCs w:val="20"/>
          <w:color w:val="auto"/>
        </w:rPr>
      </w:pPr>
    </w:p>
    <w:p>
      <w:pPr>
        <w:ind w:left="1160"/>
        <w:spacing w:after="0"/>
        <w:tabs>
          <w:tab w:leader="none" w:pos="4040" w:val="left"/>
          <w:tab w:leader="none" w:pos="7760" w:val="left"/>
        </w:tabs>
        <w:rPr>
          <w:sz w:val="20"/>
          <w:szCs w:val="20"/>
          <w:color w:val="auto"/>
        </w:rPr>
      </w:pPr>
      <w:r>
        <w:rPr>
          <w:rFonts w:ascii="Times New Roman" w:cs="Times New Roman" w:eastAsia="Times New Roman" w:hAnsi="Times New Roman"/>
          <w:sz w:val="14"/>
          <w:szCs w:val="14"/>
          <w:color w:val="auto"/>
        </w:rPr>
        <w:t>Auditor Firm ID: 238</w:t>
      </w:r>
      <w:r>
        <w:rPr>
          <w:sz w:val="20"/>
          <w:szCs w:val="20"/>
          <w:color w:val="auto"/>
        </w:rPr>
        <w:tab/>
      </w:r>
      <w:r>
        <w:rPr>
          <w:rFonts w:ascii="Times New Roman" w:cs="Times New Roman" w:eastAsia="Times New Roman" w:hAnsi="Times New Roman"/>
          <w:sz w:val="14"/>
          <w:szCs w:val="14"/>
          <w:color w:val="auto"/>
        </w:rPr>
        <w:t>Auditor Name: PricewaterhouseCoopers LLP</w:t>
      </w:r>
      <w:r>
        <w:rPr>
          <w:sz w:val="20"/>
          <w:szCs w:val="20"/>
          <w:color w:val="auto"/>
        </w:rPr>
        <w:tab/>
      </w:r>
      <w:r>
        <w:rPr>
          <w:rFonts w:ascii="Times New Roman" w:cs="Times New Roman" w:eastAsia="Times New Roman" w:hAnsi="Times New Roman"/>
          <w:sz w:val="14"/>
          <w:szCs w:val="14"/>
          <w:color w:val="auto"/>
        </w:rPr>
        <w:t>Auditor Location: Boston, Massachusetts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76200</wp:posOffset>
                </wp:positionV>
                <wp:extent cx="68961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6pt" to="541.5pt,6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140970</wp:posOffset>
                </wp:positionV>
                <wp:extent cx="689610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1.1pt" to="541.5pt,11.1pt" o:allowincell="f" strokecolor="#000000" strokeweight="3pt"/>
            </w:pict>
          </mc:Fallback>
        </mc:AlternateContent>
      </w:r>
    </w:p>
    <w:p>
      <w:pPr>
        <w:sectPr>
          <w:pgSz w:w="11880" w:h="15480" w:orient="portrait"/>
          <w:cols w:equalWidth="0" w:num="1">
            <w:col w:w="10800"/>
          </w:cols>
          <w:pgMar w:left="540" w:top="966" w:right="540" w:bottom="228"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74" w:name="page75"/>
    <w:bookmarkEnd w:id="74"/>
    <w:p>
      <w:pPr>
        <w:ind w:left="3840"/>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ind w:left="290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5"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6546850</wp:posOffset>
                </wp:positionH>
                <wp:positionV relativeFrom="paragraph">
                  <wp:posOffset>-136525</wp:posOffset>
                </wp:positionV>
                <wp:extent cx="31115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11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5pt,-10.7499pt" to="540pt,-10.7499pt" o:allowincell="f" strokecolor="#000000" strokeweight="0.4799pt"/>
            </w:pict>
          </mc:Fallback>
        </mc:AlternateContent>
      </w:r>
    </w:p>
    <w:p>
      <w:pPr>
        <w:spacing w:after="0" w:line="7" w:lineRule="exact"/>
        <w:rPr>
          <w:sz w:val="20"/>
          <w:szCs w:val="20"/>
          <w:color w:val="auto"/>
        </w:rPr>
      </w:pPr>
    </w:p>
    <w:p>
      <w:pPr>
        <w:ind w:left="140"/>
        <w:spacing w:after="0"/>
        <w:tabs>
          <w:tab w:leader="none" w:pos="1400" w:val="left"/>
          <w:tab w:leader="none" w:pos="10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57</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57</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spacing w:after="0"/>
        <w:rPr>
          <w:sz w:val="20"/>
          <w:szCs w:val="20"/>
          <w:color w:val="auto"/>
        </w:rPr>
      </w:pPr>
      <w:r>
        <w:rPr>
          <w:rFonts w:ascii="Times New Roman" w:cs="Times New Roman" w:eastAsia="Times New Roman" w:hAnsi="Times New Roman"/>
          <w:sz w:val="20"/>
          <w:szCs w:val="20"/>
          <w:color w:val="auto"/>
        </w:rPr>
        <w:t>Part II</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Registrant’s Common Equity, Related Stockholder Matters and Issuer Purchases of Equity</w:t>
      </w:r>
      <w:r>
        <w:rPr>
          <w:sz w:val="20"/>
          <w:szCs w:val="20"/>
          <w:color w:val="auto"/>
        </w:rPr>
        <w:tab/>
      </w:r>
      <w:r>
        <w:rPr>
          <w:rFonts w:ascii="Times New Roman" w:cs="Times New Roman" w:eastAsia="Times New Roman" w:hAnsi="Times New Roman"/>
          <w:sz w:val="20"/>
          <w:szCs w:val="20"/>
          <w:color w:val="auto"/>
        </w:rPr>
        <w:t>59</w:t>
      </w:r>
    </w:p>
    <w:p>
      <w:pPr>
        <w:ind w:left="1560"/>
        <w:spacing w:after="0"/>
        <w:rPr>
          <w:sz w:val="20"/>
          <w:szCs w:val="20"/>
          <w:color w:val="auto"/>
        </w:rPr>
      </w:pPr>
      <w:r>
        <w:rPr>
          <w:rFonts w:ascii="Times New Roman" w:cs="Times New Roman" w:eastAsia="Times New Roman" w:hAnsi="Times New Roman"/>
          <w:sz w:val="20"/>
          <w:szCs w:val="20"/>
          <w:color w:val="auto"/>
        </w:rPr>
        <w:t>Securities. . . . . . . . . . . . . . . . . . . . . . . . . . . . . . . . . . . . . . . . . . . . . . . . . . . . . . . . . . . . . . . . . . . . . . . . . . . . . . . . . .</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59</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 . . . . . .</w:t>
      </w:r>
      <w:r>
        <w:rPr>
          <w:sz w:val="20"/>
          <w:szCs w:val="20"/>
          <w:color w:val="auto"/>
        </w:rPr>
        <w:tab/>
      </w:r>
      <w:r>
        <w:rPr>
          <w:rFonts w:ascii="Times New Roman" w:cs="Times New Roman" w:eastAsia="Times New Roman" w:hAnsi="Times New Roman"/>
          <w:sz w:val="20"/>
          <w:szCs w:val="20"/>
          <w:color w:val="auto"/>
        </w:rPr>
        <w:t>60</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 . . . . . . . . . . . . . . . . . .</w:t>
      </w:r>
      <w:r>
        <w:rPr>
          <w:sz w:val="20"/>
          <w:szCs w:val="20"/>
          <w:color w:val="auto"/>
        </w:rPr>
        <w:tab/>
      </w:r>
      <w:r>
        <w:rPr>
          <w:rFonts w:ascii="Times New Roman" w:cs="Times New Roman" w:eastAsia="Times New Roman" w:hAnsi="Times New Roman"/>
          <w:sz w:val="20"/>
          <w:szCs w:val="20"/>
          <w:color w:val="auto"/>
        </w:rPr>
        <w:t>81</w:t>
      </w:r>
    </w:p>
    <w:p>
      <w:pPr>
        <w:ind w:left="140"/>
        <w:spacing w:after="0"/>
        <w:tabs>
          <w:tab w:leader="none" w:pos="1400" w:val="left"/>
          <w:tab w:leader="none" w:pos="1058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 . . . . . . . . . . . . . . . . .</w:t>
      </w:r>
      <w:r>
        <w:rPr>
          <w:sz w:val="20"/>
          <w:szCs w:val="20"/>
          <w:color w:val="auto"/>
        </w:rPr>
        <w:tab/>
      </w:r>
      <w:r>
        <w:rPr>
          <w:rFonts w:ascii="Times New Roman" w:cs="Times New Roman" w:eastAsia="Times New Roman" w:hAnsi="Times New Roman"/>
          <w:sz w:val="20"/>
          <w:szCs w:val="20"/>
          <w:color w:val="auto"/>
        </w:rPr>
        <w:t>82</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 . . . . . . . . . . . . . . . .</w:t>
      </w:r>
      <w:r>
        <w:rPr>
          <w:sz w:val="20"/>
          <w:szCs w:val="20"/>
          <w:color w:val="auto"/>
        </w:rPr>
        <w:tab/>
      </w:r>
      <w:r>
        <w:rPr>
          <w:rFonts w:ascii="Times New Roman" w:cs="Times New Roman" w:eastAsia="Times New Roman" w:hAnsi="Times New Roman"/>
          <w:sz w:val="20"/>
          <w:szCs w:val="20"/>
          <w:color w:val="auto"/>
        </w:rPr>
        <w:t>105</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105</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106</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 . . . . . . . . . . . . . . . . . .</w:t>
      </w:r>
      <w:r>
        <w:rPr>
          <w:sz w:val="20"/>
          <w:szCs w:val="20"/>
          <w:color w:val="auto"/>
        </w:rPr>
        <w:tab/>
      </w:r>
      <w:r>
        <w:rPr>
          <w:rFonts w:ascii="Times New Roman" w:cs="Times New Roman" w:eastAsia="Times New Roman" w:hAnsi="Times New Roman"/>
          <w:sz w:val="20"/>
          <w:szCs w:val="20"/>
          <w:color w:val="auto"/>
        </w:rPr>
        <w:t>106</w:t>
      </w:r>
    </w:p>
    <w:p>
      <w:pPr>
        <w:spacing w:after="0"/>
        <w:rPr>
          <w:sz w:val="20"/>
          <w:szCs w:val="20"/>
          <w:color w:val="auto"/>
        </w:rPr>
      </w:pPr>
      <w:r>
        <w:rPr>
          <w:rFonts w:ascii="Times New Roman" w:cs="Times New Roman" w:eastAsia="Times New Roman" w:hAnsi="Times New Roman"/>
          <w:sz w:val="20"/>
          <w:szCs w:val="20"/>
          <w:color w:val="auto"/>
        </w:rPr>
        <w:t>Part III</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 . . . . . . . . . . . . . . . . .</w:t>
      </w:r>
      <w:r>
        <w:rPr>
          <w:sz w:val="20"/>
          <w:szCs w:val="20"/>
          <w:color w:val="auto"/>
        </w:rPr>
        <w:tab/>
      </w:r>
      <w:r>
        <w:rPr>
          <w:rFonts w:ascii="Times New Roman" w:cs="Times New Roman" w:eastAsia="Times New Roman" w:hAnsi="Times New Roman"/>
          <w:sz w:val="20"/>
          <w:szCs w:val="20"/>
          <w:color w:val="auto"/>
        </w:rPr>
        <w:t>107</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107</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 Stockholder Matters . . . . . . .</w:t>
      </w:r>
      <w:r>
        <w:rPr>
          <w:sz w:val="20"/>
          <w:szCs w:val="20"/>
          <w:color w:val="auto"/>
        </w:rPr>
        <w:tab/>
      </w:r>
      <w:r>
        <w:rPr>
          <w:rFonts w:ascii="Times New Roman" w:cs="Times New Roman" w:eastAsia="Times New Roman" w:hAnsi="Times New Roman"/>
          <w:sz w:val="20"/>
          <w:szCs w:val="20"/>
          <w:color w:val="auto"/>
        </w:rPr>
        <w:t>107</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 . . . . . . . . . . . . . . . .</w:t>
      </w:r>
      <w:r>
        <w:rPr>
          <w:sz w:val="20"/>
          <w:szCs w:val="20"/>
          <w:color w:val="auto"/>
        </w:rPr>
        <w:tab/>
      </w:r>
      <w:r>
        <w:rPr>
          <w:rFonts w:ascii="Times New Roman" w:cs="Times New Roman" w:eastAsia="Times New Roman" w:hAnsi="Times New Roman"/>
          <w:sz w:val="20"/>
          <w:szCs w:val="20"/>
          <w:color w:val="auto"/>
        </w:rPr>
        <w:t>107</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 . . . . . . . . . . . . . . . . . . .</w:t>
      </w:r>
      <w:r>
        <w:rPr>
          <w:sz w:val="20"/>
          <w:szCs w:val="20"/>
          <w:color w:val="auto"/>
        </w:rPr>
        <w:tab/>
      </w:r>
      <w:r>
        <w:rPr>
          <w:rFonts w:ascii="Times New Roman" w:cs="Times New Roman" w:eastAsia="Times New Roman" w:hAnsi="Times New Roman"/>
          <w:sz w:val="20"/>
          <w:szCs w:val="20"/>
          <w:color w:val="auto"/>
        </w:rPr>
        <w:t>107</w:t>
      </w:r>
    </w:p>
    <w:p>
      <w:pPr>
        <w:spacing w:after="0"/>
        <w:rPr>
          <w:sz w:val="20"/>
          <w:szCs w:val="20"/>
          <w:color w:val="auto"/>
        </w:rPr>
      </w:pPr>
      <w:r>
        <w:rPr>
          <w:rFonts w:ascii="Times New Roman" w:cs="Times New Roman" w:eastAsia="Times New Roman" w:hAnsi="Times New Roman"/>
          <w:sz w:val="20"/>
          <w:szCs w:val="20"/>
          <w:color w:val="auto"/>
        </w:rPr>
        <w:t>Part IV</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Financial Statement Schedules . . . . . . . . . . . . . . . . . . . . . . . . . . . . . . . . . . . . . . . . . . . . . . . . . . . . . . . . . .</w:t>
      </w:r>
      <w:r>
        <w:rPr>
          <w:sz w:val="20"/>
          <w:szCs w:val="20"/>
          <w:color w:val="auto"/>
        </w:rPr>
        <w:tab/>
      </w:r>
      <w:r>
        <w:rPr>
          <w:rFonts w:ascii="Times New Roman" w:cs="Times New Roman" w:eastAsia="Times New Roman" w:hAnsi="Times New Roman"/>
          <w:sz w:val="20"/>
          <w:szCs w:val="20"/>
          <w:color w:val="auto"/>
        </w:rPr>
        <w:t>108</w:t>
      </w:r>
    </w:p>
    <w:p>
      <w:pPr>
        <w:ind w:left="140"/>
        <w:spacing w:after="0"/>
        <w:tabs>
          <w:tab w:leader="none" w:pos="1400" w:val="left"/>
          <w:tab w:leader="none" w:pos="1048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111</w:t>
      </w:r>
    </w:p>
    <w:p>
      <w:pPr>
        <w:spacing w:after="0"/>
        <w:tabs>
          <w:tab w:leader="none" w:pos="10480" w:val="left"/>
        </w:tabs>
        <w:rPr>
          <w:sz w:val="20"/>
          <w:szCs w:val="20"/>
          <w:color w:val="auto"/>
        </w:rPr>
      </w:pPr>
      <w:r>
        <w:rPr>
          <w:rFonts w:ascii="Times New Roman" w:cs="Times New Roman" w:eastAsia="Times New Roman" w:hAnsi="Times New Roman"/>
          <w:sz w:val="20"/>
          <w:szCs w:val="20"/>
          <w:color w:val="auto"/>
        </w:rPr>
        <w:t>Signatures . . . . . . . . . .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112</w:t>
      </w:r>
    </w:p>
    <w:p>
      <w:pPr>
        <w:sectPr>
          <w:pgSz w:w="11880" w:h="15480" w:orient="portrait"/>
          <w:cols w:equalWidth="0" w:num="1">
            <w:col w:w="10800"/>
          </w:cols>
          <w:pgMar w:left="540" w:top="1345" w:right="5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10800"/>
          </w:cols>
          <w:pgMar w:left="540" w:top="1345" w:right="540" w:bottom="64" w:gutter="0" w:footer="0" w:header="0"/>
          <w:type w:val="continuous"/>
        </w:sectPr>
      </w:pPr>
    </w:p>
    <w:bookmarkStart w:id="75" w:name="page76"/>
    <w:bookmarkEnd w:id="75"/>
    <w:p>
      <w:pPr>
        <w:jc w:val="both"/>
        <w:ind w:firstLine="36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9"/>
          <w:szCs w:val="19"/>
          <w:color w:val="auto"/>
        </w:rPr>
        <w:t>This Annual Report on Form 10 -K contains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forward -looking statements made pursuant to the safe harbor provisions of the Private Securities Litigation Reform Act of 1995 under Section 27A of the Securities Act of 1933, as amended, and Section 21E of the Securities Exchange Act of 1934, as amended.</w:t>
      </w:r>
    </w:p>
    <w:p>
      <w:pPr>
        <w:spacing w:after="0" w:line="3" w:lineRule="exact"/>
        <w:rPr>
          <w:sz w:val="20"/>
          <w:szCs w:val="20"/>
          <w:color w:val="auto"/>
        </w:rPr>
      </w:pPr>
    </w:p>
    <w:p>
      <w:pPr>
        <w:ind w:right="60" w:firstLine="1"/>
        <w:spacing w:after="0" w:line="241" w:lineRule="auto"/>
        <w:rPr>
          <w:sz w:val="20"/>
          <w:szCs w:val="20"/>
          <w:color w:val="auto"/>
        </w:rPr>
      </w:pPr>
      <w:r>
        <w:rPr>
          <w:rFonts w:ascii="Times New Roman" w:cs="Times New Roman" w:eastAsia="Times New Roman" w:hAnsi="Times New Roman"/>
          <w:sz w:val="20"/>
          <w:szCs w:val="20"/>
          <w:color w:val="auto"/>
        </w:rPr>
        <w:t>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204" w:lineRule="exact"/>
        <w:rPr>
          <w:sz w:val="20"/>
          <w:szCs w:val="20"/>
          <w:color w:val="auto"/>
        </w:rPr>
      </w:pPr>
    </w:p>
    <w:p>
      <w:pPr>
        <w:ind w:right="620" w:firstLine="360"/>
        <w:spacing w:after="0" w:line="278" w:lineRule="auto"/>
        <w:rPr>
          <w:sz w:val="20"/>
          <w:szCs w:val="20"/>
          <w:color w:val="auto"/>
        </w:rPr>
      </w:pPr>
      <w:r>
        <w:rPr>
          <w:rFonts w:ascii="Times New Roman" w:cs="Times New Roman" w:eastAsia="Times New Roman" w:hAnsi="Times New Roman"/>
          <w:sz w:val="20"/>
          <w:szCs w:val="20"/>
          <w:color w:val="auto"/>
        </w:rPr>
        <w:t>There are a number of important factors that could cause the actual results to differ materially from those expressed in any forward-looking statement made by us. These factors include, but are not limited to:</w:t>
      </w:r>
    </w:p>
    <w:p>
      <w:pPr>
        <w:spacing w:after="0" w:line="182" w:lineRule="exact"/>
        <w:rPr>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dependence on product candidates that are still in development stages;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complete research and further development, including preclinical and clinical studies;</w:t>
      </w:r>
    </w:p>
    <w:p>
      <w:pPr>
        <w:spacing w:after="0" w:line="252" w:lineRule="exact"/>
        <w:rPr>
          <w:rFonts w:ascii="Arial" w:cs="Arial" w:eastAsia="Arial" w:hAnsi="Arial"/>
          <w:sz w:val="20"/>
          <w:szCs w:val="20"/>
          <w:color w:val="auto"/>
        </w:rPr>
      </w:pPr>
    </w:p>
    <w:p>
      <w:pPr>
        <w:ind w:left="720" w:right="100" w:hanging="360"/>
        <w:spacing w:after="0" w:line="277"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anticipated timing for preclinical development, regulatory submissions, commencement and completion of clinical trials and product approvals;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commercialize our drug candidates and the growth of the markets for those drug candidates;</w:t>
      </w:r>
    </w:p>
    <w:p>
      <w:pPr>
        <w:spacing w:after="0" w:line="252" w:lineRule="exact"/>
        <w:rPr>
          <w:rFonts w:ascii="Arial" w:cs="Arial" w:eastAsia="Arial" w:hAnsi="Arial"/>
          <w:sz w:val="20"/>
          <w:szCs w:val="20"/>
          <w:color w:val="auto"/>
        </w:rPr>
      </w:pPr>
    </w:p>
    <w:p>
      <w:pPr>
        <w:ind w:left="720" w:right="100" w:hanging="360"/>
        <w:spacing w:after="0" w:line="277"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develop and commercialize products before competitors that are superior to the alternatives developed by such competitors;</w:t>
      </w:r>
    </w:p>
    <w:p>
      <w:pPr>
        <w:spacing w:after="0" w:line="182" w:lineRule="exact"/>
        <w:rPr>
          <w:rFonts w:ascii="Arial" w:cs="Arial" w:eastAsia="Arial" w:hAnsi="Arial"/>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negotiate strategic partnerships, where appropriate, for our drug candidates;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manage multiple clinical trials for a variety of drug candidates at different stages of development;</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timing, scope and results of ongoing preclinical and clinical testing;</w:t>
      </w:r>
    </w:p>
    <w:p>
      <w:pPr>
        <w:spacing w:after="0" w:line="252" w:lineRule="exact"/>
        <w:rPr>
          <w:rFonts w:ascii="Arial" w:cs="Arial" w:eastAsia="Arial" w:hAnsi="Arial"/>
          <w:sz w:val="20"/>
          <w:szCs w:val="20"/>
          <w:color w:val="auto"/>
        </w:rPr>
      </w:pPr>
    </w:p>
    <w:p>
      <w:pPr>
        <w:ind w:left="720" w:right="140" w:hanging="360"/>
        <w:spacing w:after="0" w:line="277"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of the attributes of our product and development candidates, including pharmaceutical properties, efficacy, safety and dosing regimens;</w:t>
      </w:r>
    </w:p>
    <w:p>
      <w:pPr>
        <w:spacing w:after="0" w:line="183" w:lineRule="exact"/>
        <w:rPr>
          <w:rFonts w:ascii="Arial" w:cs="Arial" w:eastAsia="Arial" w:hAnsi="Arial"/>
          <w:sz w:val="20"/>
          <w:szCs w:val="20"/>
          <w:color w:val="auto"/>
        </w:rPr>
      </w:pPr>
    </w:p>
    <w:p>
      <w:pPr>
        <w:ind w:left="720" w:hanging="359"/>
        <w:spacing w:after="0"/>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timing and uncertainty of obtaining regulatory approvals for our drug candidates;</w:t>
      </w:r>
    </w:p>
    <w:p>
      <w:pPr>
        <w:spacing w:after="0" w:line="252" w:lineRule="exact"/>
        <w:rPr>
          <w:rFonts w:ascii="Arial" w:cs="Arial" w:eastAsia="Arial" w:hAnsi="Arial"/>
          <w:sz w:val="20"/>
          <w:szCs w:val="20"/>
          <w:color w:val="auto"/>
        </w:rPr>
      </w:pPr>
    </w:p>
    <w:p>
      <w:pPr>
        <w:ind w:left="720" w:right="380" w:hanging="359"/>
        <w:spacing w:after="0" w:line="277"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cost, delivery and quality of clinical management services provided by our clinical research organization partners;</w:t>
      </w:r>
    </w:p>
    <w:p>
      <w:pPr>
        <w:spacing w:after="0" w:line="182" w:lineRule="exact"/>
        <w:rPr>
          <w:rFonts w:ascii="Arial" w:cs="Arial" w:eastAsia="Arial" w:hAnsi="Arial"/>
          <w:sz w:val="20"/>
          <w:szCs w:val="20"/>
          <w:color w:val="auto"/>
        </w:rPr>
      </w:pPr>
    </w:p>
    <w:p>
      <w:pPr>
        <w:ind w:left="720" w:right="280" w:hanging="359"/>
        <w:spacing w:after="0" w:line="277"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cost, delivery and quality of clinical and commercial-grade materials produced by our own manufacturing facility or supplied by contract manufacturers, suppliers and partners;</w:t>
      </w:r>
    </w:p>
    <w:p>
      <w:pPr>
        <w:spacing w:after="0" w:line="182" w:lineRule="exact"/>
        <w:rPr>
          <w:rFonts w:ascii="Arial" w:cs="Arial" w:eastAsia="Arial" w:hAnsi="Arial"/>
          <w:sz w:val="20"/>
          <w:szCs w:val="20"/>
          <w:color w:val="auto"/>
        </w:rPr>
      </w:pPr>
    </w:p>
    <w:p>
      <w:pPr>
        <w:jc w:val="both"/>
        <w:ind w:left="720" w:right="100" w:hanging="359"/>
        <w:spacing w:after="0" w:line="259"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98" w:lineRule="exact"/>
        <w:rPr>
          <w:rFonts w:ascii="Arial" w:cs="Arial" w:eastAsia="Arial" w:hAnsi="Arial"/>
          <w:sz w:val="20"/>
          <w:szCs w:val="20"/>
          <w:color w:val="auto"/>
        </w:rPr>
      </w:pPr>
    </w:p>
    <w:p>
      <w:pPr>
        <w:ind w:left="720" w:right="1100" w:hanging="359"/>
        <w:spacing w:after="0" w:line="277" w:lineRule="auto"/>
        <w:tabs>
          <w:tab w:leader="none" w:pos="72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paying the regulatory approval milestone under the merger agreement by which we acquired Kolltan Pharmaceuticals, Inc. (“Kolltan”) and our related settlement agreement with Kolltan;</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ii</w:t>
      </w:r>
    </w:p>
    <w:p>
      <w:pPr>
        <w:sectPr>
          <w:pgSz w:w="11880" w:h="15480" w:orient="portrait"/>
          <w:cols w:equalWidth="0" w:num="1">
            <w:col w:w="10760"/>
          </w:cols>
          <w:pgMar w:left="540" w:top="1349" w:right="580" w:bottom="0" w:gutter="0" w:footer="0" w:header="0"/>
          <w:type w:val="continuous"/>
        </w:sectPr>
      </w:pPr>
    </w:p>
    <w:bookmarkStart w:id="76" w:name="page77"/>
    <w:bookmarkEnd w:id="76"/>
    <w:p>
      <w:pPr>
        <w:jc w:val="both"/>
        <w:ind w:left="720" w:hanging="360"/>
        <w:spacing w:after="0" w:line="247" w:lineRule="auto"/>
        <w:tabs>
          <w:tab w:leader="none" w:pos="72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213" w:lineRule="exact"/>
        <w:rPr>
          <w:rFonts w:ascii="Arial" w:cs="Arial" w:eastAsia="Arial" w:hAnsi="Arial"/>
          <w:sz w:val="20"/>
          <w:szCs w:val="20"/>
          <w:color w:val="auto"/>
        </w:rPr>
      </w:pPr>
    </w:p>
    <w:p>
      <w:pPr>
        <w:ind w:left="720" w:right="300" w:hanging="360"/>
        <w:spacing w:after="0" w:line="277" w:lineRule="auto"/>
        <w:tabs>
          <w:tab w:leader="none" w:pos="72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protect our intellectual property rights and our ability to avoid intellectual property litigation, which can be costly and divert management time and attention;</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develop and commercialize products without infringing the intellectual property rights of third parties; and</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the factors listed under “Risk Factors” in this Annual Report on Form 10-K.</w:t>
      </w:r>
    </w:p>
    <w:p>
      <w:pPr>
        <w:spacing w:after="0" w:line="239" w:lineRule="exact"/>
        <w:rPr>
          <w:sz w:val="20"/>
          <w:szCs w:val="20"/>
          <w:color w:val="auto"/>
        </w:rPr>
      </w:pPr>
    </w:p>
    <w:p>
      <w:pPr>
        <w:ind w:right="60" w:firstLine="361"/>
        <w:spacing w:after="0" w:line="247" w:lineRule="auto"/>
        <w:rPr>
          <w:sz w:val="20"/>
          <w:szCs w:val="20"/>
          <w:color w:val="auto"/>
        </w:rPr>
      </w:pPr>
      <w:r>
        <w:rPr>
          <w:rFonts w:ascii="Times New Roman" w:cs="Times New Roman" w:eastAsia="Times New Roman" w:hAnsi="Times New Roman"/>
          <w:sz w:val="20"/>
          <w:szCs w:val="20"/>
          <w:color w:val="auto"/>
        </w:rPr>
        <w:t>All forward-looking statements are expressly qualified in their entirety by this cautionary notice. You are cautioned not to place undue reliance on any forward -looking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ectPr>
          <w:pgSz w:w="11880" w:h="15480" w:orient="portrait"/>
          <w:cols w:equalWidth="0" w:num="1">
            <w:col w:w="10660"/>
          </w:cols>
          <w:pgMar w:left="540" w:top="1364" w:right="68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iii</w:t>
      </w:r>
    </w:p>
    <w:p>
      <w:pPr>
        <w:sectPr>
          <w:pgSz w:w="11880" w:h="15480" w:orient="portrait"/>
          <w:cols w:equalWidth="0" w:num="1">
            <w:col w:w="10660"/>
          </w:cols>
          <w:pgMar w:left="540" w:top="1364" w:right="680" w:bottom="7"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83" w:lineRule="exact"/>
        <w:rPr>
          <w:sz w:val="20"/>
          <w:szCs w:val="20"/>
          <w:color w:val="auto"/>
        </w:rPr>
      </w:pPr>
    </w:p>
    <w:p>
      <w:pPr>
        <w:ind w:right="40" w:firstLine="361"/>
        <w:spacing w:after="0" w:line="249" w:lineRule="auto"/>
        <w:rPr>
          <w:sz w:val="20"/>
          <w:szCs w:val="20"/>
          <w:color w:val="auto"/>
        </w:rPr>
      </w:pPr>
      <w:r>
        <w:rPr>
          <w:rFonts w:ascii="Times New Roman" w:cs="Times New Roman" w:eastAsia="Times New Roman" w:hAnsi="Times New Roman"/>
          <w:sz w:val="20"/>
          <w:szCs w:val="20"/>
          <w:color w:val="auto"/>
        </w:rPr>
        <w:t>Celldex Therapeutics, Inc., which we refer to as “Celldex,” “we,” “us,” “our” or the “Company,”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focusing our efforts and resources on the continued research and development of</w:t>
      </w:r>
    </w:p>
    <w:p>
      <w:pPr>
        <w:spacing w:after="0" w:line="194" w:lineRule="exact"/>
        <w:rPr>
          <w:sz w:val="20"/>
          <w:szCs w:val="20"/>
          <w:color w:val="auto"/>
        </w:rPr>
      </w:pPr>
    </w:p>
    <w:p>
      <w:pPr>
        <w:ind w:left="720" w:right="180" w:hanging="360"/>
        <w:spacing w:after="0" w:line="277" w:lineRule="auto"/>
        <w:tabs>
          <w:tab w:leader="none" w:pos="7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22" w:lineRule="exact"/>
        <w:rPr>
          <w:rFonts w:ascii="Arial" w:cs="Arial" w:eastAsia="Arial" w:hAnsi="Arial"/>
          <w:sz w:val="20"/>
          <w:szCs w:val="20"/>
          <w:color w:val="auto"/>
        </w:rPr>
      </w:pPr>
    </w:p>
    <w:p>
      <w:pPr>
        <w:ind w:left="1440" w:right="20" w:hanging="360"/>
        <w:spacing w:after="0" w:line="244" w:lineRule="auto"/>
        <w:tabs>
          <w:tab w:leader="none" w:pos="144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Chronic Spontaneous Urticaria (CSU): In February 2026, we announced that enrollment is complete in our Phase 3 studies in CSU and that topline data will be available in the fourth quarter of 2026.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 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improved quality of life;</w:t>
      </w:r>
    </w:p>
    <w:p>
      <w:pPr>
        <w:spacing w:after="0" w:line="159" w:lineRule="exact"/>
        <w:rPr>
          <w:rFonts w:ascii="Arial" w:cs="Arial" w:eastAsia="Arial" w:hAnsi="Arial"/>
          <w:sz w:val="20"/>
          <w:szCs w:val="20"/>
          <w:color w:val="auto"/>
        </w:rPr>
      </w:pPr>
    </w:p>
    <w:p>
      <w:pPr>
        <w:ind w:left="1440" w:right="40" w:hanging="361"/>
        <w:spacing w:after="0" w:line="244" w:lineRule="auto"/>
        <w:tabs>
          <w:tab w:leader="none" w:pos="144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Cold Urticaria (ColdU) and Symptomatic Dermographism (SD): We initiated a Phase 3 study in ColdU and SD in December 2025 and enrollment is ongoing.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November 2025, we reported data from 20 weeks of treatment—demonstrating sustained efficacy and a well tolerated safety profile over the longer treatment period;</w:t>
      </w:r>
    </w:p>
    <w:p>
      <w:pPr>
        <w:spacing w:after="0" w:line="159" w:lineRule="exact"/>
        <w:rPr>
          <w:rFonts w:ascii="Arial" w:cs="Arial" w:eastAsia="Arial" w:hAnsi="Arial"/>
          <w:sz w:val="20"/>
          <w:szCs w:val="20"/>
          <w:color w:val="auto"/>
        </w:rPr>
      </w:pPr>
    </w:p>
    <w:p>
      <w:pPr>
        <w:ind w:left="1440" w:hanging="360"/>
        <w:spacing w:after="0" w:line="259" w:lineRule="auto"/>
        <w:tabs>
          <w:tab w:leader="none" w:pos="144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Prurigo Nodularis (PN): In April 2024, we initiated a Phase 2 study in PN and enrollment was completed in December 2025. Topline data from the study is expected in summer 2026. Positive data from a Phase 1b study in PN was reported in November 2023; and</w:t>
      </w:r>
    </w:p>
    <w:p>
      <w:pPr>
        <w:spacing w:after="0" w:line="139" w:lineRule="exact"/>
        <w:rPr>
          <w:rFonts w:ascii="Arial" w:cs="Arial" w:eastAsia="Arial" w:hAnsi="Arial"/>
          <w:sz w:val="20"/>
          <w:szCs w:val="20"/>
          <w:color w:val="auto"/>
        </w:rPr>
      </w:pPr>
    </w:p>
    <w:p>
      <w:pPr>
        <w:ind w:left="1440" w:right="200" w:hanging="360"/>
        <w:spacing w:after="0" w:line="277" w:lineRule="auto"/>
        <w:tabs>
          <w:tab w:leader="none" w:pos="144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Atopic Dermatitis (AD): A Phase 2 study in AD was initiated in December 2024 and enrollment was completed in January 2026. Topline data from the study is expected in late 2026.</w:t>
      </w:r>
    </w:p>
    <w:p>
      <w:pPr>
        <w:spacing w:after="0" w:line="122" w:lineRule="exact"/>
        <w:rPr>
          <w:rFonts w:ascii="Arial" w:cs="Arial" w:eastAsia="Arial" w:hAnsi="Arial"/>
          <w:sz w:val="20"/>
          <w:szCs w:val="20"/>
          <w:color w:val="auto"/>
        </w:rPr>
      </w:pPr>
    </w:p>
    <w:p>
      <w:pPr>
        <w:ind w:left="720" w:right="180" w:hanging="360"/>
        <w:spacing w:after="0" w:line="252" w:lineRule="auto"/>
        <w:tabs>
          <w:tab w:leader="none" w:pos="720" w:val="left"/>
        </w:tabs>
        <w:numPr>
          <w:ilvl w:val="0"/>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48" w:lineRule="exact"/>
        <w:rPr>
          <w:rFonts w:ascii="Arial" w:cs="Arial" w:eastAsia="Arial" w:hAnsi="Arial"/>
          <w:sz w:val="20"/>
          <w:szCs w:val="20"/>
          <w:color w:val="auto"/>
        </w:rPr>
      </w:pPr>
    </w:p>
    <w:p>
      <w:pPr>
        <w:ind w:left="1440" w:right="60" w:hanging="360"/>
        <w:spacing w:after="0" w:line="245" w:lineRule="auto"/>
        <w:tabs>
          <w:tab w:leader="none" w:pos="144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was completed in January 2026. Positive data from the single ascending dose portion of the study was presented in October 2025. Data from the multiple ascending dose portion of the study and subcutaneous administration are anticipated in the third quarter of 2026. In January 2026, we initiated an open-label, single-dose Phase 1 proof of mechanism study in adults with mild to moderate asthma.</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800"/>
          </w:cols>
          <w:pgMar w:left="540" w:top="1347" w:right="540" w:bottom="0" w:gutter="0" w:footer="0" w:header="0"/>
          <w:type w:val="continuous"/>
        </w:sectPr>
      </w:pPr>
    </w:p>
    <w:bookmarkStart w:id="79" w:name="page80"/>
    <w:bookmarkEnd w:id="79"/>
    <w:p>
      <w:pPr>
        <w:ind w:left="360"/>
        <w:spacing w:after="0"/>
        <w:rPr>
          <w:sz w:val="20"/>
          <w:szCs w:val="20"/>
          <w:color w:val="auto"/>
        </w:rPr>
      </w:pPr>
      <w:r>
        <w:rPr>
          <w:rFonts w:ascii="Times New Roman" w:cs="Times New Roman" w:eastAsia="Times New Roman" w:hAnsi="Times New Roman"/>
          <w:sz w:val="20"/>
          <w:szCs w:val="20"/>
          <w:color w:val="auto"/>
        </w:rPr>
        <w:t>More detail on these programs is provided in the Clinical Development Programs section.</w:t>
      </w:r>
    </w:p>
    <w:p>
      <w:pPr>
        <w:spacing w:after="0" w:line="239"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Our mission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Development Programs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Barzolvolimab (also referred to as CDX-0159)</w:t>
      </w:r>
    </w:p>
    <w:p>
      <w:pPr>
        <w:spacing w:after="0" w:line="238"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97"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Barzolvolimab was initially studied in chronic spontaneous urticaria (CSU) and chronic inducible urticaria (CIndU), diseases where mast cell degranulation plays a central role in the onset and progression of the disease. In July 2024, we initiated two Phase 3 studies in CSU. In February 2026, we announced that enrollment is complete in the Phase 3 studies and that topline data is expected in the fourth quarter of 2026. In November 2023, we reported that barzolvolimab achieved the primary efficacy endpoint in a Phase 2 study in CSU,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In June 2025, we presented follow up data from this study through Week 76, 7 months after the completion of dosing with barzolvolimab, demonstrating ongoing profound, sustained complete response and improved quality of life. The study is complete. In April 2024, we announced enrollment was complete in the ongoing Phase 2 CIndU study. In July 2024, we announced that our Phase 2 study in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In November 2025, data from the 20 week placebo controlled treatment period were presented, demonstrating sustained efficacy and a favorable safety profile. Patients with returning or continuing symptoms were eligible to enroll into an open label extension (OLE). The study is now complete.</w:t>
      </w:r>
    </w:p>
    <w:p>
      <w:pPr>
        <w:spacing w:after="0" w:line="208"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Based on the positive results reported in urticaria, we expanded development of barzolvolimab into additional indications where mast cells are believed to play an important role. We are conducting ongoing Phase 2 studies in prurigo nodularis (PN) and atopic dermatitis (AD). We continue to assess potential opportunities for barzolvolimab in other diseases where mast cells play an important role, such as dermatologic, respiratory, allergic, gastrointestinal and ophthalmic conditions.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Chronic Spontaneous Urticaria (CSU) Summary of Phase 1 and Phase 2 Data Presented to Date</w:t>
      </w:r>
    </w:p>
    <w:p>
      <w:pPr>
        <w:spacing w:after="0" w:line="237" w:lineRule="exact"/>
        <w:rPr>
          <w:sz w:val="20"/>
          <w:szCs w:val="20"/>
          <w:color w:val="auto"/>
        </w:rPr>
      </w:pPr>
    </w:p>
    <w:p>
      <w:pPr>
        <w:jc w:val="both"/>
        <w:ind w:right="120" w:firstLine="360"/>
        <w:spacing w:after="0" w:line="249" w:lineRule="auto"/>
        <w:rPr>
          <w:sz w:val="20"/>
          <w:szCs w:val="20"/>
          <w:color w:val="auto"/>
        </w:rPr>
      </w:pPr>
      <w:r>
        <w:rPr>
          <w:rFonts w:ascii="Times New Roman" w:cs="Times New Roman" w:eastAsia="Times New Roman" w:hAnsi="Times New Roman"/>
          <w:sz w:val="20"/>
          <w:szCs w:val="20"/>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w:t>
      </w:r>
    </w:p>
    <w:p>
      <w:pPr>
        <w:spacing w:after="0" w:line="2"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0"/>
          <w:szCs w:val="20"/>
          <w:color w:val="auto"/>
        </w:rPr>
        <w:t>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sectPr>
          <w:pgSz w:w="11880" w:h="15480" w:orient="portrait"/>
          <w:cols w:equalWidth="0" w:num="1">
            <w:col w:w="10780"/>
          </w:cols>
          <w:pgMar w:left="540" w:top="1351" w:right="56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780"/>
          </w:cols>
          <w:pgMar w:left="540" w:top="1351" w:right="560" w:bottom="0" w:gutter="0" w:footer="0" w:header="0"/>
          <w:type w:val="continuous"/>
        </w:sectPr>
      </w:pPr>
    </w:p>
    <w:bookmarkStart w:id="80" w:name="page81"/>
    <w:bookmarkEnd w:id="80"/>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20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Phase 1 CSU: Summary of Clinical Activity Assessments at Week 12 &amp; 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85990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999pt" to="540.15pt,-10.5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-137160</wp:posOffset>
                </wp:positionV>
                <wp:extent cx="0" cy="1627505"/>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75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7999pt" to="0.2pt,117.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6856730</wp:posOffset>
                </wp:positionH>
                <wp:positionV relativeFrom="paragraph">
                  <wp:posOffset>-137160</wp:posOffset>
                </wp:positionV>
                <wp:extent cx="0" cy="162750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75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9pt,-10.7999pt" to="539.9pt,117.35pt" o:allowincell="f" strokecolor="#000000" strokeweight="0.4799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Borders>
              <w:top w:val="single" w:sz="8" w:color="auto"/>
              <w:bottom w:val="single" w:sz="8" w:color="auto"/>
            </w:tcBorders>
          </w:tcPr>
          <w:p>
            <w:pPr>
              <w:spacing w:after="0"/>
              <w:rPr>
                <w:sz w:val="20"/>
                <w:szCs w:val="20"/>
                <w:color w:val="auto"/>
              </w:rPr>
            </w:pPr>
          </w:p>
        </w:tc>
        <w:tc>
          <w:tcPr>
            <w:tcW w:w="3860" w:type="dxa"/>
            <w:vAlign w:val="bottom"/>
            <w:tcBorders>
              <w:top w:val="single" w:sz="8" w:color="auto"/>
              <w:bottom w:val="single" w:sz="8" w:color="auto"/>
              <w:right w:val="single" w:sz="8" w:color="auto"/>
            </w:tcBorders>
          </w:tcPr>
          <w:p>
            <w:pPr>
              <w:spacing w:after="0"/>
              <w:rPr>
                <w:sz w:val="20"/>
                <w:szCs w:val="20"/>
                <w:color w:val="auto"/>
              </w:rPr>
            </w:pPr>
          </w:p>
        </w:tc>
        <w:tc>
          <w:tcPr>
            <w:tcW w:w="2260" w:type="dxa"/>
            <w:vAlign w:val="bottom"/>
            <w:tcBorders>
              <w:top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20"/>
                <w:szCs w:val="20"/>
                <w:color w:val="auto"/>
              </w:rPr>
              <w:t>4.5 mg/kg Q8</w:t>
            </w:r>
          </w:p>
        </w:tc>
        <w:tc>
          <w:tcPr>
            <w:tcW w:w="198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3.0 mg/kg Q8</w:t>
            </w:r>
          </w:p>
        </w:tc>
        <w:tc>
          <w:tcPr>
            <w:tcW w:w="19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1.5 mg/kg Q4</w:t>
            </w:r>
          </w:p>
        </w:tc>
      </w:tr>
      <w:tr>
        <w:trPr>
          <w:trHeight w:val="236"/>
        </w:trPr>
        <w:tc>
          <w:tcPr>
            <w:tcW w:w="4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Mean Reduction Baseline UAS7; % at Week 12</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82% (n=9)</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67% (n=9)</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67% (n=8)</w:t>
            </w:r>
          </w:p>
        </w:tc>
      </w:tr>
      <w:tr>
        <w:trPr>
          <w:trHeight w:val="236"/>
        </w:trPr>
        <w:tc>
          <w:tcPr>
            <w:tcW w:w="4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Mean Reduction Baseline UAS7; % at Week 24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77% (n=7)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 (n=6)</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 (n=7)</w:t>
            </w:r>
          </w:p>
        </w:tc>
      </w:tr>
      <w:tr>
        <w:trPr>
          <w:trHeight w:val="236"/>
        </w:trPr>
        <w:tc>
          <w:tcPr>
            <w:tcW w:w="4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UAS7=0 (Complete Control); % at Week 12</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57%</w:t>
            </w:r>
          </w:p>
        </w:tc>
      </w:tr>
      <w:tr>
        <w:trPr>
          <w:trHeight w:val="234"/>
        </w:trPr>
        <w:tc>
          <w:tcPr>
            <w:tcW w:w="4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UAS7=0 (Complete Control); % at Week 24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43%</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57%</w:t>
            </w:r>
          </w:p>
        </w:tc>
      </w:tr>
      <w:tr>
        <w:trPr>
          <w:trHeight w:val="236"/>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UAS7</w:t>
            </w:r>
            <w:r>
              <w:rPr>
                <w:rFonts w:ascii="Arial" w:cs="Arial" w:eastAsia="Arial" w:hAnsi="Arial"/>
                <w:sz w:val="20"/>
                <w:szCs w:val="20"/>
                <w:color w:val="auto"/>
              </w:rPr>
              <w:t>≤</w:t>
            </w:r>
            <w:r>
              <w:rPr>
                <w:rFonts w:ascii="Times New Roman" w:cs="Times New Roman" w:eastAsia="Times New Roman" w:hAnsi="Times New Roman"/>
                <w:sz w:val="20"/>
                <w:szCs w:val="20"/>
                <w:color w:val="auto"/>
              </w:rPr>
              <w:t>6</w:t>
            </w:r>
          </w:p>
        </w:tc>
        <w:tc>
          <w:tcPr>
            <w:tcW w:w="3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(Well-controlled); % at Week 12</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57%</w:t>
            </w:r>
          </w:p>
        </w:tc>
      </w:tr>
      <w:tr>
        <w:trPr>
          <w:trHeight w:val="236"/>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UAS7</w:t>
            </w:r>
            <w:r>
              <w:rPr>
                <w:rFonts w:ascii="Arial" w:cs="Arial" w:eastAsia="Arial" w:hAnsi="Arial"/>
                <w:sz w:val="20"/>
                <w:szCs w:val="20"/>
                <w:color w:val="auto"/>
              </w:rPr>
              <w:t>≤</w:t>
            </w:r>
            <w:r>
              <w:rPr>
                <w:rFonts w:ascii="Times New Roman" w:cs="Times New Roman" w:eastAsia="Times New Roman" w:hAnsi="Times New Roman"/>
                <w:sz w:val="20"/>
                <w:szCs w:val="20"/>
                <w:color w:val="auto"/>
              </w:rPr>
              <w:t>6</w:t>
            </w:r>
          </w:p>
        </w:tc>
        <w:tc>
          <w:tcPr>
            <w:tcW w:w="3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(Well-controlled); % at Week 24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57%</w:t>
            </w:r>
          </w:p>
        </w:tc>
      </w:tr>
      <w:tr>
        <w:trPr>
          <w:trHeight w:val="236"/>
        </w:trPr>
        <w:tc>
          <w:tcPr>
            <w:tcW w:w="4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 xml:space="preserve">UCT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12 (Well-controlled); % at Week 12</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89%</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63%</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75%</w:t>
            </w:r>
          </w:p>
        </w:tc>
      </w:tr>
      <w:tr>
        <w:trPr>
          <w:trHeight w:val="236"/>
        </w:trPr>
        <w:tc>
          <w:tcPr>
            <w:tcW w:w="4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 xml:space="preserve">UCT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12 (Well-controlled); % at Week 24</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75%</w:t>
            </w:r>
          </w:p>
        </w:tc>
      </w:tr>
    </w:tbl>
    <w:p>
      <w:pPr>
        <w:spacing w:after="0" w:line="210" w:lineRule="exact"/>
        <w:rPr>
          <w:sz w:val="20"/>
          <w:szCs w:val="20"/>
          <w:color w:val="auto"/>
        </w:rPr>
      </w:pPr>
    </w:p>
    <w:p>
      <w:pPr>
        <w:jc w:val="both"/>
        <w:ind w:right="120" w:firstLine="360"/>
        <w:spacing w:after="0" w:line="260" w:lineRule="auto"/>
        <w:rPr>
          <w:sz w:val="20"/>
          <w:szCs w:val="20"/>
          <w:color w:val="auto"/>
        </w:rPr>
      </w:pPr>
      <w:r>
        <w:rPr>
          <w:rFonts w:ascii="Times New Roman" w:cs="Times New Roman" w:eastAsia="Times New Roman" w:hAnsi="Times New Roman"/>
          <w:sz w:val="19"/>
          <w:szCs w:val="19"/>
          <w:color w:val="auto"/>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w:t>
      </w:r>
    </w:p>
    <w:p>
      <w:pPr>
        <w:spacing w:after="0" w:line="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60"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20"/>
          <w:szCs w:val="20"/>
          <w:color w:val="auto"/>
        </w:rPr>
        <w:t>Tryptase suppression, indicative of mast cell depletion, paralleled symptom improvement, demonstrating the impact of mast cell depletion on CSU disease activity.</w:t>
      </w:r>
    </w:p>
    <w:p>
      <w:pPr>
        <w:spacing w:after="0" w:line="127"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57" w:lineRule="exact"/>
        <w:rPr>
          <w:sz w:val="20"/>
          <w:szCs w:val="20"/>
          <w:color w:val="auto"/>
        </w:rPr>
      </w:pPr>
    </w:p>
    <w:p>
      <w:pPr>
        <w:jc w:val="both"/>
        <w:ind w:right="320" w:firstLine="360"/>
        <w:spacing w:after="0" w:line="279" w:lineRule="auto"/>
        <w:rPr>
          <w:sz w:val="20"/>
          <w:szCs w:val="20"/>
          <w:color w:val="auto"/>
        </w:rPr>
      </w:pPr>
      <w:r>
        <w:rPr>
          <w:rFonts w:ascii="Times New Roman" w:cs="Times New Roman" w:eastAsia="Times New Roman" w:hAnsi="Times New Roman"/>
          <w:sz w:val="19"/>
          <w:szCs w:val="19"/>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1349" w:right="540" w:bottom="0" w:gutter="0" w:footer="0" w:header="0"/>
          <w:type w:val="continuous"/>
        </w:sectPr>
      </w:pPr>
    </w:p>
    <w:bookmarkStart w:id="81" w:name="page82"/>
    <w:bookmarkEnd w:id="81"/>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We have completed a Phase 2 study in patients with CSU who remained symptomatic despite antihistamine therapy. The study was conducted at approximately 75 sites across 9 countries. The study was a randomized, double-blind, placebo- 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 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spacing w:after="0" w:line="209"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w:t>
      </w:r>
      <w:r>
        <w:rPr>
          <w:rFonts w:ascii="Arial" w:cs="Arial" w:eastAsia="Arial" w:hAnsi="Arial"/>
          <w:sz w:val="20"/>
          <w:szCs w:val="20"/>
          <w:color w:val="auto"/>
        </w:rPr>
        <w:t>≥</w:t>
      </w:r>
      <w:r>
        <w:rPr>
          <w:rFonts w:ascii="Times New Roman" w:cs="Times New Roman" w:eastAsia="Times New Roman" w:hAnsi="Times New Roman"/>
          <w:sz w:val="20"/>
          <w:szCs w:val="20"/>
          <w:color w:val="auto"/>
        </w:rPr>
        <w:t>28).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Phase 2 CSU: Summary of Clinical Activity Assessments at Week 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-134620</wp:posOffset>
                </wp:positionV>
                <wp:extent cx="686371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37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5999pt" to="540.2pt,-10.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-137795</wp:posOffset>
                </wp:positionV>
                <wp:extent cx="0" cy="3618865"/>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88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0.8499pt" to="-0.0499pt,274.1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-137795</wp:posOffset>
                </wp:positionV>
                <wp:extent cx="0" cy="3618865"/>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88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10.8499pt" to="540pt,274.1pt" o:allowincell="f" strokecolor="#000000" strokeweight="0.4799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80" w:type="dxa"/>
            <w:vAlign w:val="bottom"/>
            <w:tcBorders>
              <w:top w:val="single" w:sz="8" w:color="auto"/>
              <w:right w:val="single" w:sz="8" w:color="auto"/>
            </w:tcBorders>
          </w:tcPr>
          <w:p>
            <w:pPr>
              <w:spacing w:after="0"/>
              <w:rPr>
                <w:sz w:val="17"/>
                <w:szCs w:val="17"/>
                <w:color w:val="auto"/>
              </w:rPr>
            </w:pPr>
          </w:p>
        </w:tc>
        <w:tc>
          <w:tcPr>
            <w:tcW w:w="204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300 mg Q8W</w:t>
            </w:r>
          </w:p>
        </w:tc>
        <w:tc>
          <w:tcPr>
            <w:tcW w:w="24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150 mg Q4W</w:t>
            </w:r>
          </w:p>
        </w:tc>
        <w:tc>
          <w:tcPr>
            <w:tcW w:w="180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75 mg Q4W</w:t>
            </w:r>
          </w:p>
        </w:tc>
        <w:tc>
          <w:tcPr>
            <w:tcW w:w="1700" w:type="dxa"/>
            <w:vAlign w:val="bottom"/>
            <w:tcBorders>
              <w:top w:val="single" w:sz="8" w:color="auto"/>
            </w:tcBorders>
          </w:tcPr>
          <w:p>
            <w:pPr>
              <w:ind w:left="520"/>
              <w:spacing w:after="0" w:line="201" w:lineRule="exact"/>
              <w:rPr>
                <w:sz w:val="20"/>
                <w:szCs w:val="20"/>
                <w:color w:val="auto"/>
              </w:rPr>
            </w:pPr>
            <w:r>
              <w:rPr>
                <w:rFonts w:ascii="Times New Roman" w:cs="Times New Roman" w:eastAsia="Times New Roman" w:hAnsi="Times New Roman"/>
                <w:sz w:val="20"/>
                <w:szCs w:val="20"/>
                <w:color w:val="auto"/>
              </w:rPr>
              <w:t>Placebo</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(n=51)</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(n=52)</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(n=53)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(n=51)</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UAS7 Changes</w:t>
            </w:r>
          </w:p>
        </w:tc>
        <w:tc>
          <w:tcPr>
            <w:tcW w:w="20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Baseline UAS7 (mean)</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31.33</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30.75</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30.30</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30.09</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LS Mean change at Week 12</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-23.87</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-23.02</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-17.06</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-10.47</w:t>
            </w:r>
          </w:p>
        </w:tc>
        <w:tc>
          <w:tcPr>
            <w:tcW w:w="0" w:type="dxa"/>
            <w:vAlign w:val="bottom"/>
          </w:tcPr>
          <w:p>
            <w:pPr>
              <w:spacing w:after="0"/>
              <w:rPr>
                <w:sz w:val="1"/>
                <w:szCs w:val="1"/>
                <w:color w:val="auto"/>
              </w:rPr>
            </w:pPr>
          </w:p>
        </w:tc>
      </w:tr>
      <w:tr>
        <w:trPr>
          <w:trHeight w:val="199"/>
        </w:trPr>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LS Mean difference from placebo</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-13.41</w:t>
            </w:r>
          </w:p>
        </w:tc>
        <w:tc>
          <w:tcPr>
            <w:tcW w:w="24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-12.55</w:t>
            </w:r>
          </w:p>
        </w:tc>
        <w:tc>
          <w:tcPr>
            <w:tcW w:w="18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-6.60</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(CI: -17.47, -9.34)</w:t>
            </w:r>
          </w:p>
        </w:tc>
        <w:tc>
          <w:tcPr>
            <w:tcW w:w="2480" w:type="dxa"/>
            <w:vAlign w:val="bottom"/>
            <w:tcBorders>
              <w:right w:val="single" w:sz="8" w:color="auto"/>
            </w:tcBorders>
            <w:vMerge w:val="restart"/>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(CI:-16.56, -8.55)</w:t>
            </w:r>
          </w:p>
        </w:tc>
        <w:tc>
          <w:tcPr>
            <w:tcW w:w="1800" w:type="dxa"/>
            <w:vAlign w:val="bottom"/>
            <w:tcBorders>
              <w:right w:val="single" w:sz="8" w:color="auto"/>
            </w:tcBorders>
            <w:vMerge w:val="restart"/>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(CI:-10.71, -2.49)</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(Confidence Interval, p value)</w:t>
            </w:r>
          </w:p>
        </w:tc>
        <w:tc>
          <w:tcPr>
            <w:tcW w:w="20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p=0.0017</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78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HSS7 Changes</w:t>
            </w:r>
          </w:p>
        </w:tc>
        <w:tc>
          <w:tcPr>
            <w:tcW w:w="20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Baseline HSS7 (mean)</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14.92</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15.05</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14.86</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14.47</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LS Mean change at Week 12</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-12.19</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-11.19</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-8.25</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-4.95</w:t>
            </w:r>
          </w:p>
        </w:tc>
        <w:tc>
          <w:tcPr>
            <w:tcW w:w="0" w:type="dxa"/>
            <w:vAlign w:val="bottom"/>
          </w:tcPr>
          <w:p>
            <w:pPr>
              <w:spacing w:after="0"/>
              <w:rPr>
                <w:sz w:val="1"/>
                <w:szCs w:val="1"/>
                <w:color w:val="auto"/>
              </w:rPr>
            </w:pPr>
          </w:p>
        </w:tc>
      </w:tr>
      <w:tr>
        <w:trPr>
          <w:trHeight w:val="199"/>
        </w:trPr>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LS Mean difference from placebo</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-7.24</w:t>
            </w:r>
          </w:p>
        </w:tc>
        <w:tc>
          <w:tcPr>
            <w:tcW w:w="24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-6.24</w:t>
            </w:r>
          </w:p>
        </w:tc>
        <w:tc>
          <w:tcPr>
            <w:tcW w:w="18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-3.31</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(CI:-9.36, -5.12)</w:t>
            </w:r>
          </w:p>
        </w:tc>
        <w:tc>
          <w:tcPr>
            <w:tcW w:w="2480" w:type="dxa"/>
            <w:vAlign w:val="bottom"/>
            <w:tcBorders>
              <w:right w:val="single" w:sz="8" w:color="auto"/>
            </w:tcBorders>
            <w:vMerge w:val="restart"/>
          </w:tcPr>
          <w:p>
            <w:pPr>
              <w:jc w:val="center"/>
              <w:spacing w:after="0" w:line="227" w:lineRule="exact"/>
              <w:rPr>
                <w:sz w:val="20"/>
                <w:szCs w:val="20"/>
                <w:color w:val="auto"/>
              </w:rPr>
            </w:pPr>
            <w:r>
              <w:rPr>
                <w:rFonts w:ascii="Times New Roman" w:cs="Times New Roman" w:eastAsia="Times New Roman" w:hAnsi="Times New Roman"/>
                <w:sz w:val="20"/>
                <w:szCs w:val="20"/>
                <w:color w:val="auto"/>
              </w:rPr>
              <w:t>(CI:-8.33, -4.16),</w:t>
            </w:r>
          </w:p>
        </w:tc>
        <w:tc>
          <w:tcPr>
            <w:tcW w:w="1800" w:type="dxa"/>
            <w:vAlign w:val="bottom"/>
            <w:tcBorders>
              <w:right w:val="single" w:sz="8" w:color="auto"/>
            </w:tcBorders>
            <w:vMerge w:val="restart"/>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(CI:-5.40, -1.22),</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(Confidence Interval, p value)</w:t>
            </w:r>
          </w:p>
        </w:tc>
        <w:tc>
          <w:tcPr>
            <w:tcW w:w="20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p=0.0020</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78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ISS7 Changes</w:t>
            </w:r>
          </w:p>
        </w:tc>
        <w:tc>
          <w:tcPr>
            <w:tcW w:w="20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Baseline ISS7 (mean)</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16.42</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15.70</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15.44</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15.61</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LS Mean change at Week 12</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-11.79</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-11.68</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-8.62</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201"/>
        </w:trPr>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LS Mean difference from placebo</w:t>
            </w:r>
          </w:p>
        </w:tc>
        <w:tc>
          <w:tcPr>
            <w:tcW w:w="204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-6.32</w:t>
            </w:r>
          </w:p>
        </w:tc>
        <w:tc>
          <w:tcPr>
            <w:tcW w:w="24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-6.21</w:t>
            </w:r>
          </w:p>
        </w:tc>
        <w:tc>
          <w:tcPr>
            <w:tcW w:w="18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-3.16</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(CI: -8.50, -4.13),</w:t>
            </w:r>
          </w:p>
        </w:tc>
        <w:tc>
          <w:tcPr>
            <w:tcW w:w="2480" w:type="dxa"/>
            <w:vAlign w:val="bottom"/>
            <w:tcBorders>
              <w:right w:val="single" w:sz="8" w:color="auto"/>
            </w:tcBorders>
            <w:vMerge w:val="restart"/>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(CI: -8.38, -4.04),</w:t>
            </w:r>
          </w:p>
        </w:tc>
        <w:tc>
          <w:tcPr>
            <w:tcW w:w="1800" w:type="dxa"/>
            <w:vAlign w:val="bottom"/>
            <w:tcBorders>
              <w:right w:val="single" w:sz="8" w:color="auto"/>
            </w:tcBorders>
            <w:vMerge w:val="restart"/>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(CI: -5.41, -0.91),</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(Confidence Interval, p value)</w:t>
            </w:r>
          </w:p>
        </w:tc>
        <w:tc>
          <w:tcPr>
            <w:tcW w:w="20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78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p=0.0061</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78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Responder Analyses/Clinical Responses</w:t>
            </w: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UAS7=0 (Complete Control)</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37.5%</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51.1%</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22.9%</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auto"/>
              <w:right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UAS7</w:t>
            </w:r>
            <w:r>
              <w:rPr>
                <w:rFonts w:ascii="Arial" w:cs="Arial" w:eastAsia="Arial" w:hAnsi="Arial"/>
                <w:sz w:val="20"/>
                <w:szCs w:val="20"/>
                <w:color w:val="auto"/>
              </w:rPr>
              <w:t>≤</w:t>
            </w:r>
            <w:r>
              <w:rPr>
                <w:rFonts w:ascii="Times New Roman" w:cs="Times New Roman" w:eastAsia="Times New Roman" w:hAnsi="Times New Roman"/>
                <w:sz w:val="20"/>
                <w:szCs w:val="20"/>
                <w:color w:val="auto"/>
              </w:rPr>
              <w:t>6 (Well-controlled)</w:t>
            </w:r>
          </w:p>
        </w:tc>
        <w:tc>
          <w:tcPr>
            <w:tcW w:w="20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62.5%</w:t>
            </w:r>
          </w:p>
        </w:tc>
        <w:tc>
          <w:tcPr>
            <w:tcW w:w="248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59.6%</w:t>
            </w:r>
          </w:p>
        </w:tc>
        <w:tc>
          <w:tcPr>
            <w:tcW w:w="18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41.7%</w:t>
            </w:r>
          </w:p>
        </w:tc>
        <w:tc>
          <w:tcPr>
            <w:tcW w:w="1700" w:type="dxa"/>
            <w:vAlign w:val="bottom"/>
            <w:tcBorders>
              <w:bottom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UAS7, HSS7 and ISS7 data were analyzed using ANCOVA model and multiple imputation.</w:t>
      </w:r>
    </w:p>
    <w:p>
      <w:pPr>
        <w:spacing w:after="0" w:line="240"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1349" w:right="540" w:bottom="0" w:gutter="0" w:footer="0" w:header="0"/>
          <w:type w:val="continuous"/>
        </w:sectPr>
      </w:pPr>
    </w:p>
    <w:bookmarkStart w:id="82" w:name="page83"/>
    <w:bookmarkEnd w:id="82"/>
    <w:p>
      <w:pPr>
        <w:ind w:right="80" w:firstLine="361"/>
        <w:spacing w:after="0" w:line="253" w:lineRule="auto"/>
        <w:rPr>
          <w:sz w:val="20"/>
          <w:szCs w:val="20"/>
          <w:color w:val="auto"/>
        </w:rPr>
      </w:pPr>
      <w:r>
        <w:rPr>
          <w:rFonts w:ascii="Times New Roman" w:cs="Times New Roman" w:eastAsia="Times New Roman" w:hAnsi="Times New Roman"/>
          <w:sz w:val="20"/>
          <w:szCs w:val="20"/>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191"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spacing w:after="0" w:line="202"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p>
      <w:pPr>
        <w:spacing w:after="0" w:line="211" w:lineRule="exact"/>
        <w:rPr>
          <w:sz w:val="20"/>
          <w:szCs w:val="20"/>
          <w:color w:val="auto"/>
        </w:rPr>
      </w:pPr>
    </w:p>
    <w:p>
      <w:pPr>
        <w:ind w:left="720" w:right="500" w:hanging="360"/>
        <w:spacing w:after="0" w:line="277"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Improvements in UAS7 (weekly urticaria activity score), previously shown to be statistically significantly vs placebo at Week 12, were noted as early as Week 1 and were sustained or deepened at Week 52.</w:t>
      </w:r>
    </w:p>
    <w:p>
      <w:pPr>
        <w:spacing w:after="0" w:line="183" w:lineRule="exact"/>
        <w:rPr>
          <w:rFonts w:ascii="Arial" w:cs="Arial" w:eastAsia="Arial" w:hAnsi="Arial"/>
          <w:sz w:val="20"/>
          <w:szCs w:val="20"/>
          <w:color w:val="auto"/>
        </w:rPr>
      </w:pPr>
    </w:p>
    <w:p>
      <w:pPr>
        <w:ind w:left="720" w:right="340" w:hanging="360"/>
        <w:spacing w:after="0" w:line="258"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At Week 16, patients receiving low dose barzolvolimab (75 mg) or placebo were transitioned to barzolvolimab 150 mg or 300 mg; after crossover, these patients experienced similar clinically meaningful disease response as the rest of the study population.</w:t>
      </w:r>
    </w:p>
    <w:p>
      <w:pPr>
        <w:spacing w:after="0" w:line="200" w:lineRule="exact"/>
        <w:rPr>
          <w:rFonts w:ascii="Arial" w:cs="Arial" w:eastAsia="Arial" w:hAnsi="Arial"/>
          <w:sz w:val="20"/>
          <w:szCs w:val="20"/>
          <w:color w:val="auto"/>
        </w:rPr>
      </w:pPr>
    </w:p>
    <w:p>
      <w:pPr>
        <w:ind w:left="720" w:right="440" w:hanging="361"/>
        <w:spacing w:after="0" w:line="305" w:lineRule="auto"/>
        <w:tabs>
          <w:tab w:leader="none" w:pos="72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71% of patients treated with barzolvolimab 150 mg Q4W and 52% of patients treated with 300 mg Q8W had a complete response (no itch/hives; UAS7=0) at Week 52. These responses were observed early and sustained through 52 weeks.</w:t>
      </w:r>
    </w:p>
    <w:p>
      <w:pPr>
        <w:spacing w:after="0" w:line="158" w:lineRule="exact"/>
        <w:rPr>
          <w:rFonts w:ascii="Arial" w:cs="Arial" w:eastAsia="Arial" w:hAnsi="Arial"/>
          <w:sz w:val="19"/>
          <w:szCs w:val="19"/>
          <w:color w:val="auto"/>
        </w:rPr>
      </w:pPr>
    </w:p>
    <w:p>
      <w:pPr>
        <w:ind w:left="720" w:right="100" w:hanging="361"/>
        <w:spacing w:after="0" w:line="277"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74% of patients treated with barzolvolimab 150 mg Q4W and 68% of patients treated with 300 mg Q8W had well controlled (UAS7&lt;6) disease at Week 52.</w:t>
      </w:r>
    </w:p>
    <w:p>
      <w:pPr>
        <w:spacing w:after="0" w:line="182" w:lineRule="exact"/>
        <w:rPr>
          <w:rFonts w:ascii="Arial" w:cs="Arial" w:eastAsia="Arial" w:hAnsi="Arial"/>
          <w:sz w:val="20"/>
          <w:szCs w:val="20"/>
          <w:color w:val="auto"/>
        </w:rPr>
      </w:pPr>
    </w:p>
    <w:p>
      <w:pPr>
        <w:ind w:left="720" w:hanging="361"/>
        <w:spacing w:after="0"/>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These robust responses were observed regardless of prior omalizumab experience.</w:t>
      </w:r>
    </w:p>
    <w:p>
      <w:pPr>
        <w:spacing w:after="0" w:line="253" w:lineRule="exact"/>
        <w:rPr>
          <w:rFonts w:ascii="Arial" w:cs="Arial" w:eastAsia="Arial" w:hAnsi="Arial"/>
          <w:sz w:val="20"/>
          <w:szCs w:val="20"/>
          <w:color w:val="auto"/>
        </w:rPr>
      </w:pPr>
    </w:p>
    <w:p>
      <w:pPr>
        <w:ind w:left="720" w:right="20" w:hanging="361"/>
        <w:spacing w:after="0" w:line="247"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p>
      <w:pPr>
        <w:spacing w:after="0" w:line="213" w:lineRule="exact"/>
        <w:rPr>
          <w:rFonts w:ascii="Arial" w:cs="Arial" w:eastAsia="Arial" w:hAnsi="Arial"/>
          <w:sz w:val="20"/>
          <w:szCs w:val="20"/>
          <w:color w:val="auto"/>
        </w:rPr>
      </w:pPr>
    </w:p>
    <w:p>
      <w:pPr>
        <w:ind w:left="720" w:right="20" w:hanging="361"/>
        <w:spacing w:after="0" w:line="249" w:lineRule="auto"/>
        <w:tabs>
          <w:tab w:leader="none" w:pos="72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p>
      <w:pPr>
        <w:spacing w:after="0" w:line="196" w:lineRule="exact"/>
        <w:rPr>
          <w:sz w:val="20"/>
          <w:szCs w:val="20"/>
          <w:color w:val="auto"/>
        </w:rPr>
      </w:pPr>
    </w:p>
    <w:p>
      <w:pPr>
        <w:ind w:right="80" w:firstLine="360"/>
        <w:spacing w:after="0" w:line="246" w:lineRule="auto"/>
        <w:rPr>
          <w:sz w:val="20"/>
          <w:szCs w:val="20"/>
          <w:color w:val="auto"/>
        </w:rPr>
      </w:pPr>
      <w:r>
        <w:rPr>
          <w:rFonts w:ascii="Times New Roman" w:cs="Times New Roman" w:eastAsia="Times New Roman" w:hAnsi="Times New Roman"/>
          <w:sz w:val="20"/>
          <w:szCs w:val="20"/>
          <w:color w:val="auto"/>
        </w:rPr>
        <w:t>In June of 2025, 52 week data on angioedema activity and additional measures of angioedema control were presented at the EAACI 2025 Congress. Barzolvolimab continued to demonstrate robust, durable and deepening improvements in angioedema symptoms over the treatment period. At Week 52, an 86% mean reduction from baseline was reported for 150 mg Q4W arm and an 82% reduction was reported for the 300 mg Q8W. Up to 77% of patients treated with barzolvolimab who had angioedema at baseline were angioedema free (AAS7=0) at Week 52, which we subsequently announced remained at up to 64% seven months after last dose. Patients treated with barzolvolimab were angioedema free up to 72% of the time over the 52 week treatment period. Up to 87% of patients reported clinically meaningful improvement (&gt;8 point) in AAS7 at Week 52.</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1349" w:right="540" w:bottom="0" w:gutter="0" w:footer="0" w:header="0"/>
          <w:type w:val="continuous"/>
        </w:sectPr>
      </w:pPr>
    </w:p>
    <w:bookmarkStart w:id="83" w:name="page84"/>
    <w:bookmarkEnd w:id="83"/>
    <w:p>
      <w:pPr>
        <w:ind w:firstLine="360"/>
        <w:spacing w:after="0" w:line="278" w:lineRule="auto"/>
        <w:rPr>
          <w:sz w:val="20"/>
          <w:szCs w:val="20"/>
          <w:color w:val="auto"/>
        </w:rPr>
      </w:pPr>
      <w:r>
        <w:rPr>
          <w:rFonts w:ascii="Times New Roman" w:cs="Times New Roman" w:eastAsia="Times New Roman" w:hAnsi="Times New Roman"/>
          <w:sz w:val="20"/>
          <w:szCs w:val="20"/>
          <w:color w:val="auto"/>
        </w:rPr>
        <w:t>In June of 2025, long term follow up data from the Phase 2 CSU study were presented at the EAACI 2025 Congress. At Week 76, seven months after completion of dosing, patients continue to experience profound clinical benefit on study. Key highlights included:</w:t>
      </w:r>
    </w:p>
    <w:p>
      <w:pPr>
        <w:spacing w:after="0" w:line="182" w:lineRule="exact"/>
        <w:rPr>
          <w:sz w:val="20"/>
          <w:szCs w:val="20"/>
          <w:color w:val="auto"/>
        </w:rPr>
      </w:pPr>
    </w:p>
    <w:p>
      <w:pPr>
        <w:ind w:left="720" w:right="480" w:hanging="360"/>
        <w:spacing w:after="0" w:line="277"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UAS7 mean change from baseline at Week 76 was -20.42 for patients treated with 150 mg Q4W and -21.10 for patients treated with 300 mg Q8W.</w:t>
      </w:r>
    </w:p>
    <w:p>
      <w:pPr>
        <w:spacing w:after="0" w:line="182" w:lineRule="exact"/>
        <w:rPr>
          <w:rFonts w:ascii="Arial" w:cs="Arial" w:eastAsia="Arial" w:hAnsi="Arial"/>
          <w:sz w:val="20"/>
          <w:szCs w:val="20"/>
          <w:color w:val="auto"/>
        </w:rPr>
      </w:pPr>
    </w:p>
    <w:p>
      <w:pPr>
        <w:ind w:left="720" w:right="420" w:hanging="360"/>
        <w:spacing w:after="0" w:line="277"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41% of patients treated with barzolvolimab 150 mg Q4W and 35% of patients treated with 300 mg Q8W had a complete response (no itch/hives; UAS7=0) at Week 76.</w:t>
      </w:r>
    </w:p>
    <w:p>
      <w:pPr>
        <w:spacing w:after="0" w:line="182" w:lineRule="exact"/>
        <w:rPr>
          <w:rFonts w:ascii="Arial" w:cs="Arial" w:eastAsia="Arial" w:hAnsi="Arial"/>
          <w:sz w:val="20"/>
          <w:szCs w:val="20"/>
          <w:color w:val="auto"/>
        </w:rPr>
      </w:pPr>
    </w:p>
    <w:p>
      <w:pPr>
        <w:ind w:left="720" w:right="80" w:hanging="360"/>
        <w:spacing w:after="0" w:line="276"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56% of patients treated with barzolvolimab 150 mg Q4W and 47% of patients treated with 300 mg Q8W had well controlled disease (UAS7</w:t>
      </w:r>
      <w:r>
        <w:rPr>
          <w:rFonts w:ascii="Arial" w:cs="Arial" w:eastAsia="Arial" w:hAnsi="Arial"/>
          <w:sz w:val="20"/>
          <w:szCs w:val="20"/>
          <w:color w:val="auto"/>
        </w:rPr>
        <w:t>≤</w:t>
      </w:r>
      <w:r>
        <w:rPr>
          <w:rFonts w:ascii="Times New Roman" w:cs="Times New Roman" w:eastAsia="Times New Roman" w:hAnsi="Times New Roman"/>
          <w:sz w:val="20"/>
          <w:szCs w:val="20"/>
          <w:color w:val="auto"/>
        </w:rPr>
        <w:t>6) at Week 76.</w:t>
      </w:r>
    </w:p>
    <w:p>
      <w:pPr>
        <w:spacing w:after="0" w:line="183" w:lineRule="exact"/>
        <w:rPr>
          <w:rFonts w:ascii="Arial" w:cs="Arial" w:eastAsia="Arial" w:hAnsi="Arial"/>
          <w:sz w:val="20"/>
          <w:szCs w:val="20"/>
          <w:color w:val="auto"/>
        </w:rPr>
      </w:pPr>
    </w:p>
    <w:p>
      <w:pPr>
        <w:ind w:left="720" w:right="180" w:hanging="360"/>
        <w:spacing w:after="0" w:line="252"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 and achieving complete response is directly correlated to the greatest improvements in quality of life for patients.</w:t>
      </w:r>
    </w:p>
    <w:p>
      <w:pPr>
        <w:spacing w:after="0" w:line="208" w:lineRule="exact"/>
        <w:rPr>
          <w:rFonts w:ascii="Arial" w:cs="Arial" w:eastAsia="Arial" w:hAnsi="Arial"/>
          <w:sz w:val="20"/>
          <w:szCs w:val="20"/>
          <w:color w:val="auto"/>
        </w:rPr>
      </w:pPr>
    </w:p>
    <w:p>
      <w:pPr>
        <w:ind w:left="720" w:hanging="360"/>
        <w:spacing w:after="0"/>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These robust responses and improvements in quality of life were observed regardless of prior omalizumab experience.</w:t>
      </w:r>
    </w:p>
    <w:p>
      <w:pPr>
        <w:spacing w:after="0" w:line="253" w:lineRule="exact"/>
        <w:rPr>
          <w:rFonts w:ascii="Arial" w:cs="Arial" w:eastAsia="Arial" w:hAnsi="Arial"/>
          <w:sz w:val="20"/>
          <w:szCs w:val="20"/>
          <w:color w:val="auto"/>
        </w:rPr>
      </w:pPr>
    </w:p>
    <w:p>
      <w:pPr>
        <w:ind w:left="720" w:right="140" w:hanging="360"/>
        <w:spacing w:after="0" w:line="252" w:lineRule="auto"/>
        <w:tabs>
          <w:tab w:leader="none" w:pos="720" w:val="left"/>
        </w:tabs>
        <w:numPr>
          <w:ilvl w:val="0"/>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with a favorable safety profile through 76 weeks. No new safety signals were identified 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p>
      <w:pPr>
        <w:spacing w:after="0" w:line="192"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September at EADV 2025, data were presented demonstrating rapid and strong efficacy regardless of baseline immunoglobulin E (IgE) levels. In November 2025, at the American College of Allergy, Asthma &amp; Immunology’s Annual Scientific (ACAAI) Meeting, data were presented demonstrating that barzolvolimab leads to rapid and profound improvements in UCT7 scores with sustained disease control off treatment.</w:t>
      </w:r>
    </w:p>
    <w:p>
      <w:pPr>
        <w:spacing w:after="0" w:line="195" w:lineRule="exact"/>
        <w:rPr>
          <w:sz w:val="20"/>
          <w:szCs w:val="20"/>
          <w:color w:val="auto"/>
        </w:rPr>
      </w:pPr>
    </w:p>
    <w:p>
      <w:pPr>
        <w:ind w:right="80" w:firstLine="361"/>
        <w:spacing w:after="0" w:line="243" w:lineRule="auto"/>
        <w:rPr>
          <w:sz w:val="20"/>
          <w:szCs w:val="20"/>
          <w:color w:val="auto"/>
        </w:rPr>
      </w:pPr>
      <w:r>
        <w:rPr>
          <w:rFonts w:ascii="Times New Roman" w:cs="Times New Roman" w:eastAsia="Times New Roman" w:hAnsi="Times New Roman"/>
          <w:sz w:val="20"/>
          <w:szCs w:val="20"/>
          <w:color w:val="auto"/>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 randomized to active treatment across both dosing groups. After completion of the 52 week treatment period, patients on study will continue to be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The primary endpoint analysis will be performed when all patients have completed the placebo controlled portion of the study at 24 weeks. Enrollment to the studies was completed in February 2026 and topline data will be available in Q4 2026. 1,939 patients were enrolled—the largest program conducted in antihistamine refractory CSU, including patients with advanced therapy experienced/refractory CSU. The studies included 43 countries and over 500 sites.</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In addition, a global Phase 3b long term extension (LTE) study has been established for patient entry after completion of the</w:t>
      </w:r>
    </w:p>
    <w:p>
      <w:pPr>
        <w:spacing w:after="0" w:line="2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EMBARQ - CSU Phase 3 trials. The study will consist of 2 Groups: Group 1 (Observation Group), containing patients whose disease remains well controlled (UAS7&lt;16) and Group 2 (Barzolvolimab Retreatment Group) containing patients whose disease is currently moderate to severe (UAS7</w:t>
      </w:r>
      <w:r>
        <w:rPr>
          <w:rFonts w:ascii="Arial" w:cs="Arial" w:eastAsia="Arial" w:hAnsi="Arial"/>
          <w:sz w:val="20"/>
          <w:szCs w:val="20"/>
          <w:color w:val="auto"/>
        </w:rPr>
        <w:t>≥</w:t>
      </w:r>
      <w:r>
        <w:rPr>
          <w:rFonts w:ascii="Times New Roman" w:cs="Times New Roman" w:eastAsia="Times New Roman" w:hAnsi="Times New Roman"/>
          <w:sz w:val="20"/>
          <w:szCs w:val="20"/>
          <w:color w:val="auto"/>
        </w:rPr>
        <w:t>16). Patients in Group 2 will receive up to an additional year of treatment with barzolvolimab. Patients in the observation group (Group 1) whose CSU flares to a UAS7&gt;/=16 in the first 6 months of the LTE will also be able to receive treatment.</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780"/>
          </w:cols>
          <w:pgMar w:left="540" w:top="1349" w:right="56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auto"/>
        </w:rPr>
        <w:t>Chronic Inducible Urticaria (CIndU) Summary of Phase 1 and Phase 2 Data Presented to Date</w:t>
      </w:r>
    </w:p>
    <w:p>
      <w:pPr>
        <w:spacing w:after="0" w:line="237"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spacing w:after="0" w:line="197"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201"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Rapid (as early as 1 week) and durable responses were observed in patients as assessed by provocation testing.</w:t>
      </w:r>
    </w:p>
    <w:p>
      <w:pPr>
        <w:spacing w:after="0" w:line="255" w:lineRule="exact"/>
        <w:rPr>
          <w:sz w:val="20"/>
          <w:szCs w:val="20"/>
          <w:color w:val="auto"/>
        </w:rPr>
      </w:pPr>
    </w:p>
    <w:p>
      <w:pPr>
        <w:ind w:left="720" w:hanging="360"/>
        <w:spacing w:after="0" w:line="246"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w:t>
      </w:r>
      <w:r>
        <w:rPr>
          <w:rFonts w:ascii="Arial" w:cs="Arial" w:eastAsia="Arial" w:hAnsi="Arial"/>
          <w:sz w:val="20"/>
          <w:szCs w:val="20"/>
          <w:color w:val="auto"/>
        </w:rPr>
        <w:t>≥</w:t>
      </w:r>
      <w:r>
        <w:rPr>
          <w:rFonts w:ascii="Times New Roman" w:cs="Times New Roman" w:eastAsia="Times New Roman" w:hAnsi="Times New Roman"/>
          <w:sz w:val="20"/>
          <w:szCs w:val="20"/>
          <w:color w:val="auto"/>
        </w:rPr>
        <w:t>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212" w:lineRule="exact"/>
        <w:rPr>
          <w:rFonts w:ascii="Arial" w:cs="Arial" w:eastAsia="Arial" w:hAnsi="Arial"/>
          <w:sz w:val="20"/>
          <w:szCs w:val="20"/>
          <w:color w:val="auto"/>
        </w:rPr>
      </w:pPr>
    </w:p>
    <w:p>
      <w:pPr>
        <w:ind w:left="720" w:right="20" w:hanging="360"/>
        <w:spacing w:after="0" w:line="252"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208" w:lineRule="exact"/>
        <w:rPr>
          <w:rFonts w:ascii="Arial" w:cs="Arial" w:eastAsia="Arial" w:hAnsi="Arial"/>
          <w:sz w:val="20"/>
          <w:szCs w:val="20"/>
          <w:color w:val="auto"/>
        </w:rPr>
      </w:pPr>
    </w:p>
    <w:p>
      <w:pPr>
        <w:ind w:left="720" w:hanging="360"/>
        <w:spacing w:after="0" w:line="258"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 complete response was achieved in 56% (n=5 of 9) patients with cholinergic urticaria treated with a single dose at 3 mg/kg. Most responses remained durable through to Week 12. 63% (5/8) patients reported well controlled disease (UCT </w:t>
      </w:r>
      <w:r>
        <w:rPr>
          <w:rFonts w:ascii="Arial" w:cs="Arial" w:eastAsia="Arial" w:hAnsi="Arial"/>
          <w:sz w:val="20"/>
          <w:szCs w:val="20"/>
          <w:color w:val="auto"/>
        </w:rPr>
        <w:t>≥</w:t>
      </w:r>
      <w:r>
        <w:rPr>
          <w:rFonts w:ascii="Times New Roman" w:cs="Times New Roman" w:eastAsia="Times New Roman" w:hAnsi="Times New Roman"/>
          <w:sz w:val="20"/>
          <w:szCs w:val="20"/>
          <w:color w:val="auto"/>
        </w:rPr>
        <w:t>12) at Week 8 and 50% (4/8) at Week 12, respectively.</w:t>
      </w:r>
    </w:p>
    <w:p>
      <w:pPr>
        <w:spacing w:after="0" w:line="200" w:lineRule="exact"/>
        <w:rPr>
          <w:rFonts w:ascii="Arial" w:cs="Arial" w:eastAsia="Arial" w:hAnsi="Arial"/>
          <w:sz w:val="20"/>
          <w:szCs w:val="20"/>
          <w:color w:val="auto"/>
        </w:rPr>
      </w:pPr>
    </w:p>
    <w:p>
      <w:pPr>
        <w:ind w:left="720" w:right="180" w:hanging="360"/>
        <w:spacing w:after="0" w:line="258"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201" w:lineRule="exact"/>
        <w:rPr>
          <w:rFonts w:ascii="Arial" w:cs="Arial" w:eastAsia="Arial" w:hAnsi="Arial"/>
          <w:sz w:val="20"/>
          <w:szCs w:val="20"/>
          <w:color w:val="auto"/>
        </w:rPr>
      </w:pPr>
    </w:p>
    <w:p>
      <w:pPr>
        <w:ind w:left="720" w:right="160" w:hanging="360"/>
        <w:spacing w:after="0" w:line="252" w:lineRule="auto"/>
        <w:tabs>
          <w:tab w:leader="none" w:pos="720" w:val="left"/>
        </w:tabs>
        <w:numPr>
          <w:ilvl w:val="0"/>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ectPr>
          <w:pgSz w:w="11880" w:h="15480" w:orient="portrait"/>
          <w:cols w:equalWidth="0" w:num="1">
            <w:col w:w="10780"/>
          </w:cols>
          <w:pgMar w:left="540" w:top="13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780"/>
          </w:cols>
          <w:pgMar w:left="540" w:top="1353" w:right="560" w:bottom="0" w:gutter="0" w:footer="0" w:header="0"/>
          <w:type w:val="continuous"/>
        </w:sectPr>
      </w:pPr>
    </w:p>
    <w:bookmarkStart w:id="85" w:name="page86"/>
    <w:bookmarkEnd w:id="85"/>
    <w:p>
      <w:pPr>
        <w:ind w:left="720" w:right="60" w:hanging="360"/>
        <w:spacing w:after="0" w:line="243" w:lineRule="auto"/>
        <w:tabs>
          <w:tab w:leader="none" w:pos="7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across all cohorts. In the 3 mg/kg ColdU and SD cohorts, most adverse events were mild, and the most common (</w:t>
      </w:r>
      <w:r>
        <w:rPr>
          <w:rFonts w:ascii="Arial" w:cs="Arial" w:eastAsia="Arial" w:hAnsi="Arial"/>
          <w:sz w:val="20"/>
          <w:szCs w:val="20"/>
          <w:color w:val="auto"/>
        </w:rPr>
        <w:t>≥</w:t>
      </w:r>
      <w:r>
        <w:rPr>
          <w:rFonts w:ascii="Times New Roman" w:cs="Times New Roman" w:eastAsia="Times New Roman" w:hAnsi="Times New Roman"/>
          <w:sz w:val="20"/>
          <w:szCs w:val="20"/>
          <w:color w:val="auto"/>
        </w:rPr>
        <w:t>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221" w:lineRule="exact"/>
        <w:rPr>
          <w:rFonts w:ascii="Arial" w:cs="Arial" w:eastAsia="Arial" w:hAnsi="Arial"/>
          <w:sz w:val="20"/>
          <w:szCs w:val="20"/>
          <w:color w:val="auto"/>
        </w:rPr>
      </w:pPr>
    </w:p>
    <w:p>
      <w:pPr>
        <w:ind w:left="720" w:right="100" w:hanging="360"/>
        <w:spacing w:after="0" w:line="244" w:lineRule="auto"/>
        <w:tabs>
          <w:tab w:leader="none" w:pos="720" w:val="left"/>
        </w:tabs>
        <w:numPr>
          <w:ilvl w:val="0"/>
          <w:numId w:val="62"/>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w:t>
      </w:r>
      <w:r>
        <w:rPr>
          <w:rFonts w:ascii="Arial" w:cs="Arial" w:eastAsia="Arial" w:hAnsi="Arial"/>
          <w:sz w:val="20"/>
          <w:szCs w:val="20"/>
          <w:color w:val="auto"/>
        </w:rPr>
        <w:t>≥</w:t>
      </w:r>
      <w:r>
        <w:rPr>
          <w:rFonts w:ascii="Times New Roman" w:cs="Times New Roman" w:eastAsia="Times New Roman" w:hAnsi="Times New Roman"/>
          <w:sz w:val="20"/>
          <w:szCs w:val="20"/>
          <w:color w:val="auto"/>
        </w:rPr>
        <w:t>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204" w:lineRule="exact"/>
        <w:rPr>
          <w:sz w:val="20"/>
          <w:szCs w:val="20"/>
          <w:color w:val="auto"/>
        </w:rPr>
      </w:pPr>
    </w:p>
    <w:p>
      <w:pPr>
        <w:jc w:val="both"/>
        <w:ind w:right="160" w:firstLine="360"/>
        <w:spacing w:after="0" w:line="259" w:lineRule="auto"/>
        <w:rPr>
          <w:sz w:val="20"/>
          <w:szCs w:val="20"/>
          <w:color w:val="auto"/>
        </w:rPr>
      </w:pPr>
      <w:r>
        <w:rPr>
          <w:rFonts w:ascii="Times New Roman" w:cs="Times New Roman" w:eastAsia="Times New Roman" w:hAnsi="Times New Roman"/>
          <w:sz w:val="20"/>
          <w:szCs w:val="20"/>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86"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We recently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800"/>
          </w:cols>
          <w:pgMar w:left="540" w:top="1364" w:right="540" w:bottom="0" w:gutter="0" w:footer="0" w:header="0"/>
          <w:type w:val="continuous"/>
        </w:sectPr>
      </w:pPr>
    </w:p>
    <w:bookmarkStart w:id="86" w:name="page87"/>
    <w:bookmarkEnd w:id="86"/>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Summary of Clinical Assessments at Week 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684530</wp:posOffset>
                </wp:positionH>
                <wp:positionV relativeFrom="paragraph">
                  <wp:posOffset>-107315</wp:posOffset>
                </wp:positionV>
                <wp:extent cx="548830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883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pt,-8.4499pt" to="486.05pt,-8.4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687705</wp:posOffset>
                </wp:positionH>
                <wp:positionV relativeFrom="paragraph">
                  <wp:posOffset>-110490</wp:posOffset>
                </wp:positionV>
                <wp:extent cx="0" cy="2294255"/>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42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15pt,-8.6999pt" to="54.15pt,171.9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6169660</wp:posOffset>
                </wp:positionH>
                <wp:positionV relativeFrom="paragraph">
                  <wp:posOffset>-110490</wp:posOffset>
                </wp:positionV>
                <wp:extent cx="0" cy="229425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425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8pt,-8.6999pt" to="485.8pt,171.95pt" o:allowincell="f" strokecolor="#000000" strokeweight="0.4799pt"/>
            </w:pict>
          </mc:Fallback>
        </mc:AlternateContent>
      </w:r>
    </w:p>
    <w:p>
      <w:pPr>
        <w:spacing w:after="0" w:line="12"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10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right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Cold Urticaria</w:t>
            </w:r>
          </w:p>
        </w:tc>
        <w:tc>
          <w:tcPr>
            <w:tcW w:w="1080" w:type="dxa"/>
            <w:vAlign w:val="bottom"/>
            <w:tcBorders>
              <w:top w:val="single" w:sz="8" w:color="auto"/>
              <w:bottom w:val="single" w:sz="8" w:color="auto"/>
              <w:right w:val="single" w:sz="8" w:color="auto"/>
            </w:tcBorders>
          </w:tcPr>
          <w:p>
            <w:pPr>
              <w:spacing w:after="0"/>
              <w:rPr>
                <w:sz w:val="16"/>
                <w:szCs w:val="16"/>
                <w:color w:val="auto"/>
              </w:rPr>
            </w:pPr>
          </w:p>
        </w:tc>
        <w:tc>
          <w:tcPr>
            <w:tcW w:w="220" w:type="dxa"/>
            <w:vAlign w:val="bottom"/>
            <w:tcBorders>
              <w:top w:val="single" w:sz="8" w:color="auto"/>
              <w:right w:val="single" w:sz="8" w:color="auto"/>
            </w:tcBorders>
          </w:tcPr>
          <w:p>
            <w:pPr>
              <w:spacing w:after="0"/>
              <w:rPr>
                <w:sz w:val="16"/>
                <w:szCs w:val="16"/>
                <w:color w:val="auto"/>
              </w:rPr>
            </w:pPr>
          </w:p>
        </w:tc>
        <w:tc>
          <w:tcPr>
            <w:tcW w:w="32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Symptomatic Dermographism</w:t>
            </w: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All measurements at</w:t>
            </w: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150 mg</w:t>
            </w: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300 mg</w:t>
            </w:r>
          </w:p>
        </w:tc>
        <w:tc>
          <w:tcPr>
            <w:tcW w:w="10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Placebo</w:t>
            </w: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150 mg</w:t>
            </w: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300 mg</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Placebo</w:t>
            </w: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gridSpan w:val="3"/>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q4w</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q8w</w:t>
            </w:r>
          </w:p>
        </w:tc>
        <w:tc>
          <w:tcPr>
            <w:tcW w:w="1080" w:type="dxa"/>
            <w:vAlign w:val="bottom"/>
            <w:tcBorders>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q4w</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q8w</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Week 12</w:t>
            </w: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(n=32)</w:t>
            </w:r>
          </w:p>
        </w:tc>
        <w:tc>
          <w:tcPr>
            <w:tcW w:w="22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(n=31)</w:t>
            </w:r>
          </w:p>
        </w:tc>
        <w:tc>
          <w:tcPr>
            <w:tcW w:w="0" w:type="dxa"/>
            <w:vAlign w:val="bottom"/>
          </w:tcPr>
          <w:p>
            <w:pPr>
              <w:spacing w:after="0"/>
              <w:rPr>
                <w:sz w:val="1"/>
                <w:szCs w:val="1"/>
                <w:color w:val="auto"/>
              </w:rPr>
            </w:pPr>
          </w:p>
        </w:tc>
      </w:tr>
      <w:tr>
        <w:trPr>
          <w:trHeight w:val="117"/>
        </w:trPr>
        <w:tc>
          <w:tcPr>
            <w:tcW w:w="1960" w:type="dxa"/>
            <w:vAlign w:val="bottom"/>
            <w:tcBorders>
              <w:right w:val="single" w:sz="8" w:color="auto"/>
            </w:tcBorders>
            <w:gridSpan w:val="3"/>
            <w:vMerge w:val="continue"/>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(n=32)</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(n=32)</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(n=33)</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(n=33)</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tcPr>
          <w:p>
            <w:pPr>
              <w:ind w:left="60"/>
              <w:spacing w:after="0" w:line="172" w:lineRule="exact"/>
              <w:rPr>
                <w:sz w:val="20"/>
                <w:szCs w:val="20"/>
                <w:color w:val="auto"/>
              </w:rPr>
            </w:pPr>
            <w:r>
              <w:rPr>
                <w:rFonts w:ascii="Times New Roman" w:cs="Times New Roman" w:eastAsia="Times New Roman" w:hAnsi="Times New Roman"/>
                <w:sz w:val="16"/>
                <w:szCs w:val="16"/>
                <w:b w:val="1"/>
                <w:bCs w:val="1"/>
                <w:color w:val="auto"/>
              </w:rPr>
              <w:t xml:space="preserve">Primary endpoint: </w:t>
            </w:r>
            <w:r>
              <w:rPr>
                <w:rFonts w:ascii="Times New Roman" w:cs="Times New Roman" w:eastAsia="Times New Roman" w:hAnsi="Times New Roman"/>
                <w:sz w:val="16"/>
                <w:szCs w:val="16"/>
                <w:color w:val="auto"/>
              </w:rPr>
              <w:t>% of</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6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color w:val="auto"/>
              </w:rPr>
              <w:t>patients with negative</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46.9%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57.6%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42.4%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3.2%</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provocation test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p=0.0023</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p=0.0011</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p=0.0003</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960" w:type="dxa"/>
            <w:vAlign w:val="bottom"/>
            <w:tcBorders>
              <w:right w:val="single" w:sz="8" w:color="auto"/>
            </w:tcBorders>
            <w:gridSpan w:val="3"/>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960" w:type="dxa"/>
            <w:vAlign w:val="bottom"/>
            <w:tcBorders>
              <w:bottom w:val="single" w:sz="8" w:color="auto"/>
              <w:right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color w:val="auto"/>
              </w:rPr>
              <w:t>(complete response)</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tcPr>
          <w:p>
            <w:pPr>
              <w:ind w:left="60"/>
              <w:spacing w:after="0" w:line="172" w:lineRule="exact"/>
              <w:rPr>
                <w:sz w:val="20"/>
                <w:szCs w:val="20"/>
                <w:color w:val="auto"/>
              </w:rPr>
            </w:pPr>
            <w:r>
              <w:rPr>
                <w:rFonts w:ascii="Times New Roman" w:cs="Times New Roman" w:eastAsia="Times New Roman" w:hAnsi="Times New Roman"/>
                <w:sz w:val="16"/>
                <w:szCs w:val="16"/>
                <w:color w:val="auto"/>
              </w:rPr>
              <w:t>% of patients with complete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62.5%</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66.6%</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57.5%</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or partial response per</w:t>
            </w: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31.3%</w:t>
            </w: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12.9%</w:t>
            </w:r>
          </w:p>
        </w:tc>
        <w:tc>
          <w:tcPr>
            <w:tcW w:w="0" w:type="dxa"/>
            <w:vAlign w:val="bottom"/>
          </w:tcPr>
          <w:p>
            <w:pPr>
              <w:spacing w:after="0"/>
              <w:rPr>
                <w:sz w:val="1"/>
                <w:szCs w:val="1"/>
                <w:color w:val="auto"/>
              </w:rPr>
            </w:pPr>
          </w:p>
        </w:tc>
      </w:tr>
      <w:tr>
        <w:trPr>
          <w:trHeight w:val="102"/>
        </w:trPr>
        <w:tc>
          <w:tcPr>
            <w:tcW w:w="1960" w:type="dxa"/>
            <w:vAlign w:val="bottom"/>
            <w:tcBorders>
              <w:right w:val="single" w:sz="8" w:color="auto"/>
            </w:tcBorders>
            <w:gridSpan w:val="3"/>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p=0.0118</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p=0.0006</w:t>
            </w:r>
          </w:p>
        </w:tc>
        <w:tc>
          <w:tcPr>
            <w:tcW w:w="1080" w:type="dxa"/>
            <w:vAlign w:val="bottom"/>
            <w:tcBorders>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p=0.0002</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provocation test</w:t>
            </w: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960" w:type="dxa"/>
            <w:vAlign w:val="bottom"/>
            <w:tcBorders>
              <w:bottom w:val="single" w:sz="8" w:color="auto"/>
              <w:right w:val="single" w:sz="8" w:color="auto"/>
            </w:tcBorders>
            <w:gridSpan w:val="3"/>
            <w:vMerge w:val="continue"/>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1960" w:type="dxa"/>
            <w:vAlign w:val="bottom"/>
            <w:tcBorders>
              <w:right w:val="single" w:sz="8" w:color="auto"/>
            </w:tcBorders>
            <w:gridSpan w:val="3"/>
          </w:tcPr>
          <w:p>
            <w:pPr>
              <w:ind w:left="60"/>
              <w:spacing w:after="0" w:line="171" w:lineRule="exact"/>
              <w:rPr>
                <w:sz w:val="20"/>
                <w:szCs w:val="20"/>
                <w:color w:val="auto"/>
              </w:rPr>
            </w:pPr>
            <w:r>
              <w:rPr>
                <w:rFonts w:ascii="Times New Roman" w:cs="Times New Roman" w:eastAsia="Times New Roman" w:hAnsi="Times New Roman"/>
                <w:sz w:val="16"/>
                <w:szCs w:val="16"/>
                <w:color w:val="auto"/>
              </w:rPr>
              <w:t>Improvement in Critical</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6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Temperature (CTT) and</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-8.82°C</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-9.61°C</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-0.30°C</w:t>
            </w:r>
          </w:p>
        </w:tc>
        <w:tc>
          <w:tcPr>
            <w:tcW w:w="2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-2.46 pins</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 pins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-0.82 pins</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Critical Friction (CFT)</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p=0.0002</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gridSpan w:val="3"/>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auto"/>
              <w:right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color w:val="auto"/>
              </w:rPr>
              <w:t>Thresholds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960" w:type="dxa"/>
            <w:vAlign w:val="bottom"/>
            <w:tcBorders>
              <w:right w:val="single" w:sz="8" w:color="auto"/>
            </w:tcBorders>
            <w:gridSpan w:val="3"/>
          </w:tcPr>
          <w:p>
            <w:pPr>
              <w:ind w:left="60"/>
              <w:spacing w:after="0" w:line="168" w:lineRule="exact"/>
              <w:rPr>
                <w:sz w:val="20"/>
                <w:szCs w:val="20"/>
                <w:color w:val="auto"/>
              </w:rPr>
            </w:pPr>
            <w:r>
              <w:rPr>
                <w:rFonts w:ascii="Times New Roman" w:cs="Times New Roman" w:eastAsia="Times New Roman" w:hAnsi="Times New Roman"/>
                <w:sz w:val="16"/>
                <w:szCs w:val="16"/>
                <w:color w:val="auto"/>
              </w:rPr>
              <w:t>% of patients with Urticaria</w:t>
            </w: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58.6%</w:t>
            </w: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68.8%</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54.8%</w:t>
            </w: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65.5%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32.0%</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Control Test &gt;12</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p=0.0048</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p=0.0015</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960" w:type="dxa"/>
            <w:vAlign w:val="bottom"/>
            <w:tcBorders>
              <w:right w:val="single" w:sz="8" w:color="auto"/>
            </w:tcBorders>
            <w:gridSpan w:val="3"/>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color w:val="auto"/>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spacing w:after="0" w:line="186"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spacing w:after="0" w:line="19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spacing w:after="0" w:line="191" w:lineRule="exact"/>
        <w:rPr>
          <w:sz w:val="20"/>
          <w:szCs w:val="20"/>
          <w:color w:val="auto"/>
        </w:rPr>
      </w:pPr>
    </w:p>
    <w:p>
      <w:pPr>
        <w:ind w:right="380" w:firstLine="360"/>
        <w:spacing w:after="0" w:line="259" w:lineRule="auto"/>
        <w:rPr>
          <w:sz w:val="20"/>
          <w:szCs w:val="20"/>
          <w:color w:val="auto"/>
        </w:rPr>
      </w:pPr>
      <w:r>
        <w:rPr>
          <w:rFonts w:ascii="Times New Roman" w:cs="Times New Roman" w:eastAsia="Times New Roman" w:hAnsi="Times New Roman"/>
          <w:sz w:val="20"/>
          <w:szCs w:val="20"/>
          <w:color w:val="auto"/>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p>
      <w:pPr>
        <w:spacing w:after="0" w:line="200" w:lineRule="exact"/>
        <w:rPr>
          <w:sz w:val="20"/>
          <w:szCs w:val="20"/>
          <w:color w:val="auto"/>
        </w:rPr>
      </w:pPr>
    </w:p>
    <w:p>
      <w:pPr>
        <w:ind w:left="720" w:right="80" w:hanging="360"/>
        <w:spacing w:after="0" w:line="277" w:lineRule="auto"/>
        <w:tabs>
          <w:tab w:leader="none" w:pos="72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Up to 66% of patients with ColdU and 49% of patients with SD obtained a complete response compared to 16% and 10% of patients on placebo, respectively.</w:t>
      </w:r>
    </w:p>
    <w:p>
      <w:pPr>
        <w:spacing w:after="0" w:line="182" w:lineRule="exact"/>
        <w:rPr>
          <w:rFonts w:ascii="Arial" w:cs="Arial" w:eastAsia="Arial" w:hAnsi="Arial"/>
          <w:sz w:val="20"/>
          <w:szCs w:val="20"/>
          <w:color w:val="auto"/>
        </w:rPr>
      </w:pPr>
    </w:p>
    <w:p>
      <w:pPr>
        <w:ind w:left="720" w:right="280" w:hanging="360"/>
        <w:spacing w:after="0" w:line="277" w:lineRule="auto"/>
        <w:tabs>
          <w:tab w:leader="none" w:pos="720" w:val="left"/>
        </w:tabs>
        <w:numPr>
          <w:ilvl w:val="0"/>
          <w:numId w:val="63"/>
        </w:numPr>
        <w:rPr>
          <w:rFonts w:ascii="Arial" w:cs="Arial" w:eastAsia="Arial" w:hAnsi="Arial"/>
          <w:sz w:val="20"/>
          <w:szCs w:val="20"/>
          <w:color w:val="auto"/>
        </w:rPr>
      </w:pPr>
      <w:r>
        <w:rPr>
          <w:rFonts w:ascii="Times New Roman" w:cs="Times New Roman" w:eastAsia="Times New Roman" w:hAnsi="Times New Roman"/>
          <w:sz w:val="20"/>
          <w:szCs w:val="20"/>
          <w:color w:val="auto"/>
        </w:rPr>
        <w:t>Up to 78% of patients with ColdU and 58% of patients with SD obtained a partial or complete response compared to 25% and 16% of patients on placebo, respectively.</w:t>
      </w:r>
    </w:p>
    <w:p>
      <w:pPr>
        <w:sectPr>
          <w:pgSz w:w="11880" w:h="15480" w:orient="portrait"/>
          <w:cols w:equalWidth="0" w:num="1">
            <w:col w:w="10740"/>
          </w:cols>
          <w:pgMar w:left="540" w:top="13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740"/>
          </w:cols>
          <w:pgMar w:left="540" w:top="1349" w:right="600" w:bottom="0" w:gutter="0" w:footer="0" w:header="0"/>
          <w:type w:val="continuous"/>
        </w:sectPr>
      </w:pPr>
    </w:p>
    <w:bookmarkStart w:id="87" w:name="page88"/>
    <w:bookmarkEnd w:id="87"/>
    <w:p>
      <w:pPr>
        <w:ind w:left="720" w:hanging="360"/>
        <w:spacing w:after="0"/>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Marked improvement in critical temperature threshold (from baseline values of 18.7°C and 20.7°C to Week 20 values of</w:t>
      </w:r>
    </w:p>
    <w:p>
      <w:pPr>
        <w:spacing w:after="0" w:line="27" w:lineRule="exact"/>
        <w:rPr>
          <w:rFonts w:ascii="Arial" w:cs="Arial" w:eastAsia="Arial" w:hAnsi="Arial"/>
          <w:sz w:val="20"/>
          <w:szCs w:val="20"/>
          <w:color w:val="auto"/>
        </w:rPr>
      </w:pPr>
    </w:p>
    <w:p>
      <w:pPr>
        <w:ind w:left="720"/>
        <w:spacing w:after="0" w:line="242" w:lineRule="auto"/>
        <w:rPr>
          <w:rFonts w:ascii="Arial" w:cs="Arial" w:eastAsia="Arial" w:hAnsi="Arial"/>
          <w:sz w:val="20"/>
          <w:szCs w:val="20"/>
          <w:color w:val="auto"/>
        </w:rPr>
      </w:pPr>
      <w:r>
        <w:rPr>
          <w:rFonts w:ascii="Times New Roman" w:cs="Times New Roman" w:eastAsia="Times New Roman" w:hAnsi="Times New Roman"/>
          <w:sz w:val="20"/>
          <w:szCs w:val="20"/>
          <w:color w:val="auto"/>
        </w:rPr>
        <w:t>10.7°C and 9.2°C for barzolvolimab 150 mg Q4W and 300 mg Q8W, respectively compared to baseline values of 18.6°C to Week 20 values of 18.2°C for placebo)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p>
      <w:pPr>
        <w:spacing w:after="0" w:line="216" w:lineRule="exact"/>
        <w:rPr>
          <w:rFonts w:ascii="Arial" w:cs="Arial" w:eastAsia="Arial" w:hAnsi="Arial"/>
          <w:sz w:val="20"/>
          <w:szCs w:val="20"/>
          <w:color w:val="auto"/>
        </w:rPr>
      </w:pPr>
    </w:p>
    <w:p>
      <w:pPr>
        <w:ind w:left="720" w:right="400" w:hanging="360"/>
        <w:spacing w:after="0" w:line="259"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p>
      <w:pPr>
        <w:spacing w:after="0" w:line="198" w:lineRule="exact"/>
        <w:rPr>
          <w:rFonts w:ascii="Arial" w:cs="Arial" w:eastAsia="Arial" w:hAnsi="Arial"/>
          <w:sz w:val="20"/>
          <w:szCs w:val="20"/>
          <w:color w:val="auto"/>
        </w:rPr>
      </w:pPr>
    </w:p>
    <w:p>
      <w:pPr>
        <w:ind w:left="720" w:right="40" w:hanging="360"/>
        <w:spacing w:after="0" w:line="247" w:lineRule="auto"/>
        <w:tabs>
          <w:tab w:leader="none" w:pos="72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w:t>
      </w:r>
    </w:p>
    <w:p>
      <w:pPr>
        <w:spacing w:after="0" w:line="199" w:lineRule="exact"/>
        <w:rPr>
          <w:sz w:val="20"/>
          <w:szCs w:val="20"/>
          <w:color w:val="auto"/>
        </w:rPr>
      </w:pPr>
    </w:p>
    <w:p>
      <w:pPr>
        <w:ind w:right="100" w:firstLine="361"/>
        <w:spacing w:after="0" w:line="244" w:lineRule="auto"/>
        <w:rPr>
          <w:sz w:val="20"/>
          <w:szCs w:val="20"/>
          <w:color w:val="auto"/>
        </w:rPr>
      </w:pPr>
      <w:r>
        <w:rPr>
          <w:rFonts w:ascii="Times New Roman" w:cs="Times New Roman" w:eastAsia="Times New Roman" w:hAnsi="Times New Roman"/>
          <w:sz w:val="20"/>
          <w:szCs w:val="20"/>
          <w:color w:val="auto"/>
        </w:rPr>
        <w:t>We believe these results strongly support the further development of barzolvolimab in CIndU. In December 2025, we initiated a Phase 3 study of barzolvolimab in adult patients with ColdU and SD who remain symptomatic despite H1 antihistamine treatment. The Phase 3 trial (EMBARQ-ColdU and SD) is a randomized, double-blind, placebo-controlled, parallel group, global Phase 3 study (approximately 75 clinical trial sites across 7 countries) where approximately 240 participants will be enrolled to 2 separate cohorts (differentiated by subtype) to include approximately 120 participants with ColdU and 120 participants with SD. Participants in each cohort will be randomized in a 1:1 ratio to one of two treatment arms: cohort 1: barzolvolimab 150 mg every 4 weeks (Q4W) following a loading dose of 450 mg on Day 1 or cohort 2: matching placebo for 24 weeks. The primary endpoint of the study will evaluate the percentage of patients with complete response (negative provocation test) at Week 12 as assessed by the TempTest® in ColdU and the FricTest® in SD. After completing the treatment period, participants will continue to be followed for 16 weeks.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Prurigo Nodularis (PN)</w:t>
      </w:r>
    </w:p>
    <w:p>
      <w:pPr>
        <w:spacing w:after="0" w:line="237"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200"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ectPr>
          <w:pgSz w:w="11880" w:h="15480" w:orient="portrait"/>
          <w:cols w:equalWidth="0" w:num="1">
            <w:col w:w="10740"/>
          </w:cols>
          <w:pgMar w:left="540" w:top="136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740"/>
          </w:cols>
          <w:pgMar w:left="540" w:top="1364" w:right="600" w:bottom="0" w:gutter="0" w:footer="0" w:header="0"/>
          <w:type w:val="continuous"/>
        </w:sectPr>
      </w:pPr>
    </w:p>
    <w:bookmarkStart w:id="88" w:name="page89"/>
    <w:bookmarkEnd w:id="88"/>
    <w:p>
      <w:pPr>
        <w:ind w:right="640" w:firstLine="360"/>
        <w:spacing w:after="0" w:line="278" w:lineRule="auto"/>
        <w:rPr>
          <w:sz w:val="20"/>
          <w:szCs w:val="20"/>
          <w:color w:val="auto"/>
        </w:rPr>
      </w:pPr>
      <w:r>
        <w:rPr>
          <w:rFonts w:ascii="Times New Roman" w:cs="Times New Roman" w:eastAsia="Times New Roman" w:hAnsi="Times New Roman"/>
          <w:sz w:val="20"/>
          <w:szCs w:val="20"/>
          <w:color w:val="auto"/>
        </w:rPr>
        <w:t>A single IV dose of 3.0 mg/kg barzolvolimab resulted in rapid and durable reductions in itch and healing of skin lesions in patients with moderate to severe PN and that barzolvolimab was generally well tolerated.</w:t>
      </w:r>
    </w:p>
    <w:p>
      <w:pPr>
        <w:spacing w:after="0" w:line="142" w:lineRule="exact"/>
        <w:rPr>
          <w:sz w:val="20"/>
          <w:szCs w:val="20"/>
          <w:color w:val="auto"/>
        </w:rPr>
      </w:pPr>
    </w:p>
    <w:p>
      <w:pPr>
        <w:ind w:left="720" w:right="60" w:hanging="360"/>
        <w:spacing w:after="0" w:line="252" w:lineRule="auto"/>
        <w:tabs>
          <w:tab w:leader="none" w:pos="72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At Week 8, the percentage of patients with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4-point decrease in WI-NRS was 57% and 43% for the single dose 3.0 or 1.5 mg/kg barzolvolimab arms, respectively, and 25% for the placebo arm; this level of response generally persisted out to Week 16. In the 3.0 mg/kg arm, a </w:t>
      </w:r>
      <w:r>
        <w:rPr>
          <w:rFonts w:ascii="Arial" w:cs="Arial" w:eastAsia="Arial" w:hAnsi="Arial"/>
          <w:sz w:val="20"/>
          <w:szCs w:val="20"/>
          <w:color w:val="auto"/>
        </w:rPr>
        <w:t>≥</w:t>
      </w:r>
      <w:r>
        <w:rPr>
          <w:rFonts w:ascii="Times New Roman" w:cs="Times New Roman" w:eastAsia="Times New Roman" w:hAnsi="Times New Roman"/>
          <w:sz w:val="20"/>
          <w:szCs w:val="20"/>
          <w:color w:val="auto"/>
        </w:rPr>
        <w:t>4-point decrease in WI-NRS reduction was seen as early as the first week and reached a high of 71% of patients at Week 6 which was distinct from both the 1.5 mg/kg barzolvolimab and placebo arms.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 of Subjects with </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color w:val="auto"/>
        </w:rPr>
        <w:t>4-point decrease in WI-NRS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682625</wp:posOffset>
                </wp:positionH>
                <wp:positionV relativeFrom="paragraph">
                  <wp:posOffset>-134620</wp:posOffset>
                </wp:positionV>
                <wp:extent cx="549211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21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75pt,-10.5999pt" to="486.2pt,-10.5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-137795</wp:posOffset>
                </wp:positionV>
                <wp:extent cx="0" cy="81851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0.8499pt" to="54pt,53.6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-137795</wp:posOffset>
                </wp:positionV>
                <wp:extent cx="0" cy="818515"/>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0.8499pt" to="486pt,53.6pt" o:allowincell="f" strokecolor="#000000" strokeweight="0.4799pt"/>
            </w:pict>
          </mc:Fallback>
        </mc:AlternateContent>
      </w:r>
    </w:p>
    <w:p>
      <w:pPr>
        <w:spacing w:after="0" w:line="18" w:lineRule="exact"/>
        <w:rPr>
          <w:sz w:val="20"/>
          <w:szCs w:val="20"/>
          <w:color w:val="auto"/>
        </w:rPr>
      </w:pPr>
    </w:p>
    <w:tbl>
      <w:tblPr>
        <w:tblLayout w:type="fixed"/>
        <w:tblInd w:w="1080" w:type="dxa"/>
        <w:tblCellMar>
          <w:top w:w="0" w:type="dxa"/>
          <w:left w:w="0" w:type="dxa"/>
          <w:bottom w:w="0" w:type="dxa"/>
          <w:right w:w="0" w:type="dxa"/>
        </w:tblCellMar>
      </w:tblPr>
      <w:tr>
        <w:trPr>
          <w:trHeight w:val="236"/>
        </w:trPr>
        <w:tc>
          <w:tcPr>
            <w:tcW w:w="19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Dose</w:t>
            </w:r>
          </w:p>
        </w:tc>
        <w:tc>
          <w:tcPr>
            <w:tcW w:w="8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Week 1</w:t>
            </w:r>
          </w:p>
        </w:tc>
        <w:tc>
          <w:tcPr>
            <w:tcW w:w="8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Week 2</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Week 3</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4</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5</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6</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7</w:t>
            </w: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8</w:t>
            </w:r>
          </w:p>
        </w:tc>
      </w:tr>
      <w:tr>
        <w:trPr>
          <w:trHeight w:val="237"/>
        </w:trPr>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1.5 mg/kg</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r>
      <w:tr>
        <w:trPr>
          <w:trHeight w:val="236"/>
        </w:trPr>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3.0 mg/kg</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57</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57</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57</w:t>
            </w:r>
          </w:p>
        </w:tc>
      </w:tr>
      <w:tr>
        <w:trPr>
          <w:trHeight w:val="237"/>
        </w:trPr>
        <w:tc>
          <w:tcPr>
            <w:tcW w:w="19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placebo</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38</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38</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r>
    </w:tbl>
    <w:p>
      <w:pPr>
        <w:spacing w:after="0" w:line="224" w:lineRule="exact"/>
        <w:rPr>
          <w:sz w:val="20"/>
          <w:szCs w:val="20"/>
          <w:color w:val="auto"/>
        </w:rPr>
      </w:pPr>
    </w:p>
    <w:p>
      <w:pPr>
        <w:ind w:left="720" w:hanging="360"/>
        <w:spacing w:after="0"/>
        <w:tabs>
          <w:tab w:leader="none" w:pos="72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At Week 8, 29% of patients achieved clear or almost clear skin according to IGA following a single dose of barzolvolimab</w:t>
      </w:r>
    </w:p>
    <w:p>
      <w:pPr>
        <w:spacing w:after="0" w:line="27" w:lineRule="exact"/>
        <w:rPr>
          <w:rFonts w:ascii="Arial" w:cs="Arial" w:eastAsia="Arial" w:hAnsi="Arial"/>
          <w:sz w:val="20"/>
          <w:szCs w:val="20"/>
          <w:color w:val="auto"/>
        </w:rPr>
      </w:pPr>
    </w:p>
    <w:p>
      <w:pPr>
        <w:ind w:left="720" w:right="60"/>
        <w:spacing w:after="0" w:line="243" w:lineRule="auto"/>
        <w:rPr>
          <w:rFonts w:ascii="Arial" w:cs="Arial" w:eastAsia="Arial" w:hAnsi="Arial"/>
          <w:sz w:val="20"/>
          <w:szCs w:val="20"/>
          <w:color w:val="auto"/>
        </w:rPr>
      </w:pPr>
      <w:r>
        <w:rPr>
          <w:rFonts w:ascii="Times New Roman" w:cs="Times New Roman" w:eastAsia="Times New Roman" w:hAnsi="Times New Roman"/>
          <w:sz w:val="20"/>
          <w:szCs w:val="20"/>
          <w:color w:val="auto"/>
        </w:rPr>
        <w:t>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of Subjects with IGA 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682625</wp:posOffset>
                </wp:positionH>
                <wp:positionV relativeFrom="paragraph">
                  <wp:posOffset>-133985</wp:posOffset>
                </wp:positionV>
                <wp:extent cx="549211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211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75pt,-10.5499pt" to="486.2pt,-10.5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-137160</wp:posOffset>
                </wp:positionV>
                <wp:extent cx="0" cy="818515"/>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0.7999pt" to="54pt,53.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-137160</wp:posOffset>
                </wp:positionV>
                <wp:extent cx="0" cy="818515"/>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0.7999pt" to="486pt,53.65pt" o:allowincell="f" strokecolor="#000000" strokeweight="0.4799pt"/>
            </w:pict>
          </mc:Fallback>
        </mc:AlternateContent>
      </w:r>
    </w:p>
    <w:p>
      <w:pPr>
        <w:spacing w:after="0" w:line="18"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27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Dose</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Baseline</w:t>
            </w:r>
          </w:p>
        </w:tc>
        <w:tc>
          <w:tcPr>
            <w:tcW w:w="14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Week 2</w:t>
            </w:r>
          </w:p>
        </w:tc>
        <w:tc>
          <w:tcPr>
            <w:tcW w:w="14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Week 4</w:t>
            </w:r>
          </w:p>
        </w:tc>
        <w:tc>
          <w:tcPr>
            <w:tcW w:w="14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Week 8</w:t>
            </w:r>
          </w:p>
        </w:tc>
      </w:tr>
      <w:tr>
        <w:trPr>
          <w:trHeight w:val="237"/>
        </w:trPr>
        <w:tc>
          <w:tcPr>
            <w:tcW w:w="2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1.5 mg/kg</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r>
        <w:trPr>
          <w:trHeight w:val="236"/>
        </w:trPr>
        <w:tc>
          <w:tcPr>
            <w:tcW w:w="2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3.0 mg/kg</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r>
      <w:tr>
        <w:trPr>
          <w:trHeight w:val="237"/>
        </w:trPr>
        <w:tc>
          <w:tcPr>
            <w:tcW w:w="27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Placebo</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bl>
    <w:p>
      <w:pPr>
        <w:spacing w:after="0" w:line="224" w:lineRule="exact"/>
        <w:rPr>
          <w:sz w:val="20"/>
          <w:szCs w:val="20"/>
          <w:color w:val="auto"/>
        </w:rPr>
      </w:pPr>
    </w:p>
    <w:p>
      <w:pPr>
        <w:ind w:left="720" w:right="60" w:hanging="360"/>
        <w:spacing w:after="0" w:line="259"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98" w:lineRule="exact"/>
        <w:rPr>
          <w:rFonts w:ascii="Arial" w:cs="Arial" w:eastAsia="Arial" w:hAnsi="Arial"/>
          <w:sz w:val="20"/>
          <w:szCs w:val="20"/>
          <w:color w:val="auto"/>
        </w:rPr>
      </w:pPr>
    </w:p>
    <w:p>
      <w:pPr>
        <w:ind w:left="720" w:right="20" w:hanging="360"/>
        <w:spacing w:after="0" w:line="252" w:lineRule="auto"/>
        <w:tabs>
          <w:tab w:leader="none" w:pos="72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p>
      <w:pPr>
        <w:spacing w:after="0" w:line="1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In April 2024, we initiated a Phase 2 subcutaneous study in PN. This randomized, double-blind, placebo-controlled, parallel</w:t>
      </w:r>
    </w:p>
    <w:p>
      <w:pPr>
        <w:spacing w:after="0" w:line="27"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20"/>
          <w:szCs w:val="20"/>
          <w:color w:val="auto"/>
        </w:rPr>
        <w:t>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week Treatment Phase. Participants then enter a follow -up phase with no study treatment for an additional 16 weeks through Week 40. The primary objective of this study is to evaluate the clinical effect of barzolvolimab, compared to placebo, on itch response as measured by the proportion of participants with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includes approximately 75 clinical trial centers worldwide, including the United States. Enrollment was completed in December 2025. Topline data from the study is expected in summer 2026.</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1349" w:right="54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i w:val="1"/>
          <w:iCs w:val="1"/>
          <w:color w:val="auto"/>
        </w:rPr>
        <w:t>Atopic Dermatitis (AD)</w:t>
      </w:r>
    </w:p>
    <w:p>
      <w:pPr>
        <w:spacing w:after="0" w:line="237"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 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spacing w:after="0" w:line="206" w:lineRule="exact"/>
        <w:rPr>
          <w:sz w:val="20"/>
          <w:szCs w:val="20"/>
          <w:color w:val="auto"/>
        </w:rPr>
      </w:pPr>
    </w:p>
    <w:p>
      <w:pPr>
        <w:ind w:right="200" w:firstLine="360"/>
        <w:spacing w:after="0" w:line="233" w:lineRule="exact"/>
        <w:rPr>
          <w:sz w:val="20"/>
          <w:szCs w:val="20"/>
          <w:color w:val="auto"/>
        </w:rPr>
      </w:pPr>
      <w:r>
        <w:rPr>
          <w:rFonts w:ascii="Times New Roman" w:cs="Times New Roman" w:eastAsia="Times New Roman" w:hAnsi="Times New Roman"/>
          <w:sz w:val="20"/>
          <w:szCs w:val="20"/>
          <w:color w:val="auto"/>
        </w:rPr>
        <w:t>The randomized, double-blind, placebo- 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defined, reliable, sensitive and valid scale for evaluating worst itch intensity in adults with moderate</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to</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includes approximately 40 clinical trial centers in the United States. Enrollment was completed in January 2026. Topline data from the study is expected in late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Eosinophilic Esophagitis (EoE)</w:t>
      </w:r>
    </w:p>
    <w:p>
      <w:pPr>
        <w:spacing w:after="0" w:line="237" w:lineRule="exact"/>
        <w:rPr>
          <w:sz w:val="20"/>
          <w:szCs w:val="20"/>
          <w:color w:val="auto"/>
        </w:rPr>
      </w:pPr>
    </w:p>
    <w:p>
      <w:pPr>
        <w:ind w:right="160" w:firstLine="361"/>
        <w:spacing w:after="0" w:line="259" w:lineRule="auto"/>
        <w:rPr>
          <w:sz w:val="20"/>
          <w:szCs w:val="20"/>
          <w:color w:val="auto"/>
        </w:rPr>
      </w:pPr>
      <w:r>
        <w:rPr>
          <w:rFonts w:ascii="Times New Roman" w:cs="Times New Roman" w:eastAsia="Times New Roman" w:hAnsi="Times New Roman"/>
          <w:sz w:val="19"/>
          <w:szCs w:val="19"/>
          <w:color w:val="auto"/>
        </w:rPr>
        <w:t>In August 2025, we announced the discontinuation of development in eosinophilic esophagitis (EoE), a chronic inflammatory disease of the esophagus, based on interim results from a Phase 2 study. Identifying the key drivers of EoE has challenged the field and research has suggested that mast cells could play an important role in the disease pathogenesis. We designed this study to determine if barzolvolimab could deplete mucosal (intraepithelial) mast cells and, in turn, improve clinical outcomes in EoE. The primary endpoint of the study, absolute change from baseline to Week 12 in peak esophageal intraepithelial mast cell count was met, but the profound mast cell depletion observed did not result in improvement in EoE symptoms or endoscopic assessment of disease activity compared to placebo. Consistent with previously reported studies, barzolvolimab demonstrated a favorable safety and tolerability profile. Based on these results, further development in EoE was discontinued. The results do support future development with KIT- or SCF-targeted therapies in other GI indications where mucosal mast cells are believed to play an important role.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Barzolvolimab Development Activities</w:t>
      </w:r>
    </w:p>
    <w:p>
      <w:pPr>
        <w:spacing w:after="0" w:line="238"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spacing w:after="0" w:line="200"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ectPr>
          <w:pgSz w:w="11880" w:h="15480" w:orient="portrait"/>
          <w:cols w:equalWidth="0" w:num="1">
            <w:col w:w="10780"/>
          </w:cols>
          <w:pgMar w:left="540" w:top="1353" w:right="5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780"/>
          </w:cols>
          <w:pgMar w:left="540" w:top="1353" w:right="56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i w:val="1"/>
          <w:iCs w:val="1"/>
          <w:color w:val="auto"/>
        </w:rPr>
        <w:t>Bispecific Platform</w:t>
      </w:r>
    </w:p>
    <w:p>
      <w:pPr>
        <w:spacing w:after="0" w:line="237"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CDX-622</w:t>
      </w:r>
    </w:p>
    <w:p>
      <w:pPr>
        <w:spacing w:after="0" w:line="237"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In preclinical studies, CDX-622 inhibits TSLP and SCF with similar potency to both its respective parental mAbs and comparator mAbs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spacing w:after="0" w:line="200"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In November 2024, we initiated a Phase 1 study of CDX-622 in healthy volunteers and enrollment was completed in January 2026. The Phase 1a clinical trial is a three-part, randomized, double-blind, placebo-controlled, dose escalation study designed to assess the safety, pharmacokinetics, and pharmacodynamics of CDX-622 in up to 80 healthy participants. A single dose of CDX-622 or placebo was administered intravenously (IV) once during Part 1. In Part 2, CDX- 622 or placebo was administered IV every 2 weeks (Q2W) for up to 6 weeks following the first dose, for a total of 4 doses. In Part 3, a single dose of CDX-622 or placebo was administered subcutaneously once. Participants are followed for 12 weeks in all Parts following the last dose of study drug. The pharmacodynamic biomarkers from blood and skin will be highly informative on the ability of CDX-622 to engage and neutralize SCF and TSLP.</w:t>
      </w:r>
    </w:p>
    <w:p>
      <w:pPr>
        <w:spacing w:after="0" w:line="203"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We presented positive data from the Phase 1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The multiple ascending doses portion of the study (Part 2) and subcutaneous administration (Part 3) are ongoing with data expected in the third quarter of 2026.</w:t>
      </w:r>
    </w:p>
    <w:p>
      <w:pPr>
        <w:spacing w:after="0" w:line="197" w:lineRule="exact"/>
        <w:rPr>
          <w:sz w:val="20"/>
          <w:szCs w:val="20"/>
          <w:color w:val="auto"/>
        </w:rPr>
      </w:pPr>
    </w:p>
    <w:p>
      <w:pPr>
        <w:ind w:right="200" w:firstLine="360"/>
        <w:spacing w:after="0" w:line="252" w:lineRule="auto"/>
        <w:rPr>
          <w:sz w:val="20"/>
          <w:szCs w:val="20"/>
          <w:color w:val="auto"/>
        </w:rPr>
      </w:pPr>
      <w:r>
        <w:rPr>
          <w:rFonts w:ascii="Times New Roman" w:cs="Times New Roman" w:eastAsia="Times New Roman" w:hAnsi="Times New Roman"/>
          <w:sz w:val="20"/>
          <w:szCs w:val="20"/>
          <w:color w:val="auto"/>
        </w:rPr>
        <w:t>In January 2026, we initiated an open-label, single-dose Phase 1 proof of mechanism study to assess the safety, pharmacodynamics, and pharmacokinetics of CDX-622 in adults with mild to moderate asthma. Participants will receive a single IV infusion of CDX -622 and be followed for 12 weeks. PD effects of CDX-622 on fractional exhaled nitric oxide (FeNO), absolute eosinophil count (AEC) and serum biomarkers, including TSLP- and SCF-related biomarkers, will be evaluated.</w:t>
      </w:r>
    </w:p>
    <w:p>
      <w:pPr>
        <w:sectPr>
          <w:pgSz w:w="11880" w:h="15480" w:orient="portrait"/>
          <w:cols w:equalWidth="0" w:num="1">
            <w:col w:w="10800"/>
          </w:cols>
          <w:pgMar w:left="540" w:top="13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1353" w:right="54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Partnerships</w:t>
      </w:r>
    </w:p>
    <w:p>
      <w:pPr>
        <w:spacing w:after="0" w:line="243" w:lineRule="exact"/>
        <w:rPr>
          <w:sz w:val="20"/>
          <w:szCs w:val="20"/>
          <w:color w:val="auto"/>
        </w:rPr>
      </w:pPr>
    </w:p>
    <w:p>
      <w:pPr>
        <w:jc w:val="both"/>
        <w:ind w:right="80" w:firstLine="360"/>
        <w:spacing w:after="0" w:line="252" w:lineRule="auto"/>
        <w:rPr>
          <w:sz w:val="20"/>
          <w:szCs w:val="20"/>
          <w:color w:val="auto"/>
        </w:rPr>
      </w:pPr>
      <w:r>
        <w:rPr>
          <w:rFonts w:ascii="Times New Roman" w:cs="Times New Roman" w:eastAsia="Times New Roman" w:hAnsi="Times New Roman"/>
          <w:sz w:val="20"/>
          <w:szCs w:val="20"/>
          <w:color w:val="auto"/>
        </w:rPr>
        <w:t>We may enter into co-development and commercialization partnerships for any of our programs where appropriate.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95"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Collaboration and License Agreements</w:t>
      </w:r>
    </w:p>
    <w:p>
      <w:pPr>
        <w:spacing w:after="0" w:line="244"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is our significant research collaboration and license agreement for our current clinical drug candidates.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Yale University (Yale)</w:t>
      </w:r>
    </w:p>
    <w:p>
      <w:pPr>
        <w:spacing w:after="0" w:line="238"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Under a license agreement with Yale, we may be required to make a one-time payment to Yale of $3.0 million with respect to barzolvolimab upon achievement of a specified commercial milestone. In addition, we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3"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targeted therapies and immune modulators. Some of our competitors possess substantially greater financial, technical and human resources than we do.</w:t>
      </w:r>
    </w:p>
    <w:p>
      <w:pPr>
        <w:sectPr>
          <w:pgSz w:w="11880" w:h="15480" w:orient="portrait"/>
          <w:cols w:equalWidth="0" w:num="1">
            <w:col w:w="10780"/>
          </w:cols>
          <w:pgMar w:left="540" w:top="134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780"/>
          </w:cols>
          <w:pgMar w:left="540" w:top="1347" w:right="560" w:bottom="0" w:gutter="0" w:footer="0" w:header="0"/>
          <w:type w:val="continuous"/>
        </w:sectPr>
      </w:pPr>
    </w:p>
    <w:bookmarkStart w:id="92" w:name="page93"/>
    <w:bookmarkEnd w:id="92"/>
    <w:p>
      <w:pPr>
        <w:ind w:right="180" w:firstLine="360"/>
        <w:spacing w:after="0" w:line="278" w:lineRule="auto"/>
        <w:rPr>
          <w:sz w:val="20"/>
          <w:szCs w:val="20"/>
          <w:color w:val="auto"/>
        </w:rPr>
      </w:pPr>
      <w:r>
        <w:rPr>
          <w:rFonts w:ascii="Times New Roman" w:cs="Times New Roman" w:eastAsia="Times New Roman" w:hAnsi="Times New Roman"/>
          <w:sz w:val="20"/>
          <w:szCs w:val="20"/>
          <w:color w:val="auto"/>
        </w:rPr>
        <w:t>The following table is a summary of the competitors of which we are aware that have initiated a Phase 3 study or have obtained marketing approval for a potentially competitive drug to barzolvolimab for treatment of CSU, CIndU, PN, and AD.</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8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b w:val="1"/>
                <w:bCs w:val="1"/>
                <w:color w:val="auto"/>
              </w:rPr>
              <w:t>Competitor</w:t>
            </w:r>
          </w:p>
        </w:tc>
        <w:tc>
          <w:tcPr>
            <w:tcW w:w="200" w:type="dxa"/>
            <w:vAlign w:val="bottom"/>
          </w:tcPr>
          <w:p>
            <w:pPr>
              <w:spacing w:after="0"/>
              <w:rPr>
                <w:sz w:val="17"/>
                <w:szCs w:val="17"/>
                <w:color w:val="auto"/>
              </w:rPr>
            </w:pPr>
          </w:p>
        </w:tc>
        <w:tc>
          <w:tcPr>
            <w:tcW w:w="33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b w:val="1"/>
                <w:bCs w:val="1"/>
                <w:color w:val="auto"/>
              </w:rPr>
              <w:t>Competitor Product</w:t>
            </w:r>
          </w:p>
        </w:tc>
        <w:tc>
          <w:tcPr>
            <w:tcW w:w="180" w:type="dxa"/>
            <w:vAlign w:val="bottom"/>
          </w:tcPr>
          <w:p>
            <w:pPr>
              <w:spacing w:after="0"/>
              <w:rPr>
                <w:sz w:val="17"/>
                <w:szCs w:val="17"/>
                <w:color w:val="auto"/>
              </w:rPr>
            </w:pPr>
          </w:p>
        </w:tc>
        <w:tc>
          <w:tcPr>
            <w:tcW w:w="2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Indication(s)</w:t>
            </w:r>
          </w:p>
        </w:tc>
      </w:tr>
      <w:tr>
        <w:trPr>
          <w:trHeight w:val="201"/>
        </w:trPr>
        <w:tc>
          <w:tcPr>
            <w:tcW w:w="28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Abbvie</w:t>
            </w:r>
          </w:p>
        </w:tc>
        <w:tc>
          <w:tcPr>
            <w:tcW w:w="20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Rinvoq</w:t>
            </w:r>
          </w:p>
        </w:tc>
        <w:tc>
          <w:tcPr>
            <w:tcW w:w="18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AD</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Akeso Bio</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AKT120</w:t>
            </w:r>
          </w:p>
        </w:tc>
        <w:tc>
          <w:tcPr>
            <w:tcW w:w="2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AD</w:t>
            </w: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Amgen/Kiowa Kirin</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Rocatinlimab</w:t>
            </w:r>
          </w:p>
        </w:tc>
        <w:tc>
          <w:tcPr>
            <w:tcW w:w="18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 and PN</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Celltrion</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CT-P39, omalizumab biosimilar</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Eli Lilly</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Olumiant and Ebglyss</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Galderma/Chugai</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Nemluvio</w:t>
            </w:r>
          </w:p>
        </w:tc>
        <w:tc>
          <w:tcPr>
            <w:tcW w:w="18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PN and AD</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Genentech/Novartis</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Xolair</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Incyte</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Povorcitinib</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Kashiv Biosciences</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ADL-018 omalizumab biosimilar</w:t>
            </w:r>
          </w:p>
        </w:tc>
        <w:tc>
          <w:tcPr>
            <w:tcW w:w="18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Leo Pharma</w:t>
            </w:r>
          </w:p>
        </w:tc>
        <w:tc>
          <w:tcPr>
            <w:tcW w:w="2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20"/>
                <w:szCs w:val="20"/>
                <w:color w:val="auto"/>
              </w:rPr>
              <w:t>Adbry</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Medimetriks</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Difamilast</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Novartis</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Remibrutinib</w:t>
            </w:r>
          </w:p>
        </w:tc>
        <w:tc>
          <w:tcPr>
            <w:tcW w:w="2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CSU and CIndU</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Pfizer</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Cibinqo</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Regeneron/Sanofi</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Dupixent</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CSU, PN, and AD</w:t>
            </w: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Sanofi</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Amlitelimab</w:t>
            </w:r>
          </w:p>
        </w:tc>
        <w:tc>
          <w:tcPr>
            <w:tcW w:w="18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Teva</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Tev-45779, omalizumab biosimilar</w:t>
            </w:r>
          </w:p>
        </w:tc>
        <w:tc>
          <w:tcPr>
            <w:tcW w:w="18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67"/>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Vanda Pharmaceuticals</w:t>
            </w:r>
          </w:p>
        </w:tc>
        <w:tc>
          <w:tcPr>
            <w:tcW w:w="3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Tradipitant</w:t>
            </w:r>
          </w:p>
        </w:tc>
        <w:tc>
          <w:tcPr>
            <w:tcW w:w="180" w:type="dxa"/>
            <w:vAlign w:val="bottom"/>
          </w:tcPr>
          <w:p>
            <w:pPr>
              <w:spacing w:after="0"/>
              <w:rPr>
                <w:sz w:val="23"/>
                <w:szCs w:val="23"/>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bl>
    <w:p>
      <w:pPr>
        <w:spacing w:after="0" w:line="193"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201"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9"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We also face competition in recruiting and retaining highly qualified scientific personnel and consultants and in the development and acquisition of technologies.</w:t>
      </w:r>
    </w:p>
    <w:p>
      <w:pPr>
        <w:spacing w:after="0" w:line="168"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760"/>
          </w:cols>
          <w:pgMar w:left="540" w:top="1349" w:right="5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43" w:lineRule="exact"/>
        <w:rPr>
          <w:sz w:val="20"/>
          <w:szCs w:val="20"/>
          <w:color w:val="auto"/>
        </w:rPr>
      </w:pPr>
    </w:p>
    <w:p>
      <w:pPr>
        <w:ind w:right="80" w:firstLine="361"/>
        <w:spacing w:after="0" w:line="247" w:lineRule="auto"/>
        <w:rPr>
          <w:sz w:val="20"/>
          <w:szCs w:val="20"/>
          <w:color w:val="auto"/>
        </w:rPr>
      </w:pPr>
      <w:r>
        <w:rPr>
          <w:rFonts w:ascii="Times New Roman" w:cs="Times New Roman" w:eastAsia="Times New Roman" w:hAnsi="Times New Roman"/>
          <w:sz w:val="20"/>
          <w:szCs w:val="20"/>
          <w:color w:val="auto"/>
        </w:rPr>
        <w:t>We are a research and development company and have limited experience in commercial manufacturing. To conduct late-stage clinical trials, as well as manufacture and commercialize our drug candidates, we engage CDMOs in the U.S and outside the U.S. to manufacture our drug candidates on a large scale at a competitive cost and in accordance with current Good Manufacturing Practices (cGMP) and U.S. and foreign regulatory requirements, as applicable. We also rely on CDMOs for filling, labeling and storage for studies inside and outside the U.S. Any manufacturing failures or compliance issues at our CDMOs could cause delays in our clinical studies or commercialization of our drug candidates.</w:t>
      </w:r>
    </w:p>
    <w:p>
      <w:pPr>
        <w:spacing w:after="0" w:line="200"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We currently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and EU regulations, allowing us to distribute drug candidates to clinical sites in the U.S., EU and ROW for early-stage clinical trials. We have manufactured barzolvolimab and CDX-622 drug substance in our Fall River facility for our current and planned Phase 1 and Phase 2 clinical trials.</w:t>
      </w:r>
    </w:p>
    <w:p>
      <w:pPr>
        <w:spacing w:after="0" w:line="197"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Our barzolvolimab drug product is currently administered subcutaneously. The subcutaneous formulation allows for potential self-administration at home, eliminating the need for intravenous dosing in a hospital or clinic setting. 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Organization</w:t>
      </w:r>
    </w:p>
    <w:p>
      <w:pPr>
        <w:spacing w:after="0" w:line="243"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We have limited commercial resourcing and experience in marketing, sales, distribution and product reimbursement. We have the capability to provide current and future market insights to our research and development organization regarding our potential drug candidates. On November 10, 2025, we announced the appointment of a new Chief Commercial Officer. In the future, we may choose to expand our commercial team and build a full-scale commercial organization which we believe could provide us the opportunity to retain marketing rights to our drug candidates and commercialize such products ourselves where we deem appropriate or pursue strategic partnerships to develop, sell, market and distribute our drug candidates where we deem appropriate.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Patents, Licenses and Proprietary Rights</w:t>
      </w:r>
    </w:p>
    <w:p>
      <w:pPr>
        <w:spacing w:after="0" w:line="244" w:lineRule="exact"/>
        <w:rPr>
          <w:sz w:val="20"/>
          <w:szCs w:val="20"/>
          <w:color w:val="auto"/>
        </w:rPr>
      </w:pPr>
    </w:p>
    <w:p>
      <w:pPr>
        <w:ind w:right="160" w:firstLine="361"/>
        <w:spacing w:after="0" w:line="249" w:lineRule="auto"/>
        <w:rPr>
          <w:sz w:val="20"/>
          <w:szCs w:val="20"/>
          <w:color w:val="auto"/>
        </w:rPr>
      </w:pPr>
      <w:r>
        <w:rPr>
          <w:rFonts w:ascii="Times New Roman" w:cs="Times New Roman" w:eastAsia="Times New Roman" w:hAnsi="Times New Roman"/>
          <w:sz w:val="20"/>
          <w:szCs w:val="20"/>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Patents</w:t>
      </w:r>
    </w:p>
    <w:p>
      <w:pPr>
        <w:spacing w:after="0" w:line="237"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and antibody technologies.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ectPr>
          <w:pgSz w:w="11880" w:h="15480" w:orient="portrait"/>
          <w:cols w:equalWidth="0" w:num="1">
            <w:col w:w="10760"/>
          </w:cols>
          <w:pgMar w:left="540" w:top="134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760"/>
          </w:cols>
          <w:pgMar w:left="540" w:top="1347" w:right="580" w:bottom="0" w:gutter="0" w:footer="0" w:header="0"/>
          <w:type w:val="continuous"/>
        </w:sectPr>
      </w:pPr>
    </w:p>
    <w:bookmarkStart w:id="94" w:name="page95"/>
    <w:bookmarkEnd w:id="94"/>
    <w:p>
      <w:pPr>
        <w:ind w:firstLine="360"/>
        <w:spacing w:after="0" w:line="249" w:lineRule="auto"/>
        <w:rPr>
          <w:sz w:val="20"/>
          <w:szCs w:val="20"/>
          <w:color w:val="auto"/>
        </w:rPr>
      </w:pPr>
      <w:r>
        <w:rPr>
          <w:rFonts w:ascii="Times New Roman" w:cs="Times New Roman" w:eastAsia="Times New Roman" w:hAnsi="Times New Roman"/>
          <w:sz w:val="20"/>
          <w:szCs w:val="20"/>
          <w:color w:val="auto"/>
        </w:rPr>
        <w:t>The key patents and patent applications owned by us or licensed to us that we consider important to our current clinical programs include the following (except where stated otherwise, the indicated and estimated patent expiry dates are the estimated normal expirations if all maintenance fees and annuities are paid when due, and do not include any possible additional terms for Patent Term Adjustments (PTAs), Patent Term Extensions (PTEs), other term extensions or Supplementary Protection Certificates (SPCs), if these may be secured in due course):</w:t>
      </w:r>
    </w:p>
    <w:p>
      <w:pPr>
        <w:spacing w:after="0" w:line="212" w:lineRule="exact"/>
        <w:rPr>
          <w:sz w:val="20"/>
          <w:szCs w:val="20"/>
          <w:color w:val="auto"/>
        </w:rPr>
      </w:pPr>
    </w:p>
    <w:p>
      <w:pPr>
        <w:ind w:left="720" w:right="40" w:hanging="360"/>
        <w:spacing w:after="0" w:line="243" w:lineRule="auto"/>
        <w:tabs>
          <w:tab w:leader="none" w:pos="7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We own a portfolio of patents and patent applications directed to barzolvolimab and other anti-KIT receptor antibodies. These patents and patent applications include claims directed to particular anti-KIT antibody compositions of matter, including barzolvolimab compositions of matter, and methods of using such antibodies. A composition of matter patent has been issued in the U.S. which would have an estimated patent expiry date in 2034 (this includes additional term due to PTA, but does not include any PTE if this may be secured in due course) and further U.S. patent applications are pending. Patents have also been issued in Europe, Japan, Canada, China, Australia, New Zealand, Israel, India, the Republic of Korea, the Russian Federation, Singapore, Brazil, Mexico, South Africa and certain other countries. Where issued the foregoing would have estimated normal patent expiry dates ranging from 2032 to 2033. Further (later filed) patent applications (relating to Fc sequences used in barzolvolimab and certain uses of barzolvolimab) are pending in the U.S., the European Patent Office, Japan, Canada, China, Australia, New Zealand, Israel, India, the Republic of Korea, the Eurasian Patent Office, Singapore, Brazil, Mexico and South Africa. If, when and where issued the latter would have estimated normal patent expiry dates in 2042.</w:t>
      </w:r>
    </w:p>
    <w:p>
      <w:pPr>
        <w:spacing w:after="0" w:line="218" w:lineRule="exact"/>
        <w:rPr>
          <w:rFonts w:ascii="Arial" w:cs="Arial" w:eastAsia="Arial" w:hAnsi="Arial"/>
          <w:sz w:val="20"/>
          <w:szCs w:val="20"/>
          <w:color w:val="auto"/>
        </w:rPr>
      </w:pPr>
    </w:p>
    <w:p>
      <w:pPr>
        <w:ind w:left="720" w:hanging="360"/>
        <w:spacing w:after="0" w:line="249" w:lineRule="auto"/>
        <w:tabs>
          <w:tab w:leader="none" w:pos="72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We own a portfolio of pending patent applications directed to anti-SCF and anti-TSLP antibody sequences used in CDX-622 as compositions of matter. Patent applications are pending in the U.S., the European Patent Office, Japan, Canada, China, Australia, New Zealand, Israel, India, the Republic of Korea, the Eurasian Patent Office, Singapore, Brazil, Mexico and South Africa. If, when and where issued, any patents resulting from these patent applications would have estimated normal patent expiry dates in 2044.</w:t>
      </w:r>
    </w:p>
    <w:p>
      <w:pPr>
        <w:spacing w:after="0" w:line="197"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202"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202"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right="360" w:firstLine="360"/>
        <w:spacing w:after="0" w:line="278" w:lineRule="auto"/>
        <w:rPr>
          <w:sz w:val="20"/>
          <w:szCs w:val="20"/>
          <w:color w:val="auto"/>
        </w:rPr>
      </w:pPr>
      <w:r>
        <w:rPr>
          <w:rFonts w:ascii="Times New Roman" w:cs="Times New Roman" w:eastAsia="Times New Roman" w:hAnsi="Times New Roman"/>
          <w:sz w:val="20"/>
          <w:szCs w:val="20"/>
          <w:color w:val="auto"/>
        </w:rPr>
        <w:t>Third parties may have or may obtain valid and enforceable patents or proprietary rights that could block us from developing products using our technology, including:</w:t>
      </w:r>
    </w:p>
    <w:p>
      <w:pPr>
        <w:spacing w:after="0" w:line="181" w:lineRule="exact"/>
        <w:rPr>
          <w:sz w:val="20"/>
          <w:szCs w:val="20"/>
          <w:color w:val="auto"/>
        </w:rPr>
      </w:pPr>
    </w:p>
    <w:p>
      <w:pPr>
        <w:ind w:left="720" w:right="360" w:hanging="361"/>
        <w:spacing w:after="0" w:line="277" w:lineRule="auto"/>
        <w:tabs>
          <w:tab w:leader="none" w:pos="720" w:val="left"/>
        </w:tabs>
        <w:numPr>
          <w:ilvl w:val="0"/>
          <w:numId w:val="69"/>
        </w:numPr>
        <w:rPr>
          <w:rFonts w:ascii="Arial" w:cs="Arial" w:eastAsia="Arial" w:hAnsi="Arial"/>
          <w:sz w:val="20"/>
          <w:szCs w:val="20"/>
          <w:color w:val="auto"/>
        </w:rPr>
      </w:pPr>
      <w:r>
        <w:rPr>
          <w:rFonts w:ascii="Times New Roman" w:cs="Times New Roman" w:eastAsia="Times New Roman" w:hAnsi="Times New Roman"/>
          <w:sz w:val="20"/>
          <w:szCs w:val="20"/>
          <w:color w:val="auto"/>
        </w:rPr>
        <w:t>certain patents and pending patent applications in the United States and foreign countries relating to particular receptors, antigens and antigenic fragments targeted by our current drug candidates; and</w:t>
      </w:r>
    </w:p>
    <w:p>
      <w:pPr>
        <w:sectPr>
          <w:pgSz w:w="11880" w:h="15480" w:orient="portrait"/>
          <w:cols w:equalWidth="0" w:num="1">
            <w:col w:w="10720"/>
          </w:cols>
          <w:pgMar w:left="540" w:top="1349"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720"/>
          </w:cols>
          <w:pgMar w:left="540" w:top="1349" w:right="620" w:bottom="0" w:gutter="0" w:footer="0" w:header="0"/>
          <w:type w:val="continuous"/>
        </w:sectPr>
      </w:pPr>
    </w:p>
    <w:bookmarkStart w:id="95" w:name="page96"/>
    <w:bookmarkEnd w:id="95"/>
    <w:p>
      <w:pPr>
        <w:ind w:left="720" w:right="40" w:hanging="360"/>
        <w:spacing w:after="0" w:line="259" w:lineRule="auto"/>
        <w:tabs>
          <w:tab w:leader="none" w:pos="720" w:val="left"/>
        </w:tabs>
        <w:numPr>
          <w:ilvl w:val="0"/>
          <w:numId w:val="70"/>
        </w:numPr>
        <w:rPr>
          <w:rFonts w:ascii="Arial" w:cs="Arial" w:eastAsia="Arial" w:hAnsi="Arial"/>
          <w:sz w:val="20"/>
          <w:szCs w:val="20"/>
          <w:color w:val="auto"/>
        </w:rPr>
      </w:pPr>
      <w:r>
        <w:rPr>
          <w:rFonts w:ascii="Times New Roman" w:cs="Times New Roman" w:eastAsia="Times New Roman" w:hAnsi="Times New Roman"/>
          <w:sz w:val="20"/>
          <w:szCs w:val="20"/>
          <w:color w:val="auto"/>
        </w:rPr>
        <w:t>certain patents and pending patent applications in the United States and foreign countries relating to antibodies targeting certain receptors and other targets including anti- SCF antibodies, anti-TSLP antibodies and certain other antibodies and their sequences and uses.</w:t>
      </w:r>
    </w:p>
    <w:p>
      <w:pPr>
        <w:spacing w:after="0" w:line="185"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Licenses</w:t>
      </w:r>
    </w:p>
    <w:p>
      <w:pPr>
        <w:spacing w:after="0" w:line="238"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We have entered into significant license agreements relating to technologies that are being developed by us. Typically,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and/or a specified period from first commercial sale on a territory-by- territory basis.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Proprietary Rights</w:t>
      </w:r>
    </w:p>
    <w:p>
      <w:pPr>
        <w:spacing w:after="0" w:line="237"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4"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Our activities and products are significantly regulated by a number of governmental entities, including the U.S. Food and Drug Administration, or FDA, in the United States and by comparable authorities in other countries. These entities regulate, among other things, the manufacture, testing, safety, effectiveness, labeling, documentation, advertising and sale of our products. We must obtain regulatory approval from the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1364" w:right="54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i w:val="1"/>
          <w:iCs w:val="1"/>
          <w:color w:val="auto"/>
        </w:rPr>
        <w:t>FDA Approval Process</w:t>
      </w:r>
    </w:p>
    <w:p>
      <w:pPr>
        <w:spacing w:after="0" w:line="237"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202"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The process required by the FDA before a drug or biological product may be marketed in the United States generally involves the following:</w:t>
      </w:r>
    </w:p>
    <w:p>
      <w:pPr>
        <w:spacing w:after="0" w:line="181" w:lineRule="exact"/>
        <w:rPr>
          <w:sz w:val="20"/>
          <w:szCs w:val="20"/>
          <w:color w:val="auto"/>
        </w:rPr>
      </w:pPr>
    </w:p>
    <w:p>
      <w:pPr>
        <w:ind w:left="720" w:right="280" w:hanging="360"/>
        <w:spacing w:after="0" w:line="277"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preclinical studies and formulation studies in compliance with the FDA’s good laboratory practice, or GLP, regulations;</w:t>
      </w:r>
    </w:p>
    <w:p>
      <w:pPr>
        <w:spacing w:after="0" w:line="183" w:lineRule="exact"/>
        <w:rPr>
          <w:rFonts w:ascii="Arial" w:cs="Arial" w:eastAsia="Arial" w:hAnsi="Arial"/>
          <w:sz w:val="20"/>
          <w:szCs w:val="20"/>
          <w:color w:val="auto"/>
        </w:rPr>
      </w:pPr>
    </w:p>
    <w:p>
      <w:pPr>
        <w:ind w:left="720" w:right="520" w:hanging="360"/>
        <w:spacing w:after="0" w:line="277"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investigational new drug, or IND, application which must become effective before human clinical trials may begin;</w:t>
      </w:r>
    </w:p>
    <w:p>
      <w:pPr>
        <w:spacing w:after="0" w:line="182" w:lineRule="exact"/>
        <w:rPr>
          <w:rFonts w:ascii="Arial" w:cs="Arial" w:eastAsia="Arial" w:hAnsi="Arial"/>
          <w:sz w:val="20"/>
          <w:szCs w:val="20"/>
          <w:color w:val="auto"/>
        </w:rPr>
      </w:pPr>
    </w:p>
    <w:p>
      <w:pPr>
        <w:ind w:left="720" w:hanging="360"/>
        <w:spacing w:after="0"/>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at each clinical site before each trial may be initiated;</w:t>
      </w:r>
    </w:p>
    <w:p>
      <w:pPr>
        <w:spacing w:after="0" w:line="253" w:lineRule="exact"/>
        <w:rPr>
          <w:rFonts w:ascii="Arial" w:cs="Arial" w:eastAsia="Arial" w:hAnsi="Arial"/>
          <w:sz w:val="20"/>
          <w:szCs w:val="20"/>
          <w:color w:val="auto"/>
        </w:rPr>
      </w:pPr>
    </w:p>
    <w:p>
      <w:pPr>
        <w:ind w:left="720" w:right="400" w:hanging="360"/>
        <w:spacing w:after="0" w:line="277"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practices, or GCP, to establish the safety and efficacy of the proposed drug or biological product for each indication;</w:t>
      </w:r>
    </w:p>
    <w:p>
      <w:pPr>
        <w:spacing w:after="0" w:line="182" w:lineRule="exact"/>
        <w:rPr>
          <w:rFonts w:ascii="Arial" w:cs="Arial" w:eastAsia="Arial" w:hAnsi="Arial"/>
          <w:sz w:val="20"/>
          <w:szCs w:val="20"/>
          <w:color w:val="auto"/>
        </w:rPr>
      </w:pPr>
    </w:p>
    <w:p>
      <w:pPr>
        <w:ind w:left="720" w:hanging="360"/>
        <w:spacing w:after="0"/>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 new drug application, or NDA, or a biologics license application, or BLA, as applicable;</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252" w:lineRule="exact"/>
        <w:rPr>
          <w:rFonts w:ascii="Arial" w:cs="Arial" w:eastAsia="Arial" w:hAnsi="Arial"/>
          <w:sz w:val="20"/>
          <w:szCs w:val="20"/>
          <w:color w:val="auto"/>
        </w:rPr>
      </w:pPr>
    </w:p>
    <w:p>
      <w:pPr>
        <w:jc w:val="both"/>
        <w:ind w:left="720" w:right="240" w:hanging="360"/>
        <w:spacing w:after="0" w:line="259" w:lineRule="auto"/>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198" w:lineRule="exact"/>
        <w:rPr>
          <w:rFonts w:ascii="Arial" w:cs="Arial" w:eastAsia="Arial" w:hAnsi="Arial"/>
          <w:sz w:val="20"/>
          <w:szCs w:val="20"/>
          <w:color w:val="auto"/>
        </w:rPr>
      </w:pPr>
    </w:p>
    <w:p>
      <w:pPr>
        <w:ind w:left="720" w:hanging="360"/>
        <w:spacing w:after="0"/>
        <w:tabs>
          <w:tab w:leader="none" w:pos="7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of the NDA or BLA.</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expect that all of our clinical drug candidates will be subject to review as biological products under BLA standards.</w:t>
      </w:r>
    </w:p>
    <w:p>
      <w:pPr>
        <w:spacing w:after="0" w:line="239"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Trials</w:t>
      </w:r>
    </w:p>
    <w:p>
      <w:pPr>
        <w:spacing w:after="0" w:line="237" w:lineRule="exact"/>
        <w:rPr>
          <w:sz w:val="20"/>
          <w:szCs w:val="20"/>
          <w:color w:val="auto"/>
        </w:rPr>
      </w:pPr>
    </w:p>
    <w:p>
      <w:pPr>
        <w:ind w:right="40" w:firstLine="361"/>
        <w:spacing w:after="0" w:line="259" w:lineRule="auto"/>
        <w:rPr>
          <w:sz w:val="20"/>
          <w:szCs w:val="20"/>
          <w:color w:val="auto"/>
        </w:rPr>
      </w:pPr>
      <w:r>
        <w:rPr>
          <w:rFonts w:ascii="Times New Roman" w:cs="Times New Roman" w:eastAsia="Times New Roman" w:hAnsi="Times New Roman"/>
          <w:sz w:val="19"/>
          <w:szCs w:val="19"/>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clinical trials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maintains and exercises oversight authority throughout the clinical trial. Studies that are conducted in multiple countries are reviewed and authorized by additional regional or country specific health authorities in addition to the FDA. The</w:t>
      </w:r>
    </w:p>
    <w:p>
      <w:pPr>
        <w:sectPr>
          <w:pgSz w:w="11880" w:h="15480" w:orient="portrait"/>
          <w:cols w:equalWidth="0" w:num="1">
            <w:col w:w="10780"/>
          </w:cols>
          <w:pgMar w:left="540" w:top="13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780"/>
          </w:cols>
          <w:pgMar w:left="540" w:top="1353" w:right="560" w:bottom="0" w:gutter="0" w:footer="0" w:header="0"/>
          <w:type w:val="continuous"/>
        </w:sectPr>
      </w:pPr>
    </w:p>
    <w:bookmarkStart w:id="97" w:name="page98"/>
    <w:bookmarkEnd w:id="97"/>
    <w:p>
      <w:pPr>
        <w:ind w:right="300"/>
        <w:spacing w:after="0" w:line="278" w:lineRule="auto"/>
        <w:rPr>
          <w:sz w:val="20"/>
          <w:szCs w:val="20"/>
          <w:color w:val="auto"/>
        </w:rPr>
      </w:pPr>
      <w:r>
        <w:rPr>
          <w:rFonts w:ascii="Times New Roman" w:cs="Times New Roman" w:eastAsia="Times New Roman" w:hAnsi="Times New Roman"/>
          <w:sz w:val="20"/>
          <w:szCs w:val="20"/>
          <w:color w:val="auto"/>
        </w:rPr>
        <w:t>additional international review often is slower than that of the FDA and may result in regulatory opinions that are different than the decisions provided by the FDA.</w:t>
      </w:r>
    </w:p>
    <w:p>
      <w:pPr>
        <w:spacing w:after="0" w:line="168" w:lineRule="exact"/>
        <w:rPr>
          <w:sz w:val="20"/>
          <w:szCs w:val="20"/>
          <w:color w:val="auto"/>
        </w:rPr>
      </w:pPr>
    </w:p>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Disclosure of Clinical Trial Information</w:t>
      </w:r>
    </w:p>
    <w:p>
      <w:pPr>
        <w:spacing w:after="0" w:line="237" w:lineRule="exact"/>
        <w:rPr>
          <w:sz w:val="20"/>
          <w:szCs w:val="20"/>
          <w:color w:val="auto"/>
        </w:rPr>
      </w:pPr>
    </w:p>
    <w:p>
      <w:pPr>
        <w:ind w:right="80" w:firstLine="360"/>
        <w:spacing w:after="0" w:line="263" w:lineRule="auto"/>
        <w:rPr>
          <w:sz w:val="20"/>
          <w:szCs w:val="20"/>
          <w:color w:val="auto"/>
        </w:rPr>
      </w:pPr>
      <w:r>
        <w:rPr>
          <w:rFonts w:ascii="Times New Roman" w:cs="Times New Roman" w:eastAsia="Times New Roman" w:hAnsi="Times New Roman"/>
          <w:sz w:val="19"/>
          <w:szCs w:val="19"/>
          <w:color w:val="auto"/>
        </w:rPr>
        <w:t>Sponsors of clinical trials of FDA-regulated products, including biological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Marketing Approval</w:t>
      </w:r>
    </w:p>
    <w:p>
      <w:pPr>
        <w:spacing w:after="0" w:line="237" w:lineRule="exact"/>
        <w:rPr>
          <w:sz w:val="20"/>
          <w:szCs w:val="20"/>
          <w:color w:val="auto"/>
        </w:rPr>
      </w:pPr>
    </w:p>
    <w:p>
      <w:pPr>
        <w:jc w:val="both"/>
        <w:ind w:right="300" w:firstLine="360"/>
        <w:spacing w:after="0" w:line="262" w:lineRule="auto"/>
        <w:rPr>
          <w:sz w:val="20"/>
          <w:szCs w:val="20"/>
          <w:color w:val="auto"/>
        </w:rPr>
      </w:pPr>
      <w:r>
        <w:rPr>
          <w:rFonts w:ascii="Times New Roman" w:cs="Times New Roman" w:eastAsia="Times New Roman" w:hAnsi="Times New Roman"/>
          <w:sz w:val="19"/>
          <w:szCs w:val="19"/>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w:t>
      </w:r>
    </w:p>
    <w:p>
      <w:pPr>
        <w:spacing w:after="0" w:line="3"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20"/>
          <w:szCs w:val="20"/>
          <w:color w:val="auto"/>
        </w:rPr>
        <w:t>FDA approval of the NDA or BLA is required before marketing of the product may begin in the United States. Under federal law, the submission of most NDAs and BLAs is additionally subject to a substantial application user fee and the sponsor of an approved NDA or BLA is also subject to annual prescription drug program fees.</w:t>
      </w:r>
    </w:p>
    <w:p>
      <w:pPr>
        <w:spacing w:after="0" w:line="201"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203"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98" w:lineRule="exact"/>
        <w:rPr>
          <w:sz w:val="20"/>
          <w:szCs w:val="20"/>
          <w:color w:val="auto"/>
        </w:rPr>
      </w:pPr>
    </w:p>
    <w:p>
      <w:pPr>
        <w:ind w:right="60" w:firstLine="360"/>
        <w:spacing w:after="0" w:line="277" w:lineRule="auto"/>
        <w:rPr>
          <w:sz w:val="20"/>
          <w:szCs w:val="20"/>
          <w:color w:val="auto"/>
        </w:rPr>
      </w:pPr>
      <w:r>
        <w:rPr>
          <w:rFonts w:ascii="Times New Roman" w:cs="Times New Roman" w:eastAsia="Times New Roman" w:hAnsi="Times New Roman"/>
          <w:sz w:val="20"/>
          <w:szCs w:val="20"/>
          <w:color w:val="auto"/>
        </w:rPr>
        <w:t>The testing and approval processes require substantial time, effort and financial resources, and each may take many years to complete. Data obtained from clinical activities are not always conclusive and may be susceptible to varying interpretations that could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1349" w:right="540" w:bottom="0" w:gutter="0" w:footer="0" w:header="0"/>
          <w:type w:val="continuous"/>
        </w:sectPr>
      </w:pPr>
    </w:p>
    <w:bookmarkStart w:id="98" w:name="page99"/>
    <w:bookmarkEnd w:id="98"/>
    <w:p>
      <w:pPr>
        <w:ind w:right="240"/>
        <w:spacing w:after="0" w:line="259" w:lineRule="auto"/>
        <w:rPr>
          <w:sz w:val="20"/>
          <w:szCs w:val="20"/>
          <w:color w:val="auto"/>
        </w:rPr>
      </w:pPr>
      <w:r>
        <w:rPr>
          <w:rFonts w:ascii="Times New Roman" w:cs="Times New Roman" w:eastAsia="Times New Roman" w:hAnsi="Times New Roman"/>
          <w:sz w:val="20"/>
          <w:szCs w:val="20"/>
          <w:color w:val="auto"/>
        </w:rPr>
        <w:t>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86"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or BLA, the FDA will resume review and may subsequently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2" w:lineRule="exact"/>
        <w:rPr>
          <w:sz w:val="20"/>
          <w:szCs w:val="20"/>
          <w:color w:val="auto"/>
        </w:rPr>
      </w:pPr>
    </w:p>
    <w:p>
      <w:pPr>
        <w:ind w:right="160" w:firstLine="361"/>
        <w:spacing w:after="0" w:line="245" w:lineRule="auto"/>
        <w:rPr>
          <w:sz w:val="20"/>
          <w:szCs w:val="20"/>
          <w:color w:val="auto"/>
        </w:rPr>
      </w:pPr>
      <w:r>
        <w:rPr>
          <w:rFonts w:ascii="Times New Roman" w:cs="Times New Roman" w:eastAsia="Times New Roman" w:hAnsi="Times New Roman"/>
          <w:sz w:val="20"/>
          <w:szCs w:val="20"/>
          <w:color w:val="auto"/>
        </w:rPr>
        <w:t>Even if the FDA approves a product, it may limit the approved indications for use for the product, require that contraindications, warnings or precautions be included in the product labeling, require that post- 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changes in indications, manufacturing changes and labeling, are subject to further testing requirements and FDA review and approval.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Regulatory Procedures</w:t>
      </w:r>
    </w:p>
    <w:p>
      <w:pPr>
        <w:spacing w:after="0" w:line="237" w:lineRule="exact"/>
        <w:rPr>
          <w:sz w:val="20"/>
          <w:szCs w:val="20"/>
          <w:color w:val="auto"/>
        </w:rPr>
      </w:pPr>
    </w:p>
    <w:p>
      <w:pPr>
        <w:ind w:firstLine="362"/>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Fast track designation — </w:t>
      </w:r>
      <w:r>
        <w:rPr>
          <w:rFonts w:ascii="Times New Roman" w:cs="Times New Roman" w:eastAsia="Times New Roman" w:hAnsi="Times New Roman"/>
          <w:sz w:val="20"/>
          <w:szCs w:val="20"/>
          <w:color w:val="auto"/>
        </w:rPr>
        <w:t>The FDA is required to facilitate the development and expedite the review of drugs and biologics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are intended for the treatment of a serious or life-threatening disease or condition and that demonstrate the potential to address unmet medical needs.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the FDA to discuss the drug’s development plan and ensure collection of appropriate data needed to support drug approval; (ii) more frequent written communication from the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the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it believes that the designation is no longer supported by data emerging in the clinical trial process.</w:t>
      </w:r>
    </w:p>
    <w:p>
      <w:pPr>
        <w:spacing w:after="0" w:line="200"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Priority review — </w:t>
      </w:r>
      <w:r>
        <w:rPr>
          <w:rFonts w:ascii="Times New Roman" w:cs="Times New Roman" w:eastAsia="Times New Roman" w:hAnsi="Times New Roman"/>
          <w:sz w:val="20"/>
          <w:szCs w:val="20"/>
          <w:color w:val="auto"/>
        </w:rPr>
        <w:t>Under FDA policies, a drug candidate may be eligible for priority review. The priority review program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for expedited review or an NDA or BLA, typically within a six to eight month time frame from the time a 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203"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Accelerated approval — </w:t>
      </w:r>
      <w:r>
        <w:rPr>
          <w:rFonts w:ascii="Times New Roman" w:cs="Times New Roman" w:eastAsia="Times New Roman" w:hAnsi="Times New Roman"/>
          <w:sz w:val="20"/>
          <w:szCs w:val="20"/>
          <w:color w:val="auto"/>
        </w:rPr>
        <w:t>Under the law and the FDA’s accelerated approval regulations, the FDA may approve a drug or biologic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 serious or life-threatening illness 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1349" w:right="540" w:bottom="0" w:gutter="0" w:footer="0" w:header="0"/>
          <w:type w:val="continuous"/>
        </w:sectPr>
      </w:pPr>
    </w:p>
    <w:bookmarkStart w:id="99" w:name="page100"/>
    <w:bookmarkEnd w:id="99"/>
    <w:p>
      <w:pPr>
        <w:ind w:right="200"/>
        <w:spacing w:after="0" w:line="278" w:lineRule="auto"/>
        <w:rPr>
          <w:sz w:val="20"/>
          <w:szCs w:val="20"/>
          <w:color w:val="auto"/>
        </w:rPr>
      </w:pPr>
      <w:r>
        <w:rPr>
          <w:rFonts w:ascii="Times New Roman" w:cs="Times New Roman" w:eastAsia="Times New Roman" w:hAnsi="Times New Roman"/>
          <w:sz w:val="20"/>
          <w:szCs w:val="20"/>
          <w:color w:val="auto"/>
        </w:rPr>
        <w:t>withdraw the drug from the market on an expedited basis. All promotional materials for drug candidates approved under accelerated regulations are subject to prior review by the FDA.</w:t>
      </w:r>
    </w:p>
    <w:p>
      <w:pPr>
        <w:spacing w:after="0" w:line="168" w:lineRule="exact"/>
        <w:rPr>
          <w:sz w:val="20"/>
          <w:szCs w:val="20"/>
          <w:color w:val="auto"/>
        </w:rPr>
      </w:pPr>
    </w:p>
    <w:p>
      <w:pPr>
        <w:ind w:right="12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Breakthrough therapy designation — </w:t>
      </w:r>
      <w:r>
        <w:rPr>
          <w:rFonts w:ascii="Times New Roman" w:cs="Times New Roman" w:eastAsia="Times New Roman" w:hAnsi="Times New Roman"/>
          <w:sz w:val="20"/>
          <w:szCs w:val="20"/>
          <w:color w:val="auto"/>
        </w:rPr>
        <w:t>The FDA is also required to expedite the development and review of the application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approval of drugs that are 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 that the FDA designate the drug candidate for a specific indication as a breakthrough therapy concurrent with, or after, the filing of the IND for the drug candidate.</w:t>
      </w:r>
    </w:p>
    <w:p>
      <w:pPr>
        <w:spacing w:after="0" w:line="200" w:lineRule="exact"/>
        <w:rPr>
          <w:sz w:val="20"/>
          <w:szCs w:val="20"/>
          <w:color w:val="auto"/>
        </w:rPr>
      </w:pPr>
    </w:p>
    <w:p>
      <w:pPr>
        <w:ind w:right="80" w:firstLine="361"/>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Orphan drug designation — </w:t>
      </w:r>
      <w:r>
        <w:rPr>
          <w:rFonts w:ascii="Times New Roman" w:cs="Times New Roman" w:eastAsia="Times New Roman" w:hAnsi="Times New Roman"/>
          <w:sz w:val="20"/>
          <w:szCs w:val="20"/>
          <w:color w:val="auto"/>
        </w:rPr>
        <w:t>Under the Orphan Drug Act, the FDA may grant orphan drug designation to a drug or biologic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intended to treat a rare disease or 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Pediatric Information</w:t>
      </w:r>
    </w:p>
    <w:p>
      <w:pPr>
        <w:spacing w:after="0" w:line="237"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Post Approval</w:t>
      </w:r>
    </w:p>
    <w:p>
      <w:pPr>
        <w:spacing w:after="0" w:line="237"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9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91"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780"/>
          </w:cols>
          <w:pgMar w:left="540" w:top="1349" w:right="560" w:bottom="0" w:gutter="0" w:footer="0" w:header="0"/>
          <w:type w:val="continuous"/>
        </w:sectPr>
      </w:pPr>
    </w:p>
    <w:bookmarkStart w:id="100" w:name="page101"/>
    <w:bookmarkEnd w:id="100"/>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215" w:lineRule="exact"/>
        <w:rPr>
          <w:sz w:val="20"/>
          <w:szCs w:val="20"/>
          <w:color w:val="auto"/>
        </w:rPr>
      </w:pPr>
    </w:p>
    <w:p>
      <w:pPr>
        <w:ind w:left="720" w:hanging="360"/>
        <w:spacing w:after="0" w:line="277" w:lineRule="auto"/>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fines, untitled and warning letters or holds on post-approval clinical trials;</w:t>
      </w:r>
    </w:p>
    <w:p>
      <w:pPr>
        <w:spacing w:after="0" w:line="252" w:lineRule="exact"/>
        <w:rPr>
          <w:rFonts w:ascii="Arial" w:cs="Arial" w:eastAsia="Arial" w:hAnsi="Arial"/>
          <w:sz w:val="20"/>
          <w:szCs w:val="20"/>
          <w:color w:val="auto"/>
        </w:rPr>
      </w:pPr>
    </w:p>
    <w:p>
      <w:pPr>
        <w:ind w:left="720" w:right="160" w:hanging="360"/>
        <w:spacing w:after="0" w:line="277" w:lineRule="auto"/>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2"/>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 injunctions or the imposition of civil or criminal prosecution.</w:t>
      </w:r>
    </w:p>
    <w:p>
      <w:pPr>
        <w:spacing w:after="0" w:line="239" w:lineRule="exact"/>
        <w:rPr>
          <w:sz w:val="20"/>
          <w:szCs w:val="20"/>
          <w:color w:val="auto"/>
        </w:rPr>
      </w:pPr>
    </w:p>
    <w:p>
      <w:pPr>
        <w:ind w:right="80" w:firstLine="361"/>
        <w:spacing w:after="0" w:line="249"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products that are placed on the market. Drugs and biologics may be promoted only for the approved indications and in accordance with the provisions of the approved label. The FDA, the Office of the Inspector General of Health and Human Services and other agencies actively enforce the laws and regulations prohibiting the promotion of off label uses, and a company that is found to have improperly promoted off label uses may be subject to significant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Biosimilars and Exclusivity</w:t>
      </w:r>
    </w:p>
    <w:p>
      <w:pPr>
        <w:spacing w:after="0" w:line="237" w:lineRule="exact"/>
        <w:rPr>
          <w:sz w:val="20"/>
          <w:szCs w:val="20"/>
          <w:color w:val="auto"/>
        </w:rPr>
      </w:pPr>
    </w:p>
    <w:p>
      <w:pPr>
        <w:ind w:right="140" w:firstLine="360"/>
        <w:spacing w:after="0" w:line="259"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(“BPCIA”) created an abbreviated approval pathway for biological products shown to be highly similar to, or interchangeable with, an FDA-licensed reference biological product. The FDA has issued several guidance documents outlining an approach to review and approval of biosimilars.</w:t>
      </w:r>
    </w:p>
    <w:p>
      <w:pPr>
        <w:spacing w:after="0" w:line="186" w:lineRule="exact"/>
        <w:rPr>
          <w:sz w:val="20"/>
          <w:szCs w:val="20"/>
          <w:color w:val="auto"/>
        </w:rPr>
      </w:pPr>
    </w:p>
    <w:p>
      <w:pPr>
        <w:ind w:right="40" w:firstLine="361"/>
        <w:spacing w:after="0" w:line="247" w:lineRule="auto"/>
        <w:rPr>
          <w:sz w:val="20"/>
          <w:szCs w:val="20"/>
          <w:color w:val="auto"/>
        </w:rPr>
      </w:pPr>
      <w:r>
        <w:rPr>
          <w:rFonts w:ascii="Times New Roman" w:cs="Times New Roman" w:eastAsia="Times New Roman" w:hAnsi="Times New Roman"/>
          <w:sz w:val="20"/>
          <w:szCs w:val="20"/>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0" w:lineRule="exact"/>
        <w:rPr>
          <w:sz w:val="20"/>
          <w:szCs w:val="20"/>
          <w:color w:val="auto"/>
        </w:rPr>
      </w:pPr>
    </w:p>
    <w:p>
      <w:pPr>
        <w:jc w:val="both"/>
        <w:ind w:right="120" w:firstLine="360"/>
        <w:spacing w:after="0" w:line="249" w:lineRule="auto"/>
        <w:rPr>
          <w:sz w:val="20"/>
          <w:szCs w:val="20"/>
          <w:color w:val="auto"/>
        </w:rPr>
      </w:pPr>
      <w:r>
        <w:rPr>
          <w:rFonts w:ascii="Times New Roman" w:cs="Times New Roman" w:eastAsia="Times New Roman" w:hAnsi="Times New Roman"/>
          <w:sz w:val="20"/>
          <w:szCs w:val="20"/>
          <w:color w:val="auto"/>
        </w:rPr>
        <w:t>The BPCIA includes, among other provisions, a 12-year exclusivity period from the date of first licensure, or BLA approval, of the reference product, during which approval of a 351(k) application referencing that product may not be made effective; a four-year exclusivity period from the date of first licensure of the reference product, during which a 351(k) application referencing that product may not be submitted; and an exclusivity period for certain biological products that have been approved through the 351(k) pathway as interchangeable biosimilars.</w:t>
      </w:r>
    </w:p>
    <w:p>
      <w:pPr>
        <w:spacing w:after="0" w:line="198" w:lineRule="exact"/>
        <w:rPr>
          <w:sz w:val="20"/>
          <w:szCs w:val="20"/>
          <w:color w:val="auto"/>
        </w:rPr>
      </w:pPr>
    </w:p>
    <w:p>
      <w:pPr>
        <w:ind w:right="500" w:firstLine="360"/>
        <w:spacing w:after="0" w:line="278" w:lineRule="auto"/>
        <w:rPr>
          <w:sz w:val="20"/>
          <w:szCs w:val="20"/>
          <w:color w:val="auto"/>
        </w:rPr>
      </w:pPr>
      <w:r>
        <w:rPr>
          <w:rFonts w:ascii="Times New Roman" w:cs="Times New Roman" w:eastAsia="Times New Roman" w:hAnsi="Times New Roman"/>
          <w:sz w:val="20"/>
          <w:szCs w:val="20"/>
          <w:color w:val="auto"/>
        </w:rPr>
        <w:t>The BPCIA also establishes procedures for identifying and resolving patent disputes involving applications submitted under section 351(k) of the PHSA.</w:t>
      </w:r>
    </w:p>
    <w:p>
      <w:pPr>
        <w:spacing w:after="0" w:line="167" w:lineRule="exact"/>
        <w:rPr>
          <w:sz w:val="20"/>
          <w:szCs w:val="20"/>
          <w:color w:val="auto"/>
        </w:rPr>
      </w:pPr>
    </w:p>
    <w:p>
      <w:pPr>
        <w:ind w:right="340" w:firstLine="360"/>
        <w:spacing w:after="0" w:line="252" w:lineRule="auto"/>
        <w:rPr>
          <w:sz w:val="20"/>
          <w:szCs w:val="20"/>
          <w:color w:val="auto"/>
        </w:rPr>
      </w:pPr>
      <w:r>
        <w:rPr>
          <w:rFonts w:ascii="Times New Roman" w:cs="Times New Roman" w:eastAsia="Times New Roman" w:hAnsi="Times New Roman"/>
          <w:sz w:val="20"/>
          <w:szCs w:val="20"/>
          <w:color w:val="auto"/>
        </w:rPr>
        <w:t>The BPCIA is complex and its interpretation and implementation by the FDA remains unpredictable. In addition, government proposals have sought to reduce the 12-year reference product exclusivity period. Other aspects of the BPCIA, some of which may impact the BPCIA exclusivity provisions, have also been the subject of recent litigation. As a result, the ultimate effect, implementation, and meaning of the BPCIA is subject to uncertainty.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800"/>
          </w:cols>
          <w:pgMar w:left="540" w:top="1349" w:right="54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i w:val="1"/>
          <w:iCs w:val="1"/>
          <w:color w:val="auto"/>
        </w:rPr>
        <w:t>Federal and State Fraud and Abuse, Data Privacy and Security and Transparency Laws</w:t>
      </w:r>
    </w:p>
    <w:p>
      <w:pPr>
        <w:spacing w:after="0" w:line="23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 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 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 care professionals.</w:t>
      </w:r>
    </w:p>
    <w:p>
      <w:pPr>
        <w:spacing w:after="0" w:line="200"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 care professionals we may interact with may meet the FCPA’s definition of a foreign government official.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Regulation</w:t>
      </w:r>
    </w:p>
    <w:p>
      <w:pPr>
        <w:spacing w:after="0" w:line="237" w:lineRule="exact"/>
        <w:rPr>
          <w:sz w:val="20"/>
          <w:szCs w:val="20"/>
          <w:color w:val="auto"/>
        </w:rPr>
      </w:pPr>
    </w:p>
    <w:p>
      <w:pPr>
        <w:ind w:right="20" w:firstLine="361"/>
        <w:spacing w:after="0" w:line="260" w:lineRule="auto"/>
        <w:rPr>
          <w:sz w:val="20"/>
          <w:szCs w:val="20"/>
          <w:color w:val="auto"/>
        </w:rPr>
      </w:pPr>
      <w:r>
        <w:rPr>
          <w:rFonts w:ascii="Times New Roman" w:cs="Times New Roman" w:eastAsia="Times New Roman" w:hAnsi="Times New Roman"/>
          <w:sz w:val="19"/>
          <w:szCs w:val="19"/>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6"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Under the EU regulatory system, we will submit all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a drug candidate as an orphan drug for the treatment of a specific indication in the EU before the application for marketing authorization is made. The European Medicines Agency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Regulatory Processes</w:t>
      </w:r>
    </w:p>
    <w:p>
      <w:pPr>
        <w:spacing w:after="0" w:line="237" w:lineRule="exact"/>
        <w:rPr>
          <w:sz w:val="20"/>
          <w:szCs w:val="20"/>
          <w:color w:val="auto"/>
        </w:rPr>
      </w:pPr>
    </w:p>
    <w:p>
      <w:pPr>
        <w:ind w:right="780" w:firstLine="360"/>
        <w:spacing w:after="0" w:line="278" w:lineRule="auto"/>
        <w:rPr>
          <w:sz w:val="20"/>
          <w:szCs w:val="20"/>
          <w:color w:val="auto"/>
        </w:rPr>
      </w:pPr>
      <w:r>
        <w:rPr>
          <w:rFonts w:ascii="Times New Roman" w:cs="Times New Roman" w:eastAsia="Times New Roman" w:hAnsi="Times New Roman"/>
          <w:sz w:val="20"/>
          <w:szCs w:val="20"/>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68" w:lineRule="exact"/>
        <w:rPr>
          <w:sz w:val="20"/>
          <w:szCs w:val="20"/>
          <w:color w:val="auto"/>
        </w:rPr>
      </w:pPr>
    </w:p>
    <w:p>
      <w:pPr>
        <w:ind w:right="360" w:firstLine="360"/>
        <w:spacing w:after="0" w:line="258" w:lineRule="auto"/>
        <w:rPr>
          <w:sz w:val="20"/>
          <w:szCs w:val="20"/>
          <w:color w:val="auto"/>
        </w:rPr>
      </w:pPr>
      <w:r>
        <w:rPr>
          <w:rFonts w:ascii="Times New Roman" w:cs="Times New Roman" w:eastAsia="Times New Roman" w:hAnsi="Times New Roman"/>
          <w:sz w:val="20"/>
          <w:szCs w:val="20"/>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ectPr>
          <w:pgSz w:w="11880" w:h="15480" w:orient="portrait"/>
          <w:cols w:equalWidth="0" w:num="1">
            <w:col w:w="10760"/>
          </w:cols>
          <w:pgMar w:left="540" w:top="135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760"/>
          </w:cols>
          <w:pgMar w:left="540" w:top="1353" w:right="5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color w:val="auto"/>
        </w:rPr>
        <w:t>Third-Party Payor Coverage and Reimbursement</w:t>
      </w:r>
    </w:p>
    <w:p>
      <w:pPr>
        <w:spacing w:after="0" w:line="243"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any drug products for which we obtain regulatory approval. Sales of any of our drug candidates, if approved, will depend, in part, on the extent to which the acquisition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significant out-of-pocket payments for the patient.</w:t>
      </w:r>
    </w:p>
    <w:p>
      <w:pPr>
        <w:spacing w:after="0" w:line="200" w:lineRule="exact"/>
        <w:rPr>
          <w:sz w:val="20"/>
          <w:szCs w:val="20"/>
          <w:color w:val="auto"/>
        </w:rPr>
      </w:pPr>
    </w:p>
    <w:p>
      <w:pPr>
        <w:jc w:val="both"/>
        <w:ind w:right="80" w:firstLine="360"/>
        <w:spacing w:after="0" w:line="249" w:lineRule="auto"/>
        <w:rPr>
          <w:sz w:val="20"/>
          <w:szCs w:val="20"/>
          <w:color w:val="auto"/>
        </w:rPr>
      </w:pPr>
      <w:r>
        <w:rPr>
          <w:rFonts w:ascii="Times New Roman" w:cs="Times New Roman" w:eastAsia="Times New Roman" w:hAnsi="Times New Roman"/>
          <w:sz w:val="20"/>
          <w:szCs w:val="20"/>
          <w:color w:val="auto"/>
        </w:rPr>
        <w:t>In order to secure coverage and reimbursement for any drug that might be approved for sale, we need to conduct analyses and pharmaco-economic studies in order to demonstrate the incremental value over and above the currently available treatment options. Our drug candidates may not be considered medically necessary, provide insufficient incremental value, or may not be deemed cost-effective per payor criteria. A payor’s decision to provide coverage for a drug product does not imply that an adequate reimbursement rate will be approved.</w:t>
      </w:r>
    </w:p>
    <w:p>
      <w:pPr>
        <w:spacing w:after="0" w:line="197"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The containment of health care costs has become a priority of federal, state and foreign governments, and the prices of drugs have been a focus in this effort. Given that the Inflation Reduction Act is now in place, potential implications for the biopharma industry are still being assessed. In the meantime,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third-party payors, we will also need to negotiate formulary placement with hospitals, health systems and certain independent delivery networks. Such negotiations may be more protracted than anticipated and may be compromised because of similar considerations, relating to insufficient incremental value and/or cost-effectiveness.</w:t>
      </w:r>
    </w:p>
    <w:p>
      <w:pPr>
        <w:spacing w:after="0" w:line="203" w:lineRule="exact"/>
        <w:rPr>
          <w:sz w:val="20"/>
          <w:szCs w:val="20"/>
          <w:color w:val="auto"/>
        </w:rPr>
      </w:pPr>
    </w:p>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 care costs in general, including prescription drugs, has been evident in EU markets for some time and is now a major focus of federal and state governments in the U.S. As a result, increasingly high barriers are being erected to the pricing and reimbursement of new drugs, despite regulatory efforts to bring drugs to market sooner. Cross- border trade has existed for some time in the EU, allowing pharmacies in one country to import, at a lower price, drug from another country, further exerting pricing pressures across the EU. There is U.S. legislation that establishes a process for states to import less expensive drugs from Canada to the U.S. In January 2024, the FDA authorized the state of Florida to establish such a program, although Florida must take several other steps before drugs begin to be imported. There can be no assurance that any country that has price controls or reimbursement limitations for drug products will allow favorable reimbursement and pricing arrangements for any of our drugs.</w:t>
      </w:r>
    </w:p>
    <w:p>
      <w:pPr>
        <w:spacing w:after="0" w:line="205"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addition, the States may continue to consider legislation of their own (e.g. Prescription Drug Afforability Boards)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43" w:lineRule="exact"/>
        <w:rPr>
          <w:sz w:val="20"/>
          <w:szCs w:val="20"/>
          <w:color w:val="auto"/>
        </w:rPr>
      </w:pPr>
    </w:p>
    <w:p>
      <w:pPr>
        <w:ind w:right="580" w:firstLine="360"/>
        <w:spacing w:after="0" w:line="278" w:lineRule="auto"/>
        <w:rPr>
          <w:sz w:val="20"/>
          <w:szCs w:val="20"/>
          <w:color w:val="auto"/>
        </w:rPr>
      </w:pPr>
      <w:r>
        <w:rPr>
          <w:rFonts w:ascii="Times New Roman" w:cs="Times New Roman" w:eastAsia="Times New Roman" w:hAnsi="Times New Roman"/>
          <w:sz w:val="20"/>
          <w:szCs w:val="20"/>
          <w:color w:val="auto"/>
        </w:rPr>
        <w:t>As a mission driven organization, we believe the engagement and dedication of our employees is central to our success and employ talented individuals who have the skills and expertise to help us achieve our goals.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we had 198 full-time employees, 30 of whom have Ph.D. and/or M.D. degrees. Of these employees,</w:t>
      </w:r>
    </w:p>
    <w:p>
      <w:pPr>
        <w:spacing w:after="0" w:line="28"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166 were engaged in or directly support research and development activities. We consider our relationship with our employees to be good.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800"/>
          </w:cols>
          <w:pgMar w:left="540" w:top="1347" w:right="540" w:bottom="0" w:gutter="0" w:footer="0" w:header="0"/>
          <w:type w:val="continuous"/>
        </w:sectPr>
      </w:pPr>
    </w:p>
    <w:bookmarkStart w:id="103" w:name="page104"/>
    <w:bookmarkEnd w:id="103"/>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We believe that our success depends in large part on our ability to attract and retain experienced and skilled employees. We endeavor to provide competitive compensation and benefits packages designed to attract, retain and reward talented individuals who possess the skills necessary to support our business objectives, assist in the achievement of our strategic goals and increase stockholder value. We employ a pay for performance philosophy. Annual salary increases, incentive bonuses and stock option grants are available to all employees and are based on merit and include individual and corporate performance factors.</w:t>
      </w:r>
    </w:p>
    <w:p>
      <w:pPr>
        <w:spacing w:after="0" w:line="198"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that a diverse workforce brings.</w:t>
      </w:r>
    </w:p>
    <w:p>
      <w:pPr>
        <w:spacing w:after="0" w:line="188" w:lineRule="exact"/>
        <w:rPr>
          <w:sz w:val="20"/>
          <w:szCs w:val="20"/>
          <w:color w:val="auto"/>
        </w:rPr>
      </w:pPr>
    </w:p>
    <w:p>
      <w:pPr>
        <w:jc w:val="both"/>
        <w:ind w:right="80"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the health, safety and well-being of our employees at all times. We follow federal, state and local rules and guidelines to ensure the safety of our workforce and provide resources to assist our employees in managing their overall physical and mental health.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We have dedicated a significant portion of our resources to our efforts to develop our drug candidates. We incurred research and development expenses of $245.1 million, $163.6 million and $118.0 million during the years ended December 31, 2025, 2024 and 2023, respectively. We anticipate that a significant portion of our operating expenses will continue to be related to research and development in 2026 as we continue to advance our drug candidates through clinical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and Available Information</w:t>
      </w:r>
    </w:p>
    <w:p>
      <w:pPr>
        <w:spacing w:after="0" w:line="243"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 xml:space="preserve">We are incorporated in Delaware. Our website is located at </w:t>
      </w:r>
      <w:r>
        <w:rPr>
          <w:rFonts w:ascii="Times New Roman" w:cs="Times New Roman" w:eastAsia="Times New Roman" w:hAnsi="Times New Roman"/>
          <w:sz w:val="20"/>
          <w:szCs w:val="20"/>
          <w:i w:val="1"/>
          <w:iCs w:val="1"/>
          <w:color w:val="auto"/>
        </w:rPr>
        <w:t>http://www.celldex.com.</w:t>
      </w:r>
      <w:r>
        <w:rPr>
          <w:rFonts w:ascii="Times New Roman" w:cs="Times New Roman" w:eastAsia="Times New Roman" w:hAnsi="Times New Roman"/>
          <w:sz w:val="20"/>
          <w:szCs w:val="20"/>
          <w:color w:val="auto"/>
        </w:rPr>
        <w:t xml:space="preserve"> On our website, investors can obtain, free of charge, a copy of our Annual Report on Form 10-K, Quarterly Reports on Form 10-Q, Current Reports on Form 8- K, our Code of Business Conduct and Ethics, including disclosure related to any amendments or waivers thereto, other reports and any amendments thereto filed or furnished pursuant to Section 13(a) or 15(d) of the Exchange Act of 1934, as amended, as soon as reasonably practicable after we file such material electronically with, or furnish it to, the Securities and Exchange Commission, or the SEC. None of the information posted on our website is incorporated by reference into this Annual Report. The SEC also maintains a website at http://www.sec.gov that contains reports, proxy and information statements and other information regarding us and other companies that file materials with the SEC electronically.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3" w:lineRule="exact"/>
        <w:rPr>
          <w:sz w:val="20"/>
          <w:szCs w:val="20"/>
          <w:color w:val="auto"/>
        </w:rPr>
      </w:pPr>
    </w:p>
    <w:p>
      <w:pPr>
        <w:jc w:val="both"/>
        <w:ind w:right="60" w:firstLine="360"/>
        <w:spacing w:after="0" w:line="259" w:lineRule="auto"/>
        <w:rPr>
          <w:sz w:val="20"/>
          <w:szCs w:val="20"/>
          <w:color w:val="auto"/>
        </w:rPr>
      </w:pPr>
      <w:r>
        <w:rPr>
          <w:rFonts w:ascii="Times New Roman" w:cs="Times New Roman" w:eastAsia="Times New Roman" w:hAnsi="Times New Roman"/>
          <w:sz w:val="20"/>
          <w:szCs w:val="20"/>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140" w:firstLine="360"/>
        <w:spacing w:after="0" w:line="259" w:lineRule="auto"/>
        <w:rPr>
          <w:sz w:val="20"/>
          <w:szCs w:val="20"/>
          <w:color w:val="auto"/>
        </w:rPr>
      </w:pPr>
      <w:r>
        <w:rPr>
          <w:rFonts w:ascii="Times New Roman" w:cs="Times New Roman" w:eastAsia="Times New Roman" w:hAnsi="Times New Roman"/>
          <w:sz w:val="20"/>
          <w:szCs w:val="20"/>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259" w:lineRule="exact"/>
        <w:rPr>
          <w:sz w:val="20"/>
          <w:szCs w:val="20"/>
          <w:color w:val="auto"/>
        </w:rPr>
      </w:pPr>
    </w:p>
    <w:p>
      <w:pPr>
        <w:ind w:left="720" w:hanging="360"/>
        <w:spacing w:after="0"/>
        <w:tabs>
          <w:tab w:leader="none" w:pos="7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need for additional capital to fund our operations.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Merger Agreement and related Settlement Agreement with Kolltan.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Development and Regulatory Approval of Drug Candidates</w:t>
      </w:r>
    </w:p>
    <w:p>
      <w:pPr>
        <w:spacing w:after="0" w:line="258" w:lineRule="exact"/>
        <w:rPr>
          <w:sz w:val="20"/>
          <w:szCs w:val="20"/>
          <w:color w:val="auto"/>
        </w:rPr>
      </w:pPr>
    </w:p>
    <w:p>
      <w:pPr>
        <w:ind w:left="720" w:right="160" w:hanging="360"/>
        <w:spacing w:after="0" w:line="277" w:lineRule="auto"/>
        <w:tabs>
          <w:tab w:leader="none" w:pos="720"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ability to fund and complete the research and development activities and obtain regulatory approval for our program assets.</w:t>
      </w:r>
    </w:p>
    <w:p>
      <w:pPr>
        <w:sectPr>
          <w:pgSz w:w="11880" w:h="15480" w:orient="portrait"/>
          <w:cols w:equalWidth="0" w:num="1">
            <w:col w:w="10740"/>
          </w:cols>
          <w:pgMar w:left="540" w:top="13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740"/>
          </w:cols>
          <w:pgMar w:left="540" w:top="1349" w:right="600" w:bottom="0" w:gutter="0" w:footer="0" w:header="0"/>
          <w:type w:val="continuous"/>
        </w:sectPr>
      </w:pPr>
    </w:p>
    <w:bookmarkStart w:id="104" w:name="page105"/>
    <w:bookmarkEnd w:id="104"/>
    <w:p>
      <w:pPr>
        <w:ind w:left="720" w:hanging="360"/>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extensive and lengthy regulatory scrutiny to which we are subject.</w:t>
      </w:r>
    </w:p>
    <w:p>
      <w:pPr>
        <w:spacing w:after="0" w:line="252" w:lineRule="exact"/>
        <w:rPr>
          <w:rFonts w:ascii="Arial" w:cs="Arial" w:eastAsia="Arial" w:hAnsi="Arial"/>
          <w:sz w:val="20"/>
          <w:szCs w:val="20"/>
          <w:color w:val="auto"/>
        </w:rPr>
      </w:pPr>
    </w:p>
    <w:p>
      <w:pPr>
        <w:ind w:left="720" w:right="240" w:hanging="360"/>
        <w:spacing w:after="0" w:line="277" w:lineRule="auto"/>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disruptions at the U.S. FDA and other government agencies caused by funding shortages or global health concerns.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ability to commence, enroll, manage and complete our clinical trials.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Risk of serious adverse or unacceptable side effects identified related to our drug candidates.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Risk related to showing that our drug candidates are effective and competitive with other therapies and approved products.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We may enter into collaboration agreements for our lead drug candidates that may not meet our expectations.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 of Our Drug Candidates</w:t>
      </w:r>
    </w:p>
    <w:p>
      <w:pPr>
        <w:spacing w:after="0" w:line="259" w:lineRule="exact"/>
        <w:rPr>
          <w:sz w:val="20"/>
          <w:szCs w:val="20"/>
          <w:color w:val="auto"/>
        </w:rPr>
      </w:pPr>
    </w:p>
    <w:p>
      <w:pPr>
        <w:ind w:left="720" w:hanging="360"/>
        <w:spacing w:after="0"/>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delays, difficulties or unanticipated costs in establishing sales, marketing and distribution capabilities.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acceptance of our drug candidates by physicians, patients and third-party payors.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reimbursement decisions by third-party payors.</w:t>
      </w:r>
    </w:p>
    <w:p>
      <w:pPr>
        <w:spacing w:after="0" w:line="252" w:lineRule="exact"/>
        <w:rPr>
          <w:rFonts w:ascii="Arial" w:cs="Arial" w:eastAsia="Arial" w:hAnsi="Arial"/>
          <w:sz w:val="20"/>
          <w:szCs w:val="20"/>
          <w:color w:val="auto"/>
        </w:rPr>
      </w:pPr>
    </w:p>
    <w:p>
      <w:pPr>
        <w:ind w:left="720" w:right="140" w:hanging="360"/>
        <w:spacing w:after="0" w:line="277" w:lineRule="auto"/>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Risks, including the terms of FDA approval, that could affect the demand for and sales and profitability of any of our drug candidates.</w:t>
      </w:r>
    </w:p>
    <w:p>
      <w:pPr>
        <w:spacing w:after="0" w:line="182" w:lineRule="exact"/>
        <w:rPr>
          <w:rFonts w:ascii="Arial" w:cs="Arial" w:eastAsia="Arial" w:hAnsi="Arial"/>
          <w:sz w:val="20"/>
          <w:szCs w:val="20"/>
          <w:color w:val="auto"/>
        </w:rPr>
      </w:pPr>
    </w:p>
    <w:p>
      <w:pPr>
        <w:ind w:left="720" w:hanging="360"/>
        <w:spacing w:after="0" w:line="277" w:lineRule="auto"/>
        <w:tabs>
          <w:tab w:leader="none" w:pos="720" w:val="left"/>
        </w:tabs>
        <w:numPr>
          <w:ilvl w:val="0"/>
          <w:numId w:val="76"/>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failure to obtain regulatory approvals in foreign jurisdictions and risks related to international operations if we do obtain regulatory approval in foreign jurisdictions.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Reliance on Third Parties</w:t>
      </w:r>
    </w:p>
    <w:p>
      <w:pPr>
        <w:spacing w:after="0" w:line="259" w:lineRule="exact"/>
        <w:rPr>
          <w:sz w:val="20"/>
          <w:szCs w:val="20"/>
          <w:color w:val="auto"/>
        </w:rPr>
      </w:pPr>
    </w:p>
    <w:p>
      <w:pPr>
        <w:ind w:left="720" w:hanging="360"/>
        <w:spacing w:after="0"/>
        <w:tabs>
          <w:tab w:leader="none" w:pos="720" w:val="left"/>
        </w:tabs>
        <w:numPr>
          <w:ilvl w:val="0"/>
          <w:numId w:val="77"/>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reliance on third parties.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Business Operations</w:t>
      </w:r>
    </w:p>
    <w:p>
      <w:pPr>
        <w:spacing w:after="0" w:line="259" w:lineRule="exact"/>
        <w:rPr>
          <w:sz w:val="20"/>
          <w:szCs w:val="20"/>
          <w:color w:val="auto"/>
        </w:rPr>
      </w:pPr>
    </w:p>
    <w:p>
      <w:pPr>
        <w:ind w:left="720" w:hanging="360"/>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strategic transactions.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managing our growth.</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ability to integrate and modify our technologies to create new drugs.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computer systems that we and third parties use and potential security breaches or operational impairment.</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hazardous materials.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78"/>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product liability claims.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58" w:lineRule="exact"/>
        <w:rPr>
          <w:sz w:val="20"/>
          <w:szCs w:val="20"/>
          <w:color w:val="auto"/>
        </w:rPr>
      </w:pPr>
    </w:p>
    <w:p>
      <w:pPr>
        <w:ind w:left="720" w:hanging="360"/>
        <w:spacing w:after="0"/>
        <w:tabs>
          <w:tab w:leader="none" w:pos="720" w:val="left"/>
        </w:tabs>
        <w:numPr>
          <w:ilvl w:val="0"/>
          <w:numId w:val="79"/>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intellectual property.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Risks</w:t>
      </w:r>
    </w:p>
    <w:p>
      <w:pPr>
        <w:spacing w:after="0" w:line="259" w:lineRule="exact"/>
        <w:rPr>
          <w:sz w:val="20"/>
          <w:szCs w:val="20"/>
          <w:color w:val="auto"/>
        </w:rPr>
      </w:pPr>
    </w:p>
    <w:p>
      <w:pPr>
        <w:ind w:left="720" w:hanging="360"/>
        <w:spacing w:after="0"/>
        <w:tabs>
          <w:tab w:leader="none" w:pos="720" w:val="left"/>
        </w:tabs>
        <w:numPr>
          <w:ilvl w:val="0"/>
          <w:numId w:val="80"/>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regulatory approval process for our drugs.</w:t>
      </w:r>
    </w:p>
    <w:p>
      <w:pPr>
        <w:sectPr>
          <w:pgSz w:w="11880" w:h="15480" w:orient="portrait"/>
          <w:cols w:equalWidth="0" w:num="1">
            <w:col w:w="10660"/>
          </w:cols>
          <w:pgMar w:left="540" w:top="1365"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660"/>
          </w:cols>
          <w:pgMar w:left="540" w:top="1365" w:right="680" w:bottom="0" w:gutter="0" w:footer="0" w:header="0"/>
          <w:type w:val="continuous"/>
        </w:sectPr>
      </w:pPr>
    </w:p>
    <w:bookmarkStart w:id="105" w:name="page106"/>
    <w:bookmarkEnd w:id="105"/>
    <w:p>
      <w:pPr>
        <w:ind w:left="720" w:hanging="360"/>
        <w:spacing w:after="0"/>
        <w:tabs>
          <w:tab w:leader="none" w:pos="72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changes in product candidate manufacturing or formulation.</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1"/>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compliance with laws and regulations.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Capital Stock</w:t>
      </w:r>
    </w:p>
    <w:p>
      <w:pPr>
        <w:spacing w:after="0" w:line="259" w:lineRule="exact"/>
        <w:rPr>
          <w:sz w:val="20"/>
          <w:szCs w:val="20"/>
          <w:color w:val="auto"/>
        </w:rPr>
      </w:pPr>
    </w:p>
    <w:p>
      <w:pPr>
        <w:ind w:left="720" w:hanging="360"/>
        <w:spacing w:after="0"/>
        <w:tabs>
          <w:tab w:leader="none" w:pos="72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history of losses and uncertainty of future profitability.</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volatility of our common stock.</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2"/>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use of our net operating loss carryforwards.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59" w:lineRule="exact"/>
        <w:rPr>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internal controls over financial reporting.</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that our competitors may develop technologies that make ours obsolete.</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health epidemics and outbreaks.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global economy and supply chain disruptions.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the loss of our key executives and scientists.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that our employees may engage in misconduct or other improper activities.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our compliance with the Nasdaq Listing Rules.</w:t>
      </w:r>
    </w:p>
    <w:p>
      <w:pPr>
        <w:spacing w:after="0" w:line="252" w:lineRule="exact"/>
        <w:rPr>
          <w:rFonts w:ascii="Arial" w:cs="Arial" w:eastAsia="Arial" w:hAnsi="Arial"/>
          <w:sz w:val="20"/>
          <w:szCs w:val="20"/>
          <w:color w:val="auto"/>
        </w:rPr>
      </w:pPr>
    </w:p>
    <w:p>
      <w:pPr>
        <w:ind w:left="720" w:right="200" w:hanging="360"/>
        <w:spacing w:after="0" w:line="277" w:lineRule="auto"/>
        <w:tabs>
          <w:tab w:leader="none" w:pos="720" w:val="left"/>
        </w:tabs>
        <w:numPr>
          <w:ilvl w:val="0"/>
          <w:numId w:val="83"/>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private industries’ increased use of artificial intelligence, machine learning and certain automated decision-making technologies (“AI Technologies”) in business that may expand our limited use of these technologies.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Condition and Capital Requirements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currently have no product revenue and will need to raise capital to operate our business.</w:t>
      </w:r>
    </w:p>
    <w:p>
      <w:pPr>
        <w:spacing w:after="0" w:line="240" w:lineRule="exact"/>
        <w:rPr>
          <w:sz w:val="20"/>
          <w:szCs w:val="20"/>
          <w:color w:val="auto"/>
        </w:rPr>
      </w:pPr>
    </w:p>
    <w:p>
      <w:pPr>
        <w:ind w:right="60" w:firstLine="361"/>
        <w:spacing w:after="0" w:line="257" w:lineRule="auto"/>
        <w:rPr>
          <w:sz w:val="20"/>
          <w:szCs w:val="20"/>
          <w:color w:val="auto"/>
        </w:rPr>
      </w:pPr>
      <w:r>
        <w:rPr>
          <w:rFonts w:ascii="Times New Roman" w:cs="Times New Roman" w:eastAsia="Times New Roman" w:hAnsi="Times New Roman"/>
          <w:sz w:val="19"/>
          <w:szCs w:val="19"/>
          <w:color w:val="auto"/>
        </w:rPr>
        <w:t>To date, we have generated no product revenue and cannot predict when and if we will generate product revenue. We had an accumulated deficit of $1.8 billion as of December 31, 2025. Until, and unless, we complete clinical trials and other development activity, and receive approval from the FDA and other regulatory authorities, for our drug candidates, we cannot sell our drugs and will not have product revenue. We expect to spend substantial funds to continue the research, development and testing of our products that are in the preclinical and clinical testing stages of development and to prepare to commercialize products in anticipation of FDA approval. Therefore, for the foreseeable future, we will have to fund all of our operations and development expenditures from cash on hand, equity or debt financings, licensing fees and grants. Additional financing will be required to meet our liquidity needs. If we do not succeed in raising additional funds on acceptable terms, we might not be able to complete planned preclinical and clinical trials or obtain approval of any drug candidates from the FDA and other regulatory authorities. In addition, we could be forced to discontinue product development, reduce or forego sales and marketing efforts, forego attractive business opportunities or curtail operations. Any additional sources of financing could involve the issuance of our equity securities, which would have a dilutive effect on our stockholders. No assurance can be given that additional financing will be available to us when needed on acceptable terms, or at all.</w:t>
      </w:r>
    </w:p>
    <w:p>
      <w:pPr>
        <w:spacing w:after="0" w:line="192"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ectPr>
          <w:pgSz w:w="11880" w:h="15480" w:orient="portrait"/>
          <w:cols w:equalWidth="0" w:num="1">
            <w:col w:w="10800"/>
          </w:cols>
          <w:pgMar w:left="540" w:top="136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800"/>
          </w:cols>
          <w:pgMar w:left="540" w:top="1365" w:right="54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i w:val="1"/>
          <w:iCs w:val="1"/>
          <w:color w:val="auto"/>
        </w:rPr>
        <w:t>We expect to incur future losses and we may never become profitable.</w:t>
      </w:r>
    </w:p>
    <w:p>
      <w:pPr>
        <w:spacing w:after="0" w:line="239"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We have incurred operating losses of $287.4 million, $195.1 million and $154.5 million during 2025, 2024, and 2023, respectively, and expect to incur an operating loss in 2026 and beyond. We believe that operating losses will continue in 2026 and beyond because we are planning to incur significant costs associated with the development of our drug candidates and, if we are successful in obtaining regulatory approval to market one or more of our product candidates, the marketing and commercialization of such approved product(s). During the years ended December 31, 2025, 2024 and 2023, we incurred $111.8 million, $73.0 million and $32.4 million in clinical trial expense and $47.1 million, $16.4 million and $ 24.1 million in contract manufacturing expense. Our net losses have had and will continue to have an adverse effect on, among other things, our stockholders’ equity, total assets and working capital.</w:t>
      </w:r>
    </w:p>
    <w:p>
      <w:pPr>
        <w:spacing w:after="0" w:line="202"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Even if we are successful in obtaining regulatory approval for barzolvolimab or one or more of our other drug candidates, our ability to generate revenue will still be dependent on a number of factors outside of our control, including, the size of the addressable market, the label for which approval is granted, the accepted price for the product, and/or the ability to get and maintain adequate coverage and reimbursement. See “</w:t>
      </w:r>
      <w:r>
        <w:rPr>
          <w:rFonts w:ascii="Times New Roman" w:cs="Times New Roman" w:eastAsia="Times New Roman" w:hAnsi="Times New Roman"/>
          <w:sz w:val="20"/>
          <w:szCs w:val="20"/>
          <w:i w:val="1"/>
          <w:iCs w:val="1"/>
          <w:color w:val="auto"/>
        </w:rPr>
        <w:t>If our drug candidates for which we obtain regulatory approval do not achieve broad acceptance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physicians, patients and third-party payors, we may be unable to generate significant revenues, if any</w:t>
      </w:r>
      <w:r>
        <w:rPr>
          <w:rFonts w:ascii="Times New Roman" w:cs="Times New Roman" w:eastAsia="Times New Roman" w:hAnsi="Times New Roman"/>
          <w:sz w:val="20"/>
          <w:szCs w:val="20"/>
          <w:color w:val="auto"/>
        </w:rPr>
        <w:t>” below.</w:t>
      </w:r>
    </w:p>
    <w:p>
      <w:pPr>
        <w:spacing w:after="0" w:line="197" w:lineRule="exact"/>
        <w:rPr>
          <w:sz w:val="20"/>
          <w:szCs w:val="20"/>
          <w:color w:val="auto"/>
        </w:rPr>
      </w:pPr>
    </w:p>
    <w:p>
      <w:pPr>
        <w:ind w:right="260" w:firstLine="360"/>
        <w:spacing w:after="0" w:line="278" w:lineRule="auto"/>
        <w:rPr>
          <w:sz w:val="20"/>
          <w:szCs w:val="20"/>
          <w:color w:val="auto"/>
        </w:rPr>
      </w:pPr>
      <w:r>
        <w:rPr>
          <w:rFonts w:ascii="Times New Roman" w:cs="Times New Roman" w:eastAsia="Times New Roman" w:hAnsi="Times New Roman"/>
          <w:sz w:val="20"/>
          <w:szCs w:val="20"/>
          <w:color w:val="auto"/>
        </w:rPr>
        <w:t>We expect that losses will fluctuate from quarter to quarter and year to year, and that such fluctuations may be substantial. We cannot predict when we will become profitable, if at all.</w:t>
      </w:r>
    </w:p>
    <w:p>
      <w:pPr>
        <w:spacing w:after="0" w:line="1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88"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We expect to incur significant costs as we develop our drug candidates. The continuing development and commercialization of our drug candidates requires additional capital beyond our current resources. As of December 31, 2025, we had cash, cash equivalents and marketable securities of $518.6 million. During the next twelve months and beyond, we will take further steps to raise additional capital to fund our long-term liquidity needs. Our capital raising activities may include, but may not be limited to, one or more of the following:</w:t>
      </w:r>
    </w:p>
    <w:p>
      <w:pPr>
        <w:spacing w:after="0" w:line="211" w:lineRule="exact"/>
        <w:rPr>
          <w:sz w:val="20"/>
          <w:szCs w:val="20"/>
          <w:color w:val="auto"/>
        </w:rPr>
      </w:pPr>
    </w:p>
    <w:p>
      <w:pPr>
        <w:ind w:left="720" w:hanging="360"/>
        <w:spacing w:after="0"/>
        <w:tabs>
          <w:tab w:leader="none" w:pos="720"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0"/>
          <w:szCs w:val="20"/>
          <w:color w:val="auto"/>
        </w:rPr>
        <w:t>licensing of drug candidates with existing or new collaborative partners;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0"/>
          <w:szCs w:val="20"/>
          <w:color w:val="auto"/>
        </w:rPr>
        <w:t>possible business combinations;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debt; or</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4"/>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common stock or other securities via private placements or public offerings.</w:t>
      </w:r>
    </w:p>
    <w:p>
      <w:pPr>
        <w:spacing w:after="0" w:line="238" w:lineRule="exact"/>
        <w:rPr>
          <w:sz w:val="20"/>
          <w:szCs w:val="20"/>
          <w:color w:val="auto"/>
        </w:rPr>
      </w:pPr>
    </w:p>
    <w:p>
      <w:pPr>
        <w:ind w:right="80" w:firstLine="361"/>
        <w:spacing w:after="0" w:line="244" w:lineRule="auto"/>
        <w:rPr>
          <w:sz w:val="20"/>
          <w:szCs w:val="20"/>
          <w:color w:val="auto"/>
        </w:rPr>
      </w:pPr>
      <w:r>
        <w:rPr>
          <w:rFonts w:ascii="Times New Roman" w:cs="Times New Roman" w:eastAsia="Times New Roman" w:hAnsi="Times New Roman"/>
          <w:sz w:val="20"/>
          <w:szCs w:val="20"/>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drug candidates under development. If we are unable to raise the funds necessary to meet our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203"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stockholders may be subject to substantial dilution if we elect to pay future milestone consideration to the former Kolltan stockholders in shares of common stock. If we elect to pay future milestone consideration in cash, we would likely need to raise additional capital.</w:t>
      </w:r>
    </w:p>
    <w:p>
      <w:pPr>
        <w:spacing w:after="0" w:line="186" w:lineRule="exact"/>
        <w:rPr>
          <w:sz w:val="20"/>
          <w:szCs w:val="20"/>
          <w:color w:val="auto"/>
        </w:rPr>
      </w:pPr>
    </w:p>
    <w:p>
      <w:pPr>
        <w:ind w:right="180" w:firstLine="360"/>
        <w:spacing w:after="0" w:line="277" w:lineRule="auto"/>
        <w:rPr>
          <w:sz w:val="20"/>
          <w:szCs w:val="20"/>
          <w:color w:val="auto"/>
        </w:rPr>
      </w:pPr>
      <w:r>
        <w:rPr>
          <w:rFonts w:ascii="Times New Roman" w:cs="Times New Roman" w:eastAsia="Times New Roman" w:hAnsi="Times New Roman"/>
          <w:sz w:val="20"/>
          <w:szCs w:val="20"/>
          <w:color w:val="auto"/>
        </w:rPr>
        <w:t>In connection with the agreement pursuant to which we acquired Kolltan in 2016 (the “Merger Agreement”) as modified by the definitive settlement agreement (the “Settlement Agreement”) we entered on July 15, 2022 related to litigation arising from the</w:t>
      </w:r>
    </w:p>
    <w:p>
      <w:pPr>
        <w:sectPr>
          <w:pgSz w:w="11880" w:h="15480" w:orient="portrait"/>
          <w:cols w:equalWidth="0" w:num="1">
            <w:col w:w="10740"/>
          </w:cols>
          <w:pgMar w:left="540" w:top="1351" w:right="60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740"/>
          </w:cols>
          <w:pgMar w:left="540" w:top="1351" w:right="600" w:bottom="0" w:gutter="0" w:footer="0" w:header="0"/>
          <w:type w:val="continuous"/>
        </w:sectPr>
      </w:pPr>
    </w:p>
    <w:bookmarkStart w:id="107" w:name="page108"/>
    <w:bookmarkEnd w:id="107"/>
    <w:p>
      <w:pPr>
        <w:ind w:right="40"/>
        <w:spacing w:after="0" w:line="253" w:lineRule="auto"/>
        <w:rPr>
          <w:sz w:val="20"/>
          <w:szCs w:val="20"/>
          <w:color w:val="auto"/>
        </w:rPr>
      </w:pPr>
      <w:r>
        <w:rPr>
          <w:rFonts w:ascii="Times New Roman" w:cs="Times New Roman" w:eastAsia="Times New Roman" w:hAnsi="Times New Roman"/>
          <w:sz w:val="20"/>
          <w:szCs w:val="20"/>
          <w:color w:val="auto"/>
        </w:rPr>
        <w:t>Kolltan merger, in the event that regulatory approval by the United States Food and Drug Administration or European Medicines Agency of certain drug candidates are achieved, we will be required to pay to the former stockholders of Kolltan a milestone payment of $52,500,000, which milestone payment may be made, at our sole election, in cash, in shares of our common stock or a combination of both, subject to provisions of the Merger Agreement.</w:t>
      </w:r>
    </w:p>
    <w:p>
      <w:pPr>
        <w:spacing w:after="0" w:line="191"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We may require additional capital to fund the milestone payment in cash, depending on the facts and circumstances at the time such payment becomes due.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If we elect to pay the milestone payment in shares of our common stock, our stockholders would experience substantial dilution.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Development and Regulatory Approval of Drug Candidates</w:t>
      </w:r>
    </w:p>
    <w:p>
      <w:pPr>
        <w:spacing w:after="0" w:line="243"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long-term success depends heavily on our ability to fund and complete the research and development activities and obtain regulatory approval for our program assets.</w:t>
      </w:r>
    </w:p>
    <w:p>
      <w:pPr>
        <w:spacing w:after="0" w:line="167"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Only a small minority of all research and development programs ultimately result in commercially successful drugs. Clinical failure can occur at any stage of clinical development. Clinical and preclinical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As part of development, we also must show that we can formulate and manufacture our product candidates in compliance with regulatory requirements.</w:t>
      </w:r>
    </w:p>
    <w:p>
      <w:pPr>
        <w:spacing w:after="0" w:line="202"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We will need substantial additional financing to complete the development of our drug candidates and comply with the regulatory requirements governing this process. Further, even if we complete the development of our drug candidates and gain marketing approvals from the FDA and comparable foreign regulatory authorities in a timely manner, we cannot be sure that such drug candidates will be commercially successful in the pharmaceutical market. If the results of clinical trials, the anticipated or actual timing of marketing approvals, or the market acceptance of any of our drug candidates, if approved, do not meet the expectations of investors or public market analysts, the market price of our common stock would likely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drug candidates are subject to extensive regulatory scrutiny.</w:t>
      </w:r>
    </w:p>
    <w:p>
      <w:pPr>
        <w:spacing w:after="0" w:line="239"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2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Premarket review of our product candidates by the FDA and/or other regulatory authorities is a lengthy and uncertain process and approval may be delayed, limited or denied, any of which would adversely affect our ability to generate operating revenues.</w:t>
      </w:r>
    </w:p>
    <w:p>
      <w:pPr>
        <w:spacing w:after="0" w:line="167"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We are not permitted to market our drug product candidates in the United States until we receive approval of an application by the FDA. The time required to obtain approval by the FDA is unpredictable, but typically takes multiple years following the commencement of clinical trials, and depends upon numerous factors, including the substantial discretion of the FDA and the type, complexity and novelty of the product candidates involved. Similar processes are used in countries outside of the U.S. We have not submitted a marketing application such as BLA or NDA to the FDA or any similar application to any other regulatory authority in any jurisdiction.</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780"/>
          </w:cols>
          <w:pgMar w:left="540" w:top="1349" w:right="560" w:bottom="0" w:gutter="0" w:footer="0" w:header="0"/>
          <w:type w:val="continuous"/>
        </w:sectPr>
      </w:pPr>
    </w:p>
    <w:bookmarkStart w:id="108" w:name="page109"/>
    <w:bookmarkEnd w:id="108"/>
    <w:p>
      <w:pPr>
        <w:ind w:firstLine="360"/>
        <w:spacing w:after="0" w:line="278" w:lineRule="auto"/>
        <w:rPr>
          <w:sz w:val="20"/>
          <w:szCs w:val="20"/>
          <w:color w:val="auto"/>
        </w:rPr>
      </w:pPr>
      <w:r>
        <w:rPr>
          <w:rFonts w:ascii="Times New Roman" w:cs="Times New Roman" w:eastAsia="Times New Roman" w:hAnsi="Times New Roman"/>
          <w:sz w:val="20"/>
          <w:szCs w:val="20"/>
          <w:color w:val="auto"/>
        </w:rPr>
        <w:t>The FDA has substantial discretion in the drug approval process, including the ability to delay, limit or deny approval of a product candidate for many reasons. For example, the FDA:</w:t>
      </w:r>
    </w:p>
    <w:p>
      <w:pPr>
        <w:spacing w:after="0" w:line="182" w:lineRule="exact"/>
        <w:rPr>
          <w:sz w:val="20"/>
          <w:szCs w:val="20"/>
          <w:color w:val="auto"/>
        </w:rPr>
      </w:pPr>
    </w:p>
    <w:p>
      <w:pPr>
        <w:ind w:left="720" w:right="320" w:hanging="360"/>
        <w:spacing w:after="0" w:line="277"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could determine that the information provided by us as part of an IND or BLA/NDA is inadequate, contains clinical deficiencies or otherwise fails to demonstrate safety and effectiveness of any of our product candidates for any indication;</w:t>
      </w:r>
    </w:p>
    <w:p>
      <w:pPr>
        <w:spacing w:after="0" w:line="182" w:lineRule="exact"/>
        <w:rPr>
          <w:rFonts w:ascii="Arial" w:cs="Arial" w:eastAsia="Arial" w:hAnsi="Arial"/>
          <w:sz w:val="20"/>
          <w:szCs w:val="20"/>
          <w:color w:val="auto"/>
        </w:rPr>
      </w:pPr>
    </w:p>
    <w:p>
      <w:pPr>
        <w:ind w:left="720" w:right="80" w:hanging="360"/>
        <w:spacing w:after="0" w:line="258"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not find the data from pre-clinical and clinical trials sufficient to support the submission of a marketing application or to obtain marketing approval, including any findings that the safety risks outweigh clinical and other benefits of our product candidates;</w:t>
      </w:r>
    </w:p>
    <w:p>
      <w:pPr>
        <w:spacing w:after="0" w:line="201" w:lineRule="exact"/>
        <w:rPr>
          <w:rFonts w:ascii="Arial" w:cs="Arial" w:eastAsia="Arial" w:hAnsi="Arial"/>
          <w:sz w:val="20"/>
          <w:szCs w:val="20"/>
          <w:color w:val="auto"/>
        </w:rPr>
      </w:pPr>
    </w:p>
    <w:p>
      <w:pPr>
        <w:ind w:left="720" w:right="120" w:hanging="360"/>
        <w:spacing w:after="0" w:line="277"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require us to perform additional studies to demonstrate the safety, efficacy, pharmacokinetics, or other properties of our product candidates prior to approval, or require such studies as a condition of approval;</w:t>
      </w:r>
    </w:p>
    <w:p>
      <w:pPr>
        <w:spacing w:after="0" w:line="182" w:lineRule="exact"/>
        <w:rPr>
          <w:rFonts w:ascii="Arial" w:cs="Arial" w:eastAsia="Arial" w:hAnsi="Arial"/>
          <w:sz w:val="20"/>
          <w:szCs w:val="20"/>
          <w:color w:val="auto"/>
        </w:rPr>
      </w:pPr>
    </w:p>
    <w:p>
      <w:pPr>
        <w:ind w:left="720" w:right="460" w:hanging="360"/>
        <w:spacing w:after="0" w:line="259"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disagree with our clinical trial designs or our interpretation of data from product development manufacturing data, bioequivalence studies and/or clinical trials, or may change the requirements for approval even after it has reviewed and commented on the design for our trials;</w:t>
      </w:r>
    </w:p>
    <w:p>
      <w:pPr>
        <w:spacing w:after="0" w:line="198" w:lineRule="exact"/>
        <w:rPr>
          <w:rFonts w:ascii="Arial" w:cs="Arial" w:eastAsia="Arial" w:hAnsi="Arial"/>
          <w:sz w:val="20"/>
          <w:szCs w:val="20"/>
          <w:color w:val="auto"/>
        </w:rPr>
      </w:pPr>
    </w:p>
    <w:p>
      <w:pPr>
        <w:ind w:left="720" w:right="220" w:hanging="360"/>
        <w:spacing w:after="0" w:line="277"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identify deficiencies in the manufacturing processes or facilities of third-party manufacturers with which we enter into agreements for the supply of the API used in our product candidates;</w:t>
      </w:r>
    </w:p>
    <w:p>
      <w:pPr>
        <w:spacing w:after="0" w:line="182" w:lineRule="exact"/>
        <w:rPr>
          <w:rFonts w:ascii="Arial" w:cs="Arial" w:eastAsia="Arial" w:hAnsi="Arial"/>
          <w:sz w:val="20"/>
          <w:szCs w:val="20"/>
          <w:color w:val="auto"/>
        </w:rPr>
      </w:pPr>
    </w:p>
    <w:p>
      <w:pPr>
        <w:ind w:left="720" w:right="320" w:hanging="360"/>
        <w:spacing w:after="0" w:line="277"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identify deficiencies in our own manufacturing processes or our proposed scale-up of the manufacturing processes or facilities for the production of our product candidates;</w:t>
      </w:r>
    </w:p>
    <w:p>
      <w:pPr>
        <w:spacing w:after="0" w:line="182" w:lineRule="exact"/>
        <w:rPr>
          <w:rFonts w:ascii="Arial" w:cs="Arial" w:eastAsia="Arial" w:hAnsi="Arial"/>
          <w:sz w:val="20"/>
          <w:szCs w:val="20"/>
          <w:color w:val="auto"/>
        </w:rPr>
      </w:pPr>
    </w:p>
    <w:p>
      <w:pPr>
        <w:ind w:left="720" w:right="80" w:hanging="360"/>
        <w:spacing w:after="0" w:line="277"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approve our product candidates for fewer or more limited indications than we request, or may grant approval contingent on the performance of costly post-approval clinical trials;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change its approval policies or adopt new regulations; or</w:t>
      </w:r>
    </w:p>
    <w:p>
      <w:pPr>
        <w:spacing w:after="0" w:line="252" w:lineRule="exact"/>
        <w:rPr>
          <w:rFonts w:ascii="Arial" w:cs="Arial" w:eastAsia="Arial" w:hAnsi="Arial"/>
          <w:sz w:val="20"/>
          <w:szCs w:val="20"/>
          <w:color w:val="auto"/>
        </w:rPr>
      </w:pPr>
    </w:p>
    <w:p>
      <w:pPr>
        <w:ind w:left="720" w:right="280" w:hanging="360"/>
        <w:spacing w:after="0" w:line="277" w:lineRule="auto"/>
        <w:tabs>
          <w:tab w:leader="none" w:pos="720" w:val="left"/>
        </w:tabs>
        <w:numPr>
          <w:ilvl w:val="0"/>
          <w:numId w:val="85"/>
        </w:numPr>
        <w:rPr>
          <w:rFonts w:ascii="Arial" w:cs="Arial" w:eastAsia="Arial" w:hAnsi="Arial"/>
          <w:sz w:val="20"/>
          <w:szCs w:val="20"/>
          <w:color w:val="auto"/>
        </w:rPr>
      </w:pPr>
      <w:r>
        <w:rPr>
          <w:rFonts w:ascii="Times New Roman" w:cs="Times New Roman" w:eastAsia="Times New Roman" w:hAnsi="Times New Roman"/>
          <w:sz w:val="20"/>
          <w:szCs w:val="20"/>
          <w:color w:val="auto"/>
        </w:rPr>
        <w:t>may not approve the labeling claims that we believe are necessary or desirable for the successful commercialization of our product candidates.</w:t>
      </w:r>
    </w:p>
    <w:p>
      <w:pPr>
        <w:spacing w:after="0" w:line="169"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The time and expense of the approval process, as well as the unpredictability of future clinical trial results and other contributing factors, may result in our failure to obtain regulatory approval to market, in the United States or other jurisdictions, barzolvolimab and other drug candidates that we are developing or may seek to develop in the future, which would significantly harm our business, results of operations and prospects. In such case, we may also not have the resources to conduct new clinical trials and/or we may determine that further clinical development of any such drug candidate is not justified and may discontinue any such programs.</w:t>
      </w:r>
    </w:p>
    <w:p>
      <w:pPr>
        <w:spacing w:after="0" w:line="19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U.S. FDA and other government agencies caused by funding shortages or otherwise could hinder their ability to hire and retain key leadership and other personnel, or otherwise review and process regulatory submissions in a timely manner, which could negatively impact our business.</w:t>
      </w:r>
    </w:p>
    <w:p>
      <w:pPr>
        <w:spacing w:after="0" w:line="186" w:lineRule="exact"/>
        <w:rPr>
          <w:sz w:val="20"/>
          <w:szCs w:val="20"/>
          <w:color w:val="auto"/>
        </w:rPr>
      </w:pPr>
    </w:p>
    <w:p>
      <w:pPr>
        <w:ind w:right="360" w:firstLine="360"/>
        <w:spacing w:after="0" w:line="247" w:lineRule="auto"/>
        <w:rPr>
          <w:sz w:val="20"/>
          <w:szCs w:val="20"/>
          <w:color w:val="auto"/>
        </w:rPr>
      </w:pPr>
      <w:r>
        <w:rPr>
          <w:rFonts w:ascii="Times New Roman" w:cs="Times New Roman" w:eastAsia="Times New Roman" w:hAnsi="Times New Roman"/>
          <w:sz w:val="20"/>
          <w:szCs w:val="20"/>
          <w:color w:val="auto"/>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including the most recent U.S. government shutdown which lasted from October 1, 2025 through November 12, 2025, and certain regulatory agencies, such as the U.S. FDA, have had to furlough U.S. FDA employees and suspend certain activities.</w:t>
      </w:r>
    </w:p>
    <w:p>
      <w:pPr>
        <w:spacing w:after="0" w:line="200" w:lineRule="exact"/>
        <w:rPr>
          <w:sz w:val="20"/>
          <w:szCs w:val="20"/>
          <w:color w:val="auto"/>
        </w:rPr>
      </w:pPr>
    </w:p>
    <w:p>
      <w:pPr>
        <w:ind w:right="160" w:firstLine="361"/>
        <w:spacing w:after="0" w:line="249" w:lineRule="auto"/>
        <w:rPr>
          <w:sz w:val="20"/>
          <w:szCs w:val="20"/>
          <w:color w:val="auto"/>
        </w:rPr>
      </w:pPr>
      <w:r>
        <w:rPr>
          <w:rFonts w:ascii="Times New Roman" w:cs="Times New Roman" w:eastAsia="Times New Roman" w:hAnsi="Times New Roman"/>
          <w:sz w:val="20"/>
          <w:szCs w:val="20"/>
          <w:color w:val="auto"/>
        </w:rPr>
        <w:t>Disruptions at the U.S. FDA and other agencies may also slow the time necessary for new drugs to be reviewed and/or approved by necessary government agencies, which would adversely affect our business. If a prolonged government shutdown occurs or continues, or if the U.S. FDA or other regulatory authorities is prevented from conducting their regular inspections, reviews, or other regulatory activities, for any reason, it could significantly impact the ability of the U.S. FDA or other regulatory authorities to timely review and process our regulatory submissions, which could have a material adverse effect on our business.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800"/>
          </w:cols>
          <w:pgMar w:left="540" w:top="1349" w:right="540" w:bottom="0" w:gutter="0" w:footer="0" w:header="0"/>
          <w:type w:val="continuous"/>
        </w:sectPr>
      </w:pPr>
    </w:p>
    <w:bookmarkStart w:id="109" w:name="page110"/>
    <w:bookmarkEnd w:id="109"/>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drug candidates do not pass required tests for safety and effectiveness, we will not be able to obtain regulatory approval and derive commercial revenue from them.</w:t>
      </w:r>
    </w:p>
    <w:p>
      <w:pPr>
        <w:spacing w:after="0" w:line="168" w:lineRule="exact"/>
        <w:rPr>
          <w:sz w:val="20"/>
          <w:szCs w:val="20"/>
          <w:color w:val="auto"/>
        </w:rPr>
      </w:pPr>
    </w:p>
    <w:p>
      <w:pPr>
        <w:ind w:right="100" w:firstLine="360"/>
        <w:spacing w:after="0" w:line="244" w:lineRule="auto"/>
        <w:rPr>
          <w:sz w:val="20"/>
          <w:szCs w:val="20"/>
          <w:color w:val="auto"/>
        </w:rPr>
      </w:pPr>
      <w:r>
        <w:rPr>
          <w:rFonts w:ascii="Times New Roman" w:cs="Times New Roman" w:eastAsia="Times New Roman" w:hAnsi="Times New Roman"/>
          <w:sz w:val="20"/>
          <w:szCs w:val="20"/>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drug candidate’s safety and effectiveness before initiating human clinical trials.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202"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drug candidates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20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Success in early clinical trials does not ensure that later clinical trials will be successful, and we cannot assure you that any of the clinical trials that we may conduct will demonstrate consistent or adequate efficacy and safety to obtain regulatory approval.</w:t>
      </w:r>
    </w:p>
    <w:p>
      <w:pPr>
        <w:spacing w:after="0" w:line="167" w:lineRule="exact"/>
        <w:rPr>
          <w:sz w:val="20"/>
          <w:szCs w:val="20"/>
          <w:color w:val="auto"/>
        </w:rPr>
      </w:pPr>
    </w:p>
    <w:p>
      <w:pPr>
        <w:ind w:right="80" w:firstLine="361"/>
        <w:spacing w:after="0" w:line="244" w:lineRule="auto"/>
        <w:rPr>
          <w:sz w:val="20"/>
          <w:szCs w:val="20"/>
          <w:color w:val="auto"/>
        </w:rPr>
      </w:pPr>
      <w:r>
        <w:rPr>
          <w:rFonts w:ascii="Times New Roman" w:cs="Times New Roman" w:eastAsia="Times New Roman" w:hAnsi="Times New Roman"/>
          <w:sz w:val="20"/>
          <w:szCs w:val="20"/>
          <w:color w:val="auto"/>
        </w:rPr>
        <w:t>The results of preclinical studies and early clinical trials may not be predictive of the results of later- stage clinical trials, and interim results of a clinical trial do not necessarily predict final results. Preclinical and clinical data are susceptible to various interpretations and analyses, and many companies that have believed their drug candidates performed satisfactorily in preclinical studies and early-stage clinical trials have nonetheless failed to replicate such results in later-stage clinical trials and subsequently failed to obtain marketing approval. Drug candidates in later-stage clinical trials may fail to show the desired safety and efficacy despite having progressed through preclinical and initial clinical trials, even if certain analyses of primary or secondary endpoints in those early trials showed trends towards efficacy. Later-stage clinical trials with larger numbers of patients or longer durations of therapy may also reveal safety concerns that were not identified in earlier smaller or shorter trials. Our failure to demonstrate efficacy and safety data sufficient to support marketing approval for any of our other drug candidates would substantially harm our business, prospectus, financial condition and results of operations.</w:t>
      </w:r>
    </w:p>
    <w:p>
      <w:pPr>
        <w:spacing w:after="0" w:line="20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Product testing is critical to the success of our drug candidates but subject to delay or cancellation if we have difficulty enrolling patients.</w:t>
      </w:r>
    </w:p>
    <w:p>
      <w:pPr>
        <w:spacing w:after="0" w:line="168"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09" w:lineRule="exact"/>
        <w:rPr>
          <w:sz w:val="20"/>
          <w:szCs w:val="20"/>
          <w:color w:val="auto"/>
        </w:rPr>
      </w:pPr>
    </w:p>
    <w:p>
      <w:pPr>
        <w:ind w:left="720" w:hanging="361"/>
        <w:spacing w:after="0"/>
        <w:tabs>
          <w:tab w:leader="none" w:pos="720" w:val="left"/>
        </w:tabs>
        <w:numPr>
          <w:ilvl w:val="0"/>
          <w:numId w:val="86"/>
        </w:numPr>
        <w:rPr>
          <w:rFonts w:ascii="Arial" w:cs="Arial" w:eastAsia="Arial" w:hAnsi="Arial"/>
          <w:sz w:val="20"/>
          <w:szCs w:val="20"/>
          <w:color w:val="auto"/>
        </w:rPr>
      </w:pPr>
      <w:r>
        <w:rPr>
          <w:rFonts w:ascii="Times New Roman" w:cs="Times New Roman" w:eastAsia="Times New Roman" w:hAnsi="Times New Roman"/>
          <w:sz w:val="20"/>
          <w:szCs w:val="20"/>
          <w:color w:val="auto"/>
        </w:rPr>
        <w:t>the nature of the clinical test;</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86"/>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patient population;</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86"/>
        </w:numPr>
        <w:rPr>
          <w:rFonts w:ascii="Arial" w:cs="Arial" w:eastAsia="Arial" w:hAnsi="Arial"/>
          <w:sz w:val="20"/>
          <w:szCs w:val="20"/>
          <w:color w:val="auto"/>
        </w:rPr>
      </w:pPr>
      <w:r>
        <w:rPr>
          <w:rFonts w:ascii="Times New Roman" w:cs="Times New Roman" w:eastAsia="Times New Roman" w:hAnsi="Times New Roman"/>
          <w:sz w:val="20"/>
          <w:szCs w:val="20"/>
          <w:color w:val="auto"/>
        </w:rPr>
        <w:t>patients’ willingness to receive a placebo or less effective treatment on the control arm of a clinical study;</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86"/>
        </w:numPr>
        <w:rPr>
          <w:rFonts w:ascii="Arial" w:cs="Arial" w:eastAsia="Arial" w:hAnsi="Arial"/>
          <w:sz w:val="20"/>
          <w:szCs w:val="20"/>
          <w:color w:val="auto"/>
        </w:rPr>
      </w:pPr>
      <w:r>
        <w:rPr>
          <w:rFonts w:ascii="Times New Roman" w:cs="Times New Roman" w:eastAsia="Times New Roman" w:hAnsi="Times New Roman"/>
          <w:sz w:val="20"/>
          <w:szCs w:val="20"/>
          <w:color w:val="auto"/>
        </w:rPr>
        <w:t>the distance between patients and clinical test sites; and</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86"/>
        </w:numPr>
        <w:rPr>
          <w:rFonts w:ascii="Arial" w:cs="Arial" w:eastAsia="Arial" w:hAnsi="Arial"/>
          <w:sz w:val="20"/>
          <w:szCs w:val="20"/>
          <w:color w:val="auto"/>
        </w:rPr>
      </w:pPr>
      <w:r>
        <w:rPr>
          <w:rFonts w:ascii="Times New Roman" w:cs="Times New Roman" w:eastAsia="Times New Roman" w:hAnsi="Times New Roman"/>
          <w:sz w:val="20"/>
          <w:szCs w:val="20"/>
          <w:color w:val="auto"/>
        </w:rPr>
        <w:t>the eligibility criteria for the trial.</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If we cannot enroll patients as needed, our costs may increase, or we may be forced to delay or terminate testing for a product.</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760"/>
          </w:cols>
          <w:pgMar w:left="540" w:top="1349" w:right="5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delays in commencing, enrolling and completing our clinical trials, and we may not complete them at all.</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not completed the clinical trials necessary to obtain FDA approval to market any of our drug candidates in development.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trials for our products in development may be delayed or terminated as a result of many factors, including the following:</w:t>
      </w:r>
    </w:p>
    <w:p>
      <w:pPr>
        <w:spacing w:after="0" w:line="226" w:lineRule="exact"/>
        <w:rPr>
          <w:sz w:val="20"/>
          <w:szCs w:val="20"/>
          <w:color w:val="auto"/>
        </w:rPr>
      </w:pPr>
    </w:p>
    <w:p>
      <w:pPr>
        <w:ind w:left="720" w:right="60" w:hanging="360"/>
        <w:spacing w:after="0" w:line="277" w:lineRule="auto"/>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reach agreements on acceptable terms with prospective contract research organizations (CROs) and trial sites, the terms of which can be subject to extensive negotiation and may vary significantly among different CROs and trial sites;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enrolling patients in our clinical trials;</w:t>
      </w:r>
    </w:p>
    <w:p>
      <w:pPr>
        <w:spacing w:after="0" w:line="252" w:lineRule="exact"/>
        <w:rPr>
          <w:rFonts w:ascii="Arial" w:cs="Arial" w:eastAsia="Arial" w:hAnsi="Arial"/>
          <w:sz w:val="20"/>
          <w:szCs w:val="20"/>
          <w:color w:val="auto"/>
        </w:rPr>
      </w:pPr>
    </w:p>
    <w:p>
      <w:pPr>
        <w:ind w:left="720" w:right="180" w:hanging="360"/>
        <w:spacing w:after="0" w:line="277" w:lineRule="auto"/>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maintain necessary supplies of study drug and comparator to maintain predicted enrollment rates at clinical trial sites;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patients failing to complete clinical trials due to dissatisfaction with the treatment, side effects or other reasons;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regulators to authorize us to commence a clinical trial;</w:t>
      </w:r>
    </w:p>
    <w:p>
      <w:pPr>
        <w:spacing w:after="0" w:line="253" w:lineRule="exact"/>
        <w:rPr>
          <w:rFonts w:ascii="Arial" w:cs="Arial" w:eastAsia="Arial" w:hAnsi="Arial"/>
          <w:sz w:val="20"/>
          <w:szCs w:val="20"/>
          <w:color w:val="auto"/>
        </w:rPr>
      </w:pPr>
    </w:p>
    <w:p>
      <w:pPr>
        <w:ind w:left="720" w:right="20" w:hanging="359"/>
        <w:spacing w:after="0" w:line="277" w:lineRule="auto"/>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termination by regulators of clinical research for many reasons, including concerns about patient safety, bias or failure of our contract manufacturers to comply with cGMP requirements;</w:t>
      </w:r>
    </w:p>
    <w:p>
      <w:pPr>
        <w:spacing w:after="0" w:line="182" w:lineRule="exact"/>
        <w:rPr>
          <w:rFonts w:ascii="Arial" w:cs="Arial" w:eastAsia="Arial" w:hAnsi="Arial"/>
          <w:sz w:val="20"/>
          <w:szCs w:val="20"/>
          <w:color w:val="auto"/>
        </w:rPr>
      </w:pPr>
    </w:p>
    <w:p>
      <w:pPr>
        <w:ind w:left="720" w:right="260" w:hanging="360"/>
        <w:spacing w:after="0" w:line="277" w:lineRule="auto"/>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delays or failure to obtain clinical supply for our products necessary to conduct clinical trials from contract manufacturers, including commercial grade-clinical supply for our Phase 3 clinical trials;</w:t>
      </w:r>
    </w:p>
    <w:p>
      <w:pPr>
        <w:spacing w:after="0" w:line="182" w:lineRule="exact"/>
        <w:rPr>
          <w:rFonts w:ascii="Arial" w:cs="Arial" w:eastAsia="Arial" w:hAnsi="Arial"/>
          <w:sz w:val="20"/>
          <w:szCs w:val="20"/>
          <w:color w:val="auto"/>
        </w:rPr>
      </w:pPr>
    </w:p>
    <w:p>
      <w:pPr>
        <w:ind w:left="720" w:right="240" w:hanging="360"/>
        <w:spacing w:after="0" w:line="277" w:lineRule="auto"/>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identify and maintain a sufficient number of trial sites, many of which may already be engaged in other clinical trial programs, including some that may be for the same indication as our product candidates;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drug candidates demonstrating a lack of efficacy during clinical trials;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continue to fund clinical trials or to find a partner to fund the clinical trials;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with ongoing clinical trials and scheduling conflicts with participating clinicians;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8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completing data collection and analysis for clinical trials.</w:t>
      </w:r>
    </w:p>
    <w:p>
      <w:pPr>
        <w:spacing w:after="0" w:line="238"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Any delay or failure to commence, enroll or complete clinical trials, fulfill regulatory requirements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serious adverse or unacceptable side effects are identified during the development of our drug candidates, such events could prevent us from obtaining regulatory approval or achieving market acceptance of our drug candidates, and we may need to abandon or limit our development of some of our drug candidates.</w:t>
      </w:r>
    </w:p>
    <w:p>
      <w:pPr>
        <w:spacing w:after="0" w:line="188" w:lineRule="exact"/>
        <w:rPr>
          <w:sz w:val="20"/>
          <w:szCs w:val="20"/>
          <w:color w:val="auto"/>
        </w:rPr>
      </w:pPr>
    </w:p>
    <w:p>
      <w:pPr>
        <w:ind w:right="60" w:firstLine="361"/>
        <w:spacing w:after="0" w:line="243" w:lineRule="auto"/>
        <w:rPr>
          <w:sz w:val="20"/>
          <w:szCs w:val="20"/>
          <w:color w:val="auto"/>
        </w:rPr>
      </w:pPr>
      <w:r>
        <w:rPr>
          <w:rFonts w:ascii="Times New Roman" w:cs="Times New Roman" w:eastAsia="Times New Roman" w:hAnsi="Times New Roman"/>
          <w:sz w:val="20"/>
          <w:szCs w:val="20"/>
          <w:color w:val="auto"/>
        </w:rPr>
        <w:t>If our drug candidates are associated with serious adverse events or undesirable side effects in clinical trials or have characteristics that are unexpected, such events could prevent us from obtaining regulatory approval or achieving market acceptance of our drug candidates, and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early-stage testing are later found to cause side effects that prevent further development of the drug. Currently marketed therapies for the treatment of inflammatory diseases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those associated with other marketed therapies. In addition, when used in combination with other marketed therapies, our drug candidates may exacerbate adverse events associated with the marketed therapy.</w:t>
      </w:r>
    </w:p>
    <w:p>
      <w:pPr>
        <w:sectPr>
          <w:pgSz w:w="11880" w:h="15480" w:orient="portrait"/>
          <w:cols w:equalWidth="0" w:num="1">
            <w:col w:w="10780"/>
          </w:cols>
          <w:pgMar w:left="540" w:top="1351"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780"/>
          </w:cols>
          <w:pgMar w:left="540" w:top="1351" w:right="560" w:bottom="0" w:gutter="0" w:footer="0" w:header="0"/>
          <w:type w:val="continuous"/>
        </w:sectPr>
      </w:pPr>
    </w:p>
    <w:bookmarkStart w:id="111" w:name="page112"/>
    <w:bookmarkEnd w:id="111"/>
    <w:p>
      <w:pPr>
        <w:ind w:right="40" w:firstLine="361"/>
        <w:spacing w:after="0" w:line="249" w:lineRule="auto"/>
        <w:rPr>
          <w:sz w:val="20"/>
          <w:szCs w:val="20"/>
          <w:color w:val="auto"/>
        </w:rPr>
      </w:pPr>
      <w:r>
        <w:rPr>
          <w:rFonts w:ascii="Times New Roman" w:cs="Times New Roman" w:eastAsia="Times New Roman" w:hAnsi="Times New Roman"/>
          <w:sz w:val="20"/>
          <w:szCs w:val="20"/>
          <w:color w:val="auto"/>
        </w:rPr>
        <w:t>Our drug candidates, including barzolvolimab, are monoclonal antibodies, which are biologics. Side effects from biologics may include but are not limited to hypersensitivity; severe reactions such as anaphylaxis or cytokine release syndrome; immune-mediated adverse reactions that may occur in any organ system or tissue, such as pneumonitis, colitis, hepatitis, endocrinopathies, nephritis, and dermatologic reactions; as well as infusion-related reactions, cellulitis, sepsis, pneumonia, urinary tract infection, fatigue, rash, and diarrhea.</w:t>
      </w:r>
    </w:p>
    <w:p>
      <w:pPr>
        <w:spacing w:after="0" w:line="198"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Most biologics, including our drug candidates, are injected, either subcutaneously or intravenously. There are risks inherent in subcutaneous injections, such as injection-site reactions (including redness, itching, swelling, pain, and tenderness) and other side effects. In addition, there are risks inherent in intravenous administration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97" w:lineRule="exact"/>
        <w:rPr>
          <w:sz w:val="20"/>
          <w:szCs w:val="20"/>
          <w:color w:val="auto"/>
        </w:rPr>
      </w:pPr>
    </w:p>
    <w:p>
      <w:pPr>
        <w:jc w:val="both"/>
        <w:ind w:right="240" w:firstLine="360"/>
        <w:spacing w:after="0" w:line="258" w:lineRule="auto"/>
        <w:rPr>
          <w:sz w:val="20"/>
          <w:szCs w:val="20"/>
          <w:color w:val="auto"/>
        </w:rPr>
      </w:pPr>
      <w:r>
        <w:rPr>
          <w:rFonts w:ascii="Times New Roman" w:cs="Times New Roman" w:eastAsia="Times New Roman" w:hAnsi="Times New Roman"/>
          <w:sz w:val="20"/>
          <w:szCs w:val="20"/>
          <w:color w:val="auto"/>
        </w:rPr>
        <w:t>In addition to the safety, efficacy, manufacturing, and regulatory hurdles faced by our product candidates, the administration of biologics frequently causes an immune response, sometimes resulting in the creation of antibodies against the drug candidate which can impact the safety and/or efficacy associated with the treatment.</w:t>
      </w:r>
    </w:p>
    <w:p>
      <w:pPr>
        <w:spacing w:after="0" w:line="18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expend our resources to pursue a particular drug candidate or indication and forgo the opportunity to capitalize on drug candidates or indications that may ultimately be more profitable or for which there is a greater likelihood of success.</w:t>
      </w:r>
    </w:p>
    <w:p>
      <w:pPr>
        <w:spacing w:after="0" w:line="167"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intend to focus on developing drug candidates for specific indications that we identify as most likely to succeed, in terms of both their potential for regulatory approval and commercialization. As a result, we may forego or delay pursuit of opportunities with other drug candidates or for other indications that may prove to have greater commercial potential.</w:t>
      </w:r>
    </w:p>
    <w:p>
      <w:pPr>
        <w:spacing w:after="0" w:line="195"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 candidates.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the drug candidate.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manage multiple late-stage clinical trials for a variety of drug candidates simultaneously.</w:t>
      </w:r>
    </w:p>
    <w:p>
      <w:pPr>
        <w:spacing w:after="0" w:line="239" w:lineRule="exact"/>
        <w:rPr>
          <w:sz w:val="20"/>
          <w:szCs w:val="20"/>
          <w:color w:val="auto"/>
        </w:rPr>
      </w:pPr>
    </w:p>
    <w:p>
      <w:pPr>
        <w:ind w:right="80" w:firstLine="361"/>
        <w:spacing w:after="0" w:line="243" w:lineRule="auto"/>
        <w:rPr>
          <w:sz w:val="20"/>
          <w:szCs w:val="20"/>
          <w:color w:val="auto"/>
        </w:rPr>
      </w:pPr>
      <w:r>
        <w:rPr>
          <w:rFonts w:ascii="Times New Roman" w:cs="Times New Roman" w:eastAsia="Times New Roman" w:hAnsi="Times New Roman"/>
          <w:sz w:val="20"/>
          <w:szCs w:val="20"/>
          <w:color w:val="auto"/>
        </w:rPr>
        <w:t>As our current clinical trials progress, we may need to manage multiple late-stage clinical trials simultaneously in order to continue developing all of our current products. The management of late-stage clinical trials is more complex and time consuming than early -stage trials. Typically, early-stage trials involve several hundred patients in no more than 10 to 30 clinical sites. Late-stage (Phase 3) trials may involve up to several thousand patients in up to several hundred clinical sites and may require facilities in several countries. Therefore, the project management required to supervise and control such an extensive program in a compliant manner is substantially larger than early-stage programs. As the need for these resources is not known until some months before the trials begin, it is necessary to recruit large numbers of experienced and talented individuals very quickly. If the labor market does not allow this team to be recruited quickly, we could be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209"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successfully validate, develop and obtain regulatory approval for companion diagnostics for our drug candidates, if needed, could harm our drug development strategy and operational results.</w:t>
      </w:r>
    </w:p>
    <w:p>
      <w:pPr>
        <w:spacing w:after="0" w:line="168" w:lineRule="exact"/>
        <w:rPr>
          <w:sz w:val="20"/>
          <w:szCs w:val="20"/>
          <w:color w:val="auto"/>
        </w:rPr>
      </w:pPr>
    </w:p>
    <w:p>
      <w:pPr>
        <w:ind w:right="80" w:firstLine="360"/>
        <w:spacing w:after="0" w:line="246" w:lineRule="auto"/>
        <w:rPr>
          <w:sz w:val="20"/>
          <w:szCs w:val="20"/>
          <w:color w:val="auto"/>
        </w:rPr>
      </w:pPr>
      <w:r>
        <w:rPr>
          <w:rFonts w:ascii="Times New Roman" w:cs="Times New Roman" w:eastAsia="Times New Roman" w:hAnsi="Times New Roman"/>
          <w:sz w:val="20"/>
          <w:szCs w:val="20"/>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third-party collaborators.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 to only</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780"/>
          </w:cols>
          <w:pgMar w:left="540" w:top="1349" w:right="560" w:bottom="0" w:gutter="0" w:footer="0" w:header="0"/>
          <w:type w:val="continuous"/>
        </w:sectPr>
      </w:pPr>
    </w:p>
    <w:bookmarkStart w:id="112" w:name="page113"/>
    <w:bookmarkEnd w:id="112"/>
    <w:p>
      <w:pPr>
        <w:ind w:right="80"/>
        <w:spacing w:after="0" w:line="253" w:lineRule="auto"/>
        <w:rPr>
          <w:sz w:val="20"/>
          <w:szCs w:val="20"/>
          <w:color w:val="auto"/>
        </w:rPr>
      </w:pPr>
      <w:r>
        <w:rPr>
          <w:rFonts w:ascii="Times New Roman" w:cs="Times New Roman" w:eastAsia="Times New Roman" w:hAnsi="Times New Roman"/>
          <w:sz w:val="20"/>
          <w:szCs w:val="20"/>
          <w:color w:val="auto"/>
        </w:rPr>
        <w:t>those patients who express the specific biomarker it was developed to detect. We or our third-party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91"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delay in obtaining regulatory approval would have an adverse impact on our ability to earn future revenues.</w:t>
      </w:r>
    </w:p>
    <w:p>
      <w:pPr>
        <w:spacing w:after="0" w:line="239"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It is possible that none of the drug candidates that we develop will obtain the regulatory approvals necessary for us to begin commercializing them. The time required to obtain FDA and other approvals is unpredictable but in general takes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202"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We face intense competition in our development activities. We face competition from many companies in the United States and abroad, including a number of large pharmaceutical companies.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200"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86"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We may enter into co-development and commercialization partnerships for our drug candidates where appropriate.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206" w:lineRule="exact"/>
        <w:rPr>
          <w:sz w:val="20"/>
          <w:szCs w:val="20"/>
          <w:color w:val="auto"/>
        </w:rPr>
      </w:pPr>
    </w:p>
    <w:p>
      <w:pPr>
        <w:ind w:right="40" w:firstLine="361"/>
        <w:spacing w:after="0" w:line="249" w:lineRule="auto"/>
        <w:rPr>
          <w:sz w:val="20"/>
          <w:szCs w:val="20"/>
          <w:color w:val="auto"/>
        </w:rPr>
      </w:pPr>
      <w:r>
        <w:rPr>
          <w:rFonts w:ascii="Times New Roman" w:cs="Times New Roman" w:eastAsia="Times New Roman" w:hAnsi="Times New Roman"/>
          <w:sz w:val="20"/>
          <w:szCs w:val="20"/>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780"/>
          </w:cols>
          <w:pgMar w:left="540" w:top="1349" w:right="56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Risks Related to Commercialization of Our Drug Candidates</w:t>
      </w: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face delays, difficulties or unanticipated costs in establishing and maintaining sales, marketing, market access, patient services and distribution capabilities or seeking a partnership for the commercialization of our drug candidates, even if regulatory approval is obtained.</w:t>
      </w:r>
    </w:p>
    <w:p>
      <w:pPr>
        <w:spacing w:after="0" w:line="148"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We may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sales, marketing, market access, patient services and distribution capabilities to carry out this strategy. If any of our drug candidates are approved by the FDA, we will need a drug sales force with technical expertise and commercial-scale manufacturing capabilities prior to the commercialization of any of our drug candidates. We will also need to invest in new enterprise risk management programs to assist us with complying with the increasingly complex laws and requirements pertaining to commercial companies, including those related to regulatory oversight, financial reporting, and internal controls. We may not succeed in developing these new capabilities, the cost of establishing such capabilities may exceed any product revenue, or our direct marketing and sales efforts may be unsuccessful.</w:t>
      </w:r>
    </w:p>
    <w:p>
      <w:pPr>
        <w:spacing w:after="0" w:line="167" w:lineRule="exact"/>
        <w:rPr>
          <w:sz w:val="20"/>
          <w:szCs w:val="20"/>
          <w:color w:val="auto"/>
        </w:rPr>
      </w:pPr>
    </w:p>
    <w:p>
      <w:pPr>
        <w:ind w:right="140" w:firstLine="361"/>
        <w:spacing w:after="0" w:line="245" w:lineRule="auto"/>
        <w:rPr>
          <w:sz w:val="20"/>
          <w:szCs w:val="20"/>
          <w:color w:val="auto"/>
        </w:rPr>
      </w:pPr>
      <w:r>
        <w:rPr>
          <w:rFonts w:ascii="Times New Roman" w:cs="Times New Roman" w:eastAsia="Times New Roman" w:hAnsi="Times New Roman"/>
          <w:sz w:val="20"/>
          <w:szCs w:val="20"/>
          <w:color w:val="auto"/>
        </w:rPr>
        <w:t>We may find it necessary to enter into strategic partnerships, co-promotion or other licensing arrangements. To the extent we enter into such strategic partnerships, co- promotion or other licensing arrangements, our product revenues may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 our own or through collaborations with one or more third parties, our future product revenue will suffer, and we may never achieve profitability or become unable to continue the operation of our business.</w:t>
      </w:r>
    </w:p>
    <w:p>
      <w:pPr>
        <w:spacing w:after="0" w:line="162"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27" w:lineRule="exact"/>
        <w:rPr>
          <w:sz w:val="20"/>
          <w:szCs w:val="20"/>
          <w:color w:val="auto"/>
        </w:rPr>
      </w:pPr>
    </w:p>
    <w:p>
      <w:pPr>
        <w:ind w:right="240" w:firstLine="360"/>
        <w:spacing w:after="0" w:line="252" w:lineRule="auto"/>
        <w:rPr>
          <w:sz w:val="20"/>
          <w:szCs w:val="20"/>
          <w:color w:val="auto"/>
        </w:rPr>
      </w:pPr>
      <w:r>
        <w:rPr>
          <w:rFonts w:ascii="Times New Roman" w:cs="Times New Roman" w:eastAsia="Times New Roman" w:hAnsi="Times New Roman"/>
          <w:sz w:val="20"/>
          <w:szCs w:val="20"/>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168" w:lineRule="exact"/>
        <w:rPr>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a drug’s FDA-approved labeling;</w:t>
      </w:r>
    </w:p>
    <w:p>
      <w:pPr>
        <w:spacing w:after="0" w:line="213" w:lineRule="exact"/>
        <w:rPr>
          <w:rFonts w:ascii="Arial" w:cs="Arial" w:eastAsia="Arial" w:hAnsi="Arial"/>
          <w:sz w:val="20"/>
          <w:szCs w:val="20"/>
          <w:color w:val="auto"/>
        </w:rPr>
      </w:pPr>
    </w:p>
    <w:p>
      <w:pPr>
        <w:ind w:left="720" w:right="780" w:hanging="362"/>
        <w:spacing w:after="0" w:line="277" w:lineRule="auto"/>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or the availability of alternative drugs for the targeted indications for any of our drug candidates;</w:t>
      </w:r>
    </w:p>
    <w:p>
      <w:pPr>
        <w:spacing w:after="0" w:line="142"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in the approved indications for our drug candidates;</w:t>
      </w:r>
    </w:p>
    <w:p>
      <w:pPr>
        <w:spacing w:after="0" w:line="214"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availability, market acceptance and reimbursement for the companion diagnostic, where applicable;</w:t>
      </w:r>
    </w:p>
    <w:p>
      <w:pPr>
        <w:spacing w:after="0" w:line="213"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demonstrated clinical safety and efficacy compared to other drugs;</w:t>
      </w:r>
    </w:p>
    <w:p>
      <w:pPr>
        <w:spacing w:after="0" w:line="213"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adverse side effects;</w:t>
      </w:r>
    </w:p>
    <w:p>
      <w:pPr>
        <w:spacing w:after="0" w:line="214"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effectiveness of education, sales, marketing and distribution support;</w:t>
      </w:r>
    </w:p>
    <w:p>
      <w:pPr>
        <w:spacing w:after="0" w:line="212" w:lineRule="exact"/>
        <w:rPr>
          <w:rFonts w:ascii="Arial" w:cs="Arial" w:eastAsia="Arial" w:hAnsi="Arial"/>
          <w:sz w:val="20"/>
          <w:szCs w:val="20"/>
          <w:color w:val="auto"/>
        </w:rPr>
      </w:pPr>
    </w:p>
    <w:p>
      <w:pPr>
        <w:ind w:left="720" w:right="20" w:hanging="362"/>
        <w:spacing w:after="0" w:line="277" w:lineRule="auto"/>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the third-party manufacturers we contract with to provide an adequate (in amount and quality) supply of product to support the market demand;</w:t>
      </w:r>
    </w:p>
    <w:p>
      <w:pPr>
        <w:spacing w:after="0" w:line="143"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timing of market introduction and perceived effectiveness of competitive drugs;</w:t>
      </w:r>
    </w:p>
    <w:p>
      <w:pPr>
        <w:spacing w:after="0" w:line="213" w:lineRule="exact"/>
        <w:rPr>
          <w:rFonts w:ascii="Arial" w:cs="Arial" w:eastAsia="Arial" w:hAnsi="Arial"/>
          <w:sz w:val="20"/>
          <w:szCs w:val="20"/>
          <w:color w:val="auto"/>
        </w:rPr>
      </w:pPr>
    </w:p>
    <w:p>
      <w:pPr>
        <w:ind w:left="720" w:right="340" w:hanging="362"/>
        <w:spacing w:after="0" w:line="277" w:lineRule="auto"/>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price, cost-effectiveness and the extent to which any government action results in downward pressure on the price that we would receive for our drug candidates;</w:t>
      </w:r>
    </w:p>
    <w:p>
      <w:pPr>
        <w:spacing w:after="0" w:line="142" w:lineRule="exact"/>
        <w:rPr>
          <w:rFonts w:ascii="Arial" w:cs="Arial" w:eastAsia="Arial" w:hAnsi="Arial"/>
          <w:sz w:val="20"/>
          <w:szCs w:val="20"/>
          <w:color w:val="auto"/>
        </w:rPr>
      </w:pPr>
    </w:p>
    <w:p>
      <w:pPr>
        <w:ind w:left="720" w:hanging="362"/>
        <w:spacing w:after="0"/>
        <w:tabs>
          <w:tab w:leader="none" w:pos="720" w:val="left"/>
        </w:tabs>
        <w:numPr>
          <w:ilvl w:val="0"/>
          <w:numId w:val="88"/>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our drug candidates as safe, effective and well-tolerated by patients and the medical community;</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1347" w:right="540" w:bottom="0" w:gutter="0" w:footer="0" w:header="0"/>
          <w:type w:val="continuous"/>
        </w:sectPr>
      </w:pPr>
    </w:p>
    <w:bookmarkStart w:id="114" w:name="page115"/>
    <w:bookmarkEnd w:id="114"/>
    <w:p>
      <w:pPr>
        <w:ind w:left="720" w:hanging="360"/>
        <w:spacing w:after="0"/>
        <w:tabs>
          <w:tab w:leader="none" w:pos="720" w:val="left"/>
        </w:tabs>
        <w:numPr>
          <w:ilvl w:val="0"/>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about our drug candidates or favorable publicity about competitive drugs;</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convenience and ease of administration of our drug candidates;</w:t>
      </w:r>
    </w:p>
    <w:p>
      <w:pPr>
        <w:spacing w:after="0" w:line="213" w:lineRule="exact"/>
        <w:rPr>
          <w:rFonts w:ascii="Arial" w:cs="Arial" w:eastAsia="Arial" w:hAnsi="Arial"/>
          <w:sz w:val="20"/>
          <w:szCs w:val="20"/>
          <w:color w:val="auto"/>
        </w:rPr>
      </w:pPr>
    </w:p>
    <w:p>
      <w:pPr>
        <w:ind w:left="720" w:right="120" w:hanging="360"/>
        <w:spacing w:after="0" w:line="277" w:lineRule="auto"/>
        <w:tabs>
          <w:tab w:leader="none" w:pos="720" w:val="left"/>
        </w:tabs>
        <w:numPr>
          <w:ilvl w:val="0"/>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our potential involvement in lawsuits in connection with enforcing intellectual property rights in and to our drug candidates; and</w:t>
      </w:r>
    </w:p>
    <w:p>
      <w:pPr>
        <w:spacing w:after="0" w:line="142" w:lineRule="exact"/>
        <w:rPr>
          <w:rFonts w:ascii="Arial" w:cs="Arial" w:eastAsia="Arial" w:hAnsi="Arial"/>
          <w:sz w:val="20"/>
          <w:szCs w:val="20"/>
          <w:color w:val="auto"/>
        </w:rPr>
      </w:pPr>
    </w:p>
    <w:p>
      <w:pPr>
        <w:ind w:left="720" w:hanging="360"/>
        <w:spacing w:after="0"/>
        <w:tabs>
          <w:tab w:leader="none" w:pos="720" w:val="left"/>
        </w:tabs>
        <w:numPr>
          <w:ilvl w:val="0"/>
          <w:numId w:val="89"/>
        </w:numPr>
        <w:rPr>
          <w:rFonts w:ascii="Arial" w:cs="Arial" w:eastAsia="Arial" w:hAnsi="Arial"/>
          <w:sz w:val="20"/>
          <w:szCs w:val="20"/>
          <w:color w:val="auto"/>
        </w:rPr>
      </w:pPr>
      <w:r>
        <w:rPr>
          <w:rFonts w:ascii="Times New Roman" w:cs="Times New Roman" w:eastAsia="Times New Roman" w:hAnsi="Times New Roman"/>
          <w:sz w:val="20"/>
          <w:szCs w:val="20"/>
          <w:color w:val="auto"/>
        </w:rPr>
        <w:t>willingness of third-party payors to reimburse for the cost of our drug candidates.</w:t>
      </w:r>
    </w:p>
    <w:p>
      <w:pPr>
        <w:spacing w:after="0" w:line="199" w:lineRule="exact"/>
        <w:rPr>
          <w:sz w:val="20"/>
          <w:szCs w:val="20"/>
          <w:color w:val="auto"/>
        </w:rPr>
      </w:pPr>
    </w:p>
    <w:p>
      <w:pPr>
        <w:ind w:right="240" w:firstLine="360"/>
        <w:spacing w:after="0" w:line="278" w:lineRule="auto"/>
        <w:rPr>
          <w:sz w:val="20"/>
          <w:szCs w:val="20"/>
          <w:color w:val="auto"/>
        </w:rPr>
      </w:pPr>
      <w:r>
        <w:rPr>
          <w:rFonts w:ascii="Times New Roman" w:cs="Times New Roman" w:eastAsia="Times New Roman" w:hAnsi="Times New Roman"/>
          <w:sz w:val="20"/>
          <w:szCs w:val="20"/>
          <w:color w:val="auto"/>
        </w:rPr>
        <w:t>If our future drugs, if any, fail to achieve market acceptance or we fail to secure and maintain adequate coverage and reimbursement for our future drugs, if any, we will not be able to generate significant revenues and may never achieve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Even if any of our drug candidates receive FDA approval, the terms of the approval may limit such drug’s commercial potential.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Additionally, even after receipt of FDA approval, such drug would be subject to substantial, ongoing regulatory requirements.</w:t>
      </w:r>
    </w:p>
    <w:p>
      <w:pPr>
        <w:spacing w:after="0" w:line="212"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or under a Risk Evaluation and Mitigation Strategy (REMS) drug safety program. Additionally, after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 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227" w:lineRule="exact"/>
        <w:rPr>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civil or criminal penalties and fines;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regulatory approval;</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of any ongoing clinical studies;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accept or approve applications for marketing approval of new drugs;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operations, including costly new manufacturing requirements; or</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90"/>
        </w:numPr>
        <w:rPr>
          <w:rFonts w:ascii="Arial" w:cs="Arial" w:eastAsia="Arial" w:hAnsi="Arial"/>
          <w:sz w:val="20"/>
          <w:szCs w:val="20"/>
          <w:color w:val="auto"/>
        </w:rPr>
      </w:pPr>
      <w:r>
        <w:rPr>
          <w:rFonts w:ascii="Times New Roman" w:cs="Times New Roman" w:eastAsia="Times New Roman" w:hAnsi="Times New Roman"/>
          <w:sz w:val="20"/>
          <w:szCs w:val="20"/>
          <w:color w:val="auto"/>
        </w:rPr>
        <w:t>seizure or detention of drugs or import bans.</w:t>
      </w:r>
    </w:p>
    <w:p>
      <w:pPr>
        <w:spacing w:after="0" w:line="239" w:lineRule="exact"/>
        <w:rPr>
          <w:sz w:val="20"/>
          <w:szCs w:val="20"/>
          <w:color w:val="auto"/>
        </w:rPr>
      </w:pPr>
    </w:p>
    <w:p>
      <w:pPr>
        <w:ind w:right="20" w:firstLine="360"/>
        <w:spacing w:after="0" w:line="277" w:lineRule="auto"/>
        <w:rPr>
          <w:sz w:val="20"/>
          <w:szCs w:val="20"/>
          <w:color w:val="auto"/>
        </w:rPr>
      </w:pPr>
      <w:r>
        <w:rPr>
          <w:rFonts w:ascii="Times New Roman" w:cs="Times New Roman" w:eastAsia="Times New Roman" w:hAnsi="Times New Roman"/>
          <w:sz w:val="20"/>
          <w:szCs w:val="20"/>
          <w:color w:val="auto"/>
        </w:rPr>
        <w:t>The regulatory requirements and policies may change, and additional government regulations may be enacted with which we may also be required to comply. We cannot predict the likelihood, nature or extent of government regulation that may arise from future</w:t>
      </w:r>
    </w:p>
    <w:p>
      <w:pPr>
        <w:sectPr>
          <w:pgSz w:w="11880" w:h="15480" w:orient="portrait"/>
          <w:cols w:equalWidth="0" w:num="1">
            <w:col w:w="10780"/>
          </w:cols>
          <w:pgMar w:left="540" w:top="136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780"/>
          </w:cols>
          <w:pgMar w:left="540" w:top="1365" w:right="560" w:bottom="0" w:gutter="0" w:footer="0" w:header="0"/>
          <w:type w:val="continuous"/>
        </w:sectPr>
      </w:pPr>
    </w:p>
    <w:bookmarkStart w:id="115" w:name="page116"/>
    <w:bookmarkEnd w:id="115"/>
    <w:p>
      <w:pPr>
        <w:ind w:right="840"/>
        <w:spacing w:after="0" w:line="278" w:lineRule="auto"/>
        <w:rPr>
          <w:sz w:val="20"/>
          <w:szCs w:val="20"/>
          <w:color w:val="auto"/>
        </w:rPr>
      </w:pPr>
      <w:r>
        <w:rPr>
          <w:rFonts w:ascii="Times New Roman" w:cs="Times New Roman" w:eastAsia="Times New Roman" w:hAnsi="Times New Roman"/>
          <w:sz w:val="20"/>
          <w:szCs w:val="20"/>
          <w:color w:val="auto"/>
        </w:rPr>
        <w:t>legislation or administrative action, either in the United States or in other countries. If we are not able to maintain regulatory compliance, we may not be permitted to market our future products and our business may suffer.</w:t>
      </w:r>
    </w:p>
    <w:p>
      <w:pPr>
        <w:spacing w:after="0" w:line="168"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05"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Market acceptance and sales of any of our drug candidates for which we obtain regulatory approval will depend on reimbursement policies and may be affected by future health 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61"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programs, or regulatory changes or relaxation of laws that restrict imports of drugs from other countries, could reduce the net price we receive for any future marketed drugs. In addition, our future drugs might not ultimately be considered cost-effective.</w:t>
      </w:r>
    </w:p>
    <w:p>
      <w:pPr>
        <w:spacing w:after="0" w:line="161"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46"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Other factors could affect the demand for and sales and profitability of any drug candidates that we may commercialize in the future.</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general, other factors that could affect the demand for and sales and profitability of our future drugs include, but are not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t>
      </w:r>
    </w:p>
    <w:p>
      <w:pPr>
        <w:spacing w:after="0" w:line="186" w:lineRule="exact"/>
        <w:rPr>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regulatory approval, if any, of competitive drugs;</w:t>
      </w:r>
    </w:p>
    <w:p>
      <w:pPr>
        <w:spacing w:after="0" w:line="213" w:lineRule="exact"/>
        <w:rPr>
          <w:rFonts w:ascii="Arial" w:cs="Arial" w:eastAsia="Arial" w:hAnsi="Arial"/>
          <w:sz w:val="20"/>
          <w:szCs w:val="20"/>
          <w:color w:val="auto"/>
        </w:rPr>
      </w:pPr>
    </w:p>
    <w:p>
      <w:pPr>
        <w:ind w:left="720" w:right="280" w:hanging="360"/>
        <w:spacing w:after="0" w:line="277"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our or any other of our partners’ pricing decisions, as applicable, including a decision to increase or decrease the price of a drug, and the pricing decisions of our competitors;</w:t>
      </w:r>
    </w:p>
    <w:p>
      <w:pPr>
        <w:spacing w:after="0" w:line="142" w:lineRule="exact"/>
        <w:rPr>
          <w:rFonts w:ascii="Arial" w:cs="Arial" w:eastAsia="Arial" w:hAnsi="Arial"/>
          <w:sz w:val="20"/>
          <w:szCs w:val="20"/>
          <w:color w:val="auto"/>
        </w:rPr>
      </w:pPr>
    </w:p>
    <w:p>
      <w:pPr>
        <w:ind w:left="720" w:right="320" w:hanging="360"/>
        <w:spacing w:after="0" w:line="277"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 and third-party payor reimbursement and coverage decisions that affect the utilization of our future drugs and competing drugs;</w:t>
      </w:r>
    </w:p>
    <w:p>
      <w:pPr>
        <w:spacing w:after="0" w:line="142" w:lineRule="exact"/>
        <w:rPr>
          <w:rFonts w:ascii="Arial" w:cs="Arial" w:eastAsia="Arial" w:hAnsi="Arial"/>
          <w:sz w:val="20"/>
          <w:szCs w:val="20"/>
          <w:color w:val="auto"/>
        </w:rPr>
      </w:pPr>
    </w:p>
    <w:p>
      <w:pPr>
        <w:ind w:left="720" w:right="160" w:hanging="360"/>
        <w:spacing w:after="0" w:line="277"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negative safety or efficacy data from new clinical studies conducted either in the U.S. or internationally by any party, which could cause the sales of our future drugs to decrease or a future drug to be recalled;</w:t>
      </w:r>
    </w:p>
    <w:p>
      <w:pPr>
        <w:spacing w:after="0" w:line="142" w:lineRule="exact"/>
        <w:rPr>
          <w:rFonts w:ascii="Arial" w:cs="Arial" w:eastAsia="Arial" w:hAnsi="Arial"/>
          <w:sz w:val="20"/>
          <w:szCs w:val="20"/>
          <w:color w:val="auto"/>
        </w:rPr>
      </w:pPr>
    </w:p>
    <w:p>
      <w:pPr>
        <w:ind w:left="720" w:right="600" w:hanging="360"/>
        <w:spacing w:after="0" w:line="277"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the degree of patent protection afforded our future drugs by patents granted to or licensed by us and by the outcome of litigation involving our or any of our licensor’s patents;</w:t>
      </w:r>
    </w:p>
    <w:p>
      <w:pPr>
        <w:spacing w:after="0" w:line="142" w:lineRule="exact"/>
        <w:rPr>
          <w:rFonts w:ascii="Arial" w:cs="Arial" w:eastAsia="Arial" w:hAnsi="Arial"/>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marketing exclusivity, if any, awarded by the FDA to our drugs;</w:t>
      </w:r>
    </w:p>
    <w:p>
      <w:pPr>
        <w:spacing w:after="0" w:line="213" w:lineRule="exact"/>
        <w:rPr>
          <w:rFonts w:ascii="Arial" w:cs="Arial" w:eastAsia="Arial" w:hAnsi="Arial"/>
          <w:sz w:val="20"/>
          <w:szCs w:val="20"/>
          <w:color w:val="auto"/>
        </w:rPr>
      </w:pPr>
    </w:p>
    <w:p>
      <w:pPr>
        <w:ind w:left="720" w:right="60" w:hanging="360"/>
        <w:spacing w:after="0" w:line="277" w:lineRule="auto"/>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of litigation involving patents of other companies concerning our future drugs or processes related to production and formulation of those drugs or uses of those drugs;</w:t>
      </w:r>
    </w:p>
    <w:p>
      <w:pPr>
        <w:spacing w:after="0" w:line="142" w:lineRule="exact"/>
        <w:rPr>
          <w:rFonts w:ascii="Arial" w:cs="Arial" w:eastAsia="Arial" w:hAnsi="Arial"/>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the increasing use and development of alternate therapies;</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the rate of market penetration by competing drugs; and</w:t>
      </w:r>
    </w:p>
    <w:p>
      <w:pPr>
        <w:spacing w:after="0" w:line="214" w:lineRule="exact"/>
        <w:rPr>
          <w:rFonts w:ascii="Arial" w:cs="Arial" w:eastAsia="Arial" w:hAnsi="Arial"/>
          <w:sz w:val="20"/>
          <w:szCs w:val="20"/>
          <w:color w:val="auto"/>
        </w:rPr>
      </w:pPr>
    </w:p>
    <w:p>
      <w:pPr>
        <w:ind w:left="720" w:hanging="360"/>
        <w:spacing w:after="0"/>
        <w:tabs>
          <w:tab w:leader="none" w:pos="720" w:val="left"/>
        </w:tabs>
        <w:numPr>
          <w:ilvl w:val="0"/>
          <w:numId w:val="91"/>
        </w:numPr>
        <w:rPr>
          <w:rFonts w:ascii="Arial" w:cs="Arial" w:eastAsia="Arial" w:hAnsi="Arial"/>
          <w:sz w:val="20"/>
          <w:szCs w:val="20"/>
          <w:color w:val="auto"/>
        </w:rPr>
      </w:pPr>
      <w:r>
        <w:rPr>
          <w:rFonts w:ascii="Times New Roman" w:cs="Times New Roman" w:eastAsia="Times New Roman" w:hAnsi="Times New Roman"/>
          <w:sz w:val="20"/>
          <w:szCs w:val="20"/>
          <w:color w:val="auto"/>
        </w:rPr>
        <w:t>the termination of, or change in, existing arrangements with our partners.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800"/>
          </w:cols>
          <w:pgMar w:left="540" w:top="1349" w:right="540" w:bottom="0" w:gutter="0" w:footer="0" w:header="0"/>
          <w:type w:val="continuous"/>
        </w:sectPr>
      </w:pPr>
    </w:p>
    <w:bookmarkStart w:id="116" w:name="page117"/>
    <w:bookmarkEnd w:id="116"/>
    <w:p>
      <w:pPr>
        <w:ind w:right="260" w:firstLine="360"/>
        <w:spacing w:after="0" w:line="278" w:lineRule="auto"/>
        <w:rPr>
          <w:sz w:val="20"/>
          <w:szCs w:val="20"/>
          <w:color w:val="auto"/>
        </w:rPr>
      </w:pPr>
      <w:r>
        <w:rPr>
          <w:rFonts w:ascii="Times New Roman" w:cs="Times New Roman" w:eastAsia="Times New Roman" w:hAnsi="Times New Roman"/>
          <w:sz w:val="20"/>
          <w:szCs w:val="20"/>
          <w:color w:val="auto"/>
        </w:rPr>
        <w:t>Any of these factors could have a material adverse effect on the sales of any drug candidates that we may commercialize in the future.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obtain regulatory approvals in foreign jurisdictions will prevent us from marketing our products internationally.</w:t>
      </w:r>
    </w:p>
    <w:p>
      <w:pPr>
        <w:spacing w:after="0" w:line="23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We may seek approval for our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91"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Before granting the MA, the European Medicines Agency or the competent authorities of the member states of the EEA make an assessment of the risk-benefit balance of the product on the basis of scientific criteria concerning its quality, safety and efficacy. Similar regulatory review and risk-benefit assessments may apply to other regulatory authorities and payer bodies in markets around the world.</w:t>
      </w:r>
    </w:p>
    <w:p>
      <w:pPr>
        <w:spacing w:after="0" w:line="193" w:lineRule="exact"/>
        <w:rPr>
          <w:sz w:val="20"/>
          <w:szCs w:val="20"/>
          <w:color w:val="auto"/>
        </w:rPr>
      </w:pPr>
    </w:p>
    <w:p>
      <w:pPr>
        <w:ind w:right="200" w:firstLine="361"/>
        <w:spacing w:after="0" w:line="245" w:lineRule="auto"/>
        <w:rPr>
          <w:sz w:val="20"/>
          <w:szCs w:val="20"/>
          <w:color w:val="auto"/>
        </w:rPr>
      </w:pPr>
      <w:r>
        <w:rPr>
          <w:rFonts w:ascii="Times New Roman" w:cs="Times New Roman" w:eastAsia="Times New Roman" w:hAnsi="Times New Roman"/>
          <w:sz w:val="20"/>
          <w:szCs w:val="20"/>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203"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67" w:lineRule="exact"/>
        <w:rPr>
          <w:sz w:val="20"/>
          <w:szCs w:val="20"/>
          <w:color w:val="auto"/>
        </w:rPr>
      </w:pPr>
    </w:p>
    <w:p>
      <w:pPr>
        <w:ind w:right="520" w:firstLine="360"/>
        <w:spacing w:after="0" w:line="278" w:lineRule="auto"/>
        <w:rPr>
          <w:sz w:val="20"/>
          <w:szCs w:val="20"/>
          <w:color w:val="auto"/>
        </w:rPr>
      </w:pPr>
      <w:r>
        <w:rPr>
          <w:rFonts w:ascii="Times New Roman" w:cs="Times New Roman" w:eastAsia="Times New Roman" w:hAnsi="Times New Roman"/>
          <w:sz w:val="20"/>
          <w:szCs w:val="20"/>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82" w:lineRule="exact"/>
        <w:rPr>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regulatory requirements for drug approvals;</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for intellectual property rights, including trade secret and patent rights;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unexpected changes in tariffs, trade barriers and regulatory requirements;</w:t>
      </w:r>
    </w:p>
    <w:p>
      <w:pPr>
        <w:spacing w:after="0" w:line="252" w:lineRule="exact"/>
        <w:rPr>
          <w:rFonts w:ascii="Arial" w:cs="Arial" w:eastAsia="Arial" w:hAnsi="Arial"/>
          <w:sz w:val="20"/>
          <w:szCs w:val="20"/>
          <w:color w:val="auto"/>
        </w:rPr>
      </w:pPr>
    </w:p>
    <w:p>
      <w:pPr>
        <w:ind w:left="720" w:right="500" w:hanging="361"/>
        <w:spacing w:after="0" w:line="277"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economic weakness, including inflation, uncertain interest rate environments or political instability in particular foreign economies and markets;</w:t>
      </w:r>
    </w:p>
    <w:p>
      <w:pPr>
        <w:spacing w:after="0" w:line="183" w:lineRule="exact"/>
        <w:rPr>
          <w:rFonts w:ascii="Arial" w:cs="Arial" w:eastAsia="Arial" w:hAnsi="Arial"/>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252" w:lineRule="exact"/>
        <w:rPr>
          <w:rFonts w:ascii="Arial" w:cs="Arial" w:eastAsia="Arial" w:hAnsi="Arial"/>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253" w:lineRule="exact"/>
        <w:rPr>
          <w:rFonts w:ascii="Arial" w:cs="Arial" w:eastAsia="Arial" w:hAnsi="Arial"/>
          <w:sz w:val="20"/>
          <w:szCs w:val="20"/>
          <w:color w:val="auto"/>
        </w:rPr>
      </w:pPr>
    </w:p>
    <w:p>
      <w:pPr>
        <w:ind w:left="720" w:hanging="361"/>
        <w:spacing w:after="0" w:line="277"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revenues, and other obligations incident to doing business in another country;</w:t>
      </w:r>
    </w:p>
    <w:p>
      <w:pPr>
        <w:spacing w:after="0" w:line="182" w:lineRule="exact"/>
        <w:rPr>
          <w:rFonts w:ascii="Arial" w:cs="Arial" w:eastAsia="Arial" w:hAnsi="Arial"/>
          <w:sz w:val="20"/>
          <w:szCs w:val="20"/>
          <w:color w:val="auto"/>
        </w:rPr>
      </w:pPr>
    </w:p>
    <w:p>
      <w:pPr>
        <w:ind w:left="720" w:right="120" w:hanging="361"/>
        <w:spacing w:after="0" w:line="277"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workforce uncertainty in countries where employment regulations are different than, and labor unrest is more common than, in the United States;</w:t>
      </w:r>
    </w:p>
    <w:p>
      <w:pPr>
        <w:spacing w:after="0" w:line="182" w:lineRule="exact"/>
        <w:rPr>
          <w:rFonts w:ascii="Arial" w:cs="Arial" w:eastAsia="Arial" w:hAnsi="Arial"/>
          <w:sz w:val="20"/>
          <w:szCs w:val="20"/>
          <w:color w:val="auto"/>
        </w:rPr>
      </w:pPr>
    </w:p>
    <w:p>
      <w:pPr>
        <w:ind w:left="720" w:hanging="361"/>
        <w:spacing w:after="0"/>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w:t>
      </w:r>
    </w:p>
    <w:p>
      <w:pPr>
        <w:spacing w:after="0" w:line="253" w:lineRule="exact"/>
        <w:rPr>
          <w:rFonts w:ascii="Arial" w:cs="Arial" w:eastAsia="Arial" w:hAnsi="Arial"/>
          <w:sz w:val="20"/>
          <w:szCs w:val="20"/>
          <w:color w:val="auto"/>
        </w:rPr>
      </w:pPr>
    </w:p>
    <w:p>
      <w:pPr>
        <w:ind w:left="720" w:right="720" w:hanging="361"/>
        <w:spacing w:after="0" w:line="277" w:lineRule="auto"/>
        <w:tabs>
          <w:tab w:leader="none" w:pos="720" w:val="left"/>
        </w:tabs>
        <w:numPr>
          <w:ilvl w:val="0"/>
          <w:numId w:val="92"/>
        </w:numPr>
        <w:rPr>
          <w:rFonts w:ascii="Arial" w:cs="Arial" w:eastAsia="Arial" w:hAnsi="Arial"/>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 or natural disasters, including earthquakes, hurricanes, floods and fires; and</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780"/>
          </w:cols>
          <w:pgMar w:left="540" w:top="1349" w:right="560" w:bottom="0" w:gutter="0" w:footer="0" w:header="0"/>
          <w:type w:val="continuous"/>
        </w:sectPr>
      </w:pPr>
    </w:p>
    <w:bookmarkStart w:id="117" w:name="page118"/>
    <w:bookmarkEnd w:id="117"/>
    <w:p>
      <w:pPr>
        <w:ind w:left="720" w:hanging="360"/>
        <w:spacing w:after="0"/>
        <w:tabs>
          <w:tab w:leader="none" w:pos="720" w:val="left"/>
        </w:tabs>
        <w:numPr>
          <w:ilvl w:val="0"/>
          <w:numId w:val="9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in importing and exporting clinical trial materials and study samples.</w:t>
      </w:r>
    </w:p>
    <w:p>
      <w:pPr>
        <w:spacing w:after="0" w:line="238"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biopharmaceutical industry is subject to extensive legislative and regulatory obligations and policies that may be subject to change, which could increase the difficulty and cost for us to progress our clinical programs, obtain marketing approval of and commercialize our product candidates and may affect the prices we may set.</w:t>
      </w:r>
    </w:p>
    <w:p>
      <w:pPr>
        <w:spacing w:after="0" w:line="186"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The U.S. biopharmaceutical industry is highly regulated and subject to frequent and substantial changes, including as a result of new judicial or government actions. Legislative and regulatory agendas as they relate to the biopharmaceutical industry are currently uncertain. Changes in the regulatory approval process, or substantial reductions in the personnel who oversee that process, increase the difficulty and cost for us to progress our clinical programs, obtain marketing approval of and commercialize our product candidates and may affect the prices we may set.</w:t>
      </w:r>
    </w:p>
    <w:p>
      <w:pPr>
        <w:spacing w:after="0" w:line="197" w:lineRule="exact"/>
        <w:rPr>
          <w:sz w:val="20"/>
          <w:szCs w:val="20"/>
          <w:color w:val="auto"/>
        </w:rPr>
      </w:pPr>
    </w:p>
    <w:p>
      <w:pPr>
        <w:ind w:right="100" w:firstLine="361"/>
        <w:spacing w:after="0" w:line="243"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 number of legislative and regulatory changes and proposed changes regarding the regulatory system, health care system and efforts to control health care costs, including drug prices, that could have a significant negative impact on our business, including preventing, limiting or delay regulatory approval of our drug candidates and reducing the sales and profits derived from our products once they are approved. For example, in the United States, the ACA substantially changed the way health care is financed by both governmental and private insurers and significantly affects the pharmaceutical industry. Many provisions of ACA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Since its enactment, there have been judicial and Congressional challenges and amendments to certain aspects of ACA. There is continued uncertainty about the implementation of ACA, including the potential for further amendments to the ACA and legal challenges to or efforts to repeal the ACA.</w:t>
      </w:r>
    </w:p>
    <w:p>
      <w:pPr>
        <w:spacing w:after="0" w:line="209" w:lineRule="exact"/>
        <w:rPr>
          <w:sz w:val="20"/>
          <w:szCs w:val="20"/>
          <w:color w:val="auto"/>
        </w:rPr>
      </w:pPr>
    </w:p>
    <w:p>
      <w:pPr>
        <w:ind w:right="340" w:firstLine="360"/>
        <w:spacing w:after="0" w:line="259" w:lineRule="auto"/>
        <w:rPr>
          <w:sz w:val="20"/>
          <w:szCs w:val="20"/>
          <w:color w:val="auto"/>
        </w:rPr>
      </w:pPr>
      <w:r>
        <w:rPr>
          <w:rFonts w:ascii="Times New Roman" w:cs="Times New Roman" w:eastAsia="Times New Roman" w:hAnsi="Times New Roman"/>
          <w:sz w:val="20"/>
          <w:szCs w:val="20"/>
          <w:color w:val="auto"/>
        </w:rPr>
        <w:t>In addition, the Inflation Reduction Act of 2022, enacted in August 2022, empowers the Centers for Medicare and Medicaid Services to negotiate directly with pharmaceutical companies to set the prices for a limited set of high-cost drugs covered by Medicare, and puts penalties in place for drug manufacturers who increase their Medicare prices by more than the rate of inflation.</w:t>
      </w:r>
    </w:p>
    <w:p>
      <w:pPr>
        <w:spacing w:after="0" w:line="186"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Additionally, other legislative changes have been proposed and adopted in the United States since the ACA was enacted.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OBBBA or any other similar laws introduced in the future may result in additional reductions in Medicare and other health care funding, which could negatively affect our addressable market if we are successful in obtaining regulatory approval for one or more of our drug candidates.</w:t>
      </w:r>
    </w:p>
    <w:p>
      <w:pPr>
        <w:spacing w:after="0" w:line="206" w:lineRule="exact"/>
        <w:rPr>
          <w:sz w:val="20"/>
          <w:szCs w:val="20"/>
          <w:color w:val="auto"/>
        </w:rPr>
      </w:pPr>
    </w:p>
    <w:p>
      <w:pPr>
        <w:ind w:right="100" w:firstLine="361"/>
        <w:spacing w:after="0" w:line="244" w:lineRule="auto"/>
        <w:rPr>
          <w:sz w:val="20"/>
          <w:szCs w:val="20"/>
          <w:color w:val="auto"/>
        </w:rPr>
      </w:pPr>
      <w:r>
        <w:rPr>
          <w:rFonts w:ascii="Times New Roman" w:cs="Times New Roman" w:eastAsia="Times New Roman" w:hAnsi="Times New Roman"/>
          <w:sz w:val="20"/>
          <w:szCs w:val="20"/>
          <w:color w:val="auto"/>
        </w:rPr>
        <w:t>Moreover,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on September 30, 2025, the current administration announced the first agreement with a major pharmaceutical company that requires the drug manufacturer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Since then, other pharmaceutical companies have entered similar agreements. In addition, CMS has released several drug pricing proposed rules in the form of demonstration projects that test whether most favored pricing could increase prescription drug affordability in the United States. If adopted, these rules would implement new, mandatory drug rebate schemes for select drugs in Medicare Parts B and D.</w:t>
      </w:r>
    </w:p>
    <w:p>
      <w:pPr>
        <w:spacing w:after="0" w:line="203" w:lineRule="exact"/>
        <w:rPr>
          <w:sz w:val="20"/>
          <w:szCs w:val="20"/>
          <w:color w:val="auto"/>
        </w:rPr>
      </w:pPr>
    </w:p>
    <w:p>
      <w:pPr>
        <w:ind w:right="140" w:firstLine="360"/>
        <w:spacing w:after="0" w:line="247" w:lineRule="auto"/>
        <w:rPr>
          <w:sz w:val="20"/>
          <w:szCs w:val="20"/>
          <w:color w:val="auto"/>
        </w:rPr>
      </w:pPr>
      <w:r>
        <w:rPr>
          <w:rFonts w:ascii="Times New Roman" w:cs="Times New Roman" w:eastAsia="Times New Roman" w:hAnsi="Times New Roman"/>
          <w:sz w:val="20"/>
          <w:szCs w:val="20"/>
          <w:color w:val="auto"/>
        </w:rPr>
        <w:t>In addition, 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could have a significant impact on how lower courts evaluate challenges to agency interpretations of law, including those by the FDA and other agencies with significant oversight of the biopharmaceutical industry. The new framework may increase both the frequency of such challenges and their odds of success by eliminating one way in which the government previously prevailed in such cases. As a result, significant regulatory policies could be</w:t>
      </w:r>
    </w:p>
    <w:p>
      <w:pPr>
        <w:sectPr>
          <w:pgSz w:w="11880" w:h="15480" w:orient="portrait"/>
          <w:cols w:equalWidth="0" w:num="1">
            <w:col w:w="10800"/>
          </w:cols>
          <w:pgMar w:left="540" w:top="1365" w:right="5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800"/>
          </w:cols>
          <w:pgMar w:left="540" w:top="1365" w:right="540" w:bottom="0" w:gutter="0" w:footer="0" w:header="0"/>
          <w:type w:val="continuous"/>
        </w:sectPr>
      </w:pPr>
    </w:p>
    <w:bookmarkStart w:id="118" w:name="page119"/>
    <w:bookmarkEnd w:id="118"/>
    <w:p>
      <w:pPr>
        <w:ind w:right="80"/>
        <w:spacing w:after="0" w:line="259" w:lineRule="auto"/>
        <w:rPr>
          <w:sz w:val="20"/>
          <w:szCs w:val="20"/>
          <w:color w:val="auto"/>
        </w:rPr>
      </w:pPr>
      <w:r>
        <w:rPr>
          <w:rFonts w:ascii="Times New Roman" w:cs="Times New Roman" w:eastAsia="Times New Roman" w:hAnsi="Times New Roman"/>
          <w:sz w:val="20"/>
          <w:szCs w:val="20"/>
          <w:color w:val="auto"/>
        </w:rPr>
        <w:t>subject to increased litigation and judicial scrutiny. We cannot predict how other future federal or state legislative or administrative changes relating to healthcare reform or the biopharmaceutical industry, or the regulatory agencies that oversee the biopharmaceutical industry, will affect our business.</w:t>
      </w:r>
    </w:p>
    <w:p>
      <w:pPr>
        <w:spacing w:after="0" w:line="186"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We and our current and future third party collaborators may rely on government programs or agencies, such as the National Institutes for Health (“NIH”), as a source of grant funding for scientific research relevant to our product candidates. Funding from government agencies such as the NIH can fluctuate and is subject to the political process, which is often unpredictable. For example, earlier in 2025, the U.S. government adopted a new policy that would limit National Institutes of Health research funding for “indirect costs” to 15% of grants, which is an important form of funding for medical research at universities, medical schools, research hospitals and other scientific institutions and is significantly below what many institutions have been receiving for indirect costs. Although these reductions are the subject of legal challenges, they may remain in place. Reductions in NIH grants to us or our third-party collaborators may adversely impact our ability to develop our existing product candidates and our ability to identify new product candidates.</w:t>
      </w:r>
    </w:p>
    <w:p>
      <w:pPr>
        <w:spacing w:after="0" w:line="206" w:lineRule="exact"/>
        <w:rPr>
          <w:sz w:val="20"/>
          <w:szCs w:val="20"/>
          <w:color w:val="auto"/>
        </w:rPr>
      </w:pPr>
    </w:p>
    <w:p>
      <w:pPr>
        <w:jc w:val="both"/>
        <w:ind w:right="80" w:firstLine="361"/>
        <w:spacing w:after="0" w:line="259" w:lineRule="auto"/>
        <w:rPr>
          <w:sz w:val="20"/>
          <w:szCs w:val="20"/>
          <w:color w:val="auto"/>
        </w:rPr>
      </w:pPr>
      <w:r>
        <w:rPr>
          <w:rFonts w:ascii="Times New Roman" w:cs="Times New Roman" w:eastAsia="Times New Roman" w:hAnsi="Times New Roman"/>
          <w:sz w:val="20"/>
          <w:szCs w:val="20"/>
          <w:color w:val="auto"/>
        </w:rPr>
        <w:t>We expect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Reliance on Third Parties</w:t>
      </w:r>
    </w:p>
    <w:p>
      <w:pPr>
        <w:spacing w:after="0" w:line="24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plan, conduct and monitor our clinical tests, and their failure to perform as required would interfere with our product development.</w:t>
      </w:r>
    </w:p>
    <w:p>
      <w:pPr>
        <w:spacing w:after="0" w:line="167"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 If any of these third parties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200"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CDMOs, some of whom are our single source manufacturers, over whom we have limited control. Should the cost, delivery and quality of clinical materials manufactured by us in our Fall River facility or supplied by CDMOs vary to our disadvantage, our business operations could suffer significant harm.</w:t>
      </w:r>
    </w:p>
    <w:p>
      <w:pPr>
        <w:spacing w:after="0" w:line="186"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We are a research and development company and have limited experience in commercial manufacturing. To conduct late-stage clinical trials, as well as manufacture and commercialize our drug candidates, we engage CDMOs in the U.S and outside the U.S. to manufacture our drug candidates on a large scale at a competitive cost and in accordance with cGMP and U.S. and foreign regulatory requirements, as applicable. We also rely on CDMOs for filling, labeling and storage for studies inside and outside the U.S. Moreover, some of our CDMOs are currently single source manufacturers. While we plan to try to obtain multiple sources in the future, the lack of a second source at this time could expose us to a number of risks related to our supply chain if and when we become a commercial stage company, including delivery failure and drug shortages. To date, we have no qualified alternative sources for these single source CDMOs. Any manufacturing failures or compliance issues at our CDMOs could cause delays in our clinical studies or commercialization of our drug candidates.</w:t>
      </w:r>
    </w:p>
    <w:p>
      <w:pPr>
        <w:spacing w:after="0" w:line="206" w:lineRule="exact"/>
        <w:rPr>
          <w:sz w:val="20"/>
          <w:szCs w:val="20"/>
          <w:color w:val="auto"/>
        </w:rPr>
      </w:pPr>
    </w:p>
    <w:p>
      <w:pPr>
        <w:ind w:right="160" w:firstLine="361"/>
        <w:spacing w:after="0" w:line="247" w:lineRule="auto"/>
        <w:rPr>
          <w:sz w:val="20"/>
          <w:szCs w:val="20"/>
          <w:color w:val="auto"/>
        </w:rPr>
      </w:pPr>
      <w:r>
        <w:rPr>
          <w:rFonts w:ascii="Times New Roman" w:cs="Times New Roman" w:eastAsia="Times New Roman" w:hAnsi="Times New Roman"/>
          <w:sz w:val="20"/>
          <w:szCs w:val="20"/>
          <w:color w:val="auto"/>
        </w:rPr>
        <w:t>In order for us to establish our own commercial manufacturing facility, we would require substantial additional funds and would need to make facility modifications, hire and retain significant additional personnel and comply with extensive cGMP regulations applicable to such a facility. The commercial manufacturing facility would also need to be licensed for the production of our drug candidates by the FDA and meet other regulatory standards. We therefore work with CDMOs under established manufacturing arrangements that comply with the FDA’s requirements and other regulatory standards, although there is no assurance that the manufacturing will be successful.</w:t>
      </w:r>
    </w:p>
    <w:p>
      <w:pPr>
        <w:spacing w:after="0" w:line="200" w:lineRule="exact"/>
        <w:rPr>
          <w:sz w:val="20"/>
          <w:szCs w:val="20"/>
          <w:color w:val="auto"/>
        </w:rPr>
      </w:pPr>
    </w:p>
    <w:p>
      <w:pPr>
        <w:jc w:val="both"/>
        <w:ind w:right="300" w:firstLine="360"/>
        <w:spacing w:after="0" w:line="270" w:lineRule="auto"/>
        <w:rPr>
          <w:sz w:val="20"/>
          <w:szCs w:val="20"/>
          <w:color w:val="auto"/>
        </w:rPr>
      </w:pPr>
      <w:r>
        <w:rPr>
          <w:rFonts w:ascii="Times New Roman" w:cs="Times New Roman" w:eastAsia="Times New Roman" w:hAnsi="Times New Roman"/>
          <w:sz w:val="19"/>
          <w:szCs w:val="19"/>
          <w:color w:val="auto"/>
        </w:rPr>
        <w:t>Prior to approval of any drug candidate, the FDA must review and approve validation studies for both drug substance and drug product. The manufacturing processes for our drug candidates and device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800"/>
          </w:cols>
          <w:pgMar w:left="540" w:top="1349" w:right="540" w:bottom="0" w:gutter="0" w:footer="0" w:header="0"/>
          <w:type w:val="continuous"/>
        </w:sectPr>
      </w:pPr>
    </w:p>
    <w:bookmarkStart w:id="119" w:name="page120"/>
    <w:bookmarkEnd w:id="119"/>
    <w:p>
      <w:pPr>
        <w:ind w:right="180" w:firstLine="1"/>
        <w:spacing w:after="0" w:line="243" w:lineRule="auto"/>
        <w:rPr>
          <w:sz w:val="20"/>
          <w:szCs w:val="20"/>
          <w:color w:val="auto"/>
        </w:rPr>
      </w:pPr>
      <w:r>
        <w:rPr>
          <w:rFonts w:ascii="Times New Roman" w:cs="Times New Roman" w:eastAsia="Times New Roman" w:hAnsi="Times New Roman"/>
          <w:sz w:val="20"/>
          <w:szCs w:val="20"/>
          <w:color w:val="auto"/>
        </w:rPr>
        <w:t>manufacturing may result in unanticipated technical challenges and may require additional validation studies that the FDA must review and approve. CDMOs may encounter difficulties in scaling up production, including problems involving supply chain, raw material suppliers, production yields, technical difficulties, scaled-up product characteristics, quality control and assurance, shortage of qualified personnel, capacity constraints, changing priorities within the CDMOs,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reliable sources of drug substance and drug product become critical to commercial success. The commercial viability of any of our drug candidates, if approved, will depend on the ability of our CDMOs to produce drug substance and drug product on a large scale. Failure to achieve this level of supply can jeopardize and prevent the successful commercialization of the drug.</w:t>
      </w:r>
    </w:p>
    <w:p>
      <w:pPr>
        <w:spacing w:after="0" w:line="209"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Our leading drug candidates require specialized manufacturing capabilities and processes. We may face difficulty in securing commitments from U.S. and foreign CDMOs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supply chain issues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 including tariffs.</w:t>
      </w:r>
    </w:p>
    <w:p>
      <w:pPr>
        <w:spacing w:after="0" w:line="201" w:lineRule="exact"/>
        <w:rPr>
          <w:sz w:val="20"/>
          <w:szCs w:val="20"/>
          <w:color w:val="auto"/>
        </w:rPr>
      </w:pPr>
    </w:p>
    <w:p>
      <w:pPr>
        <w:ind w:right="280" w:firstLine="361"/>
        <w:spacing w:after="0" w:line="245" w:lineRule="auto"/>
        <w:rPr>
          <w:sz w:val="20"/>
          <w:szCs w:val="20"/>
          <w:color w:val="auto"/>
        </w:rPr>
      </w:pPr>
      <w:r>
        <w:rPr>
          <w:rFonts w:ascii="Times New Roman" w:cs="Times New Roman" w:eastAsia="Times New Roman" w:hAnsi="Times New Roman"/>
          <w:sz w:val="20"/>
          <w:szCs w:val="20"/>
          <w:color w:val="auto"/>
        </w:rPr>
        <w:t>There can be no assurances that CDMOs will be able to meet our timetable and requirements. While we believe that there is currently sufficient capacity worldwide for the production of our potential products through CDMOs, establishing long-term relationships with CDMOs and securing multiple sources for the necessary quantities of clinical and commercial materials required can be a challenge due to increasing industry demand for CDMO services. Qualifying the initial source of clinical and ultimately commercial material is a time consuming and expensive process due to the highly regulated nature of the pharmaceutical/biotech industry. The key difficulty in qualifying more than one source for each product is the duplicated time and expense in doing so without the potential to mitigate these costs if the secondary source is never utilized. Further, CDMOs must operate in compliance with cGMP and failure to do so could result in, among other things, the disruption of product supplies.</w:t>
      </w:r>
    </w:p>
    <w:p>
      <w:pPr>
        <w:spacing w:after="0" w:line="202" w:lineRule="exact"/>
        <w:rPr>
          <w:sz w:val="20"/>
          <w:szCs w:val="20"/>
          <w:color w:val="auto"/>
        </w:rPr>
      </w:pPr>
    </w:p>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Use of CDMOs also limits our control over and ability to monitor the manufacturing process. As a result, we may not be able to detect a variety of problems that may arise and may face additional costs in the process of interfacing with and monitoring the progress of our CDMOs. If CDMOs fail to meet our manufacturing needs in an acceptable manner or fail to comply with regulatory requirements, we would face delays and additional costs while we develop internal manufacturing capabilities or find alternate CDMOs. It may not be possible to have multiple CDMOs ready to supply us with needed material at all or without incurring significant costs. Our dependence upon CDMOs for the manufacture of our products may adversely affect our profit margins and our ability to develop, manufacture, sell and deliver products on a timely and competitive basis. Any manufacturing failures, supply chain delays or compliance issues at our Fall River facility or at our CDMOs could cause delays in our clinical studies for our drug candidates.</w:t>
      </w:r>
    </w:p>
    <w:p>
      <w:pPr>
        <w:spacing w:after="0" w:line="206" w:lineRule="exact"/>
        <w:rPr>
          <w:sz w:val="20"/>
          <w:szCs w:val="20"/>
          <w:color w:val="auto"/>
        </w:rPr>
      </w:pPr>
    </w:p>
    <w:p>
      <w:pPr>
        <w:ind w:right="9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need to rely on third-party collaborators to develop and commercialize companion diagnostic tests for our drug candidates.</w:t>
      </w:r>
    </w:p>
    <w:p>
      <w:pPr>
        <w:spacing w:after="0" w:line="167" w:lineRule="exact"/>
        <w:rPr>
          <w:sz w:val="20"/>
          <w:szCs w:val="20"/>
          <w:color w:val="auto"/>
        </w:rPr>
      </w:pPr>
    </w:p>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We do not have experience or capabilities in developing, administering, obtaining regulatory approval for, or commercializing companion diagnostic tests and will need to rely in large part on third-party collaborators to perform these functions. Companion diagnostic tests are subject to regulation by the FDA and similar regulatory authorities outside of the United States as medical devices and require separate regulatory approval prior to commercialization. We may need to rely on such third-party collaborators to obtain regulatory approval and commercialize such companion diagnostic tests. Such third-party collaborators:</w:t>
      </w:r>
    </w:p>
    <w:p>
      <w:pPr>
        <w:spacing w:after="0" w:line="212" w:lineRule="exact"/>
        <w:rPr>
          <w:sz w:val="20"/>
          <w:szCs w:val="20"/>
          <w:color w:val="auto"/>
        </w:rPr>
      </w:pPr>
    </w:p>
    <w:p>
      <w:pPr>
        <w:ind w:left="720" w:hanging="362"/>
        <w:spacing w:after="0"/>
        <w:tabs>
          <w:tab w:leader="none" w:pos="720" w:val="left"/>
        </w:tabs>
        <w:numPr>
          <w:ilvl w:val="0"/>
          <w:numId w:val="94"/>
        </w:numPr>
        <w:rPr>
          <w:rFonts w:ascii="Arial" w:cs="Arial" w:eastAsia="Arial" w:hAnsi="Arial"/>
          <w:sz w:val="20"/>
          <w:szCs w:val="20"/>
          <w:color w:val="auto"/>
        </w:rPr>
      </w:pPr>
      <w:r>
        <w:rPr>
          <w:rFonts w:ascii="Times New Roman" w:cs="Times New Roman" w:eastAsia="Times New Roman" w:hAnsi="Times New Roman"/>
          <w:sz w:val="20"/>
          <w:szCs w:val="20"/>
          <w:color w:val="auto"/>
        </w:rPr>
        <w:t>may not perform their obligations as expected or as required under our collaboration agreement;</w:t>
      </w:r>
    </w:p>
    <w:p>
      <w:pPr>
        <w:spacing w:after="0" w:line="253" w:lineRule="exact"/>
        <w:rPr>
          <w:rFonts w:ascii="Arial" w:cs="Arial" w:eastAsia="Arial" w:hAnsi="Arial"/>
          <w:sz w:val="20"/>
          <w:szCs w:val="20"/>
          <w:color w:val="auto"/>
        </w:rPr>
      </w:pPr>
    </w:p>
    <w:p>
      <w:pPr>
        <w:ind w:left="720" w:hanging="362"/>
        <w:spacing w:after="0"/>
        <w:tabs>
          <w:tab w:leader="none" w:pos="720" w:val="left"/>
        </w:tabs>
        <w:numPr>
          <w:ilvl w:val="0"/>
          <w:numId w:val="94"/>
        </w:numPr>
        <w:rPr>
          <w:rFonts w:ascii="Arial" w:cs="Arial" w:eastAsia="Arial" w:hAnsi="Arial"/>
          <w:sz w:val="20"/>
          <w:szCs w:val="20"/>
          <w:color w:val="auto"/>
        </w:rPr>
      </w:pPr>
      <w:r>
        <w:rPr>
          <w:rFonts w:ascii="Times New Roman" w:cs="Times New Roman" w:eastAsia="Times New Roman" w:hAnsi="Times New Roman"/>
          <w:sz w:val="20"/>
          <w:szCs w:val="20"/>
          <w:color w:val="auto"/>
        </w:rPr>
        <w:t>may encounter production difficulties that could constrain the supply of the companion diagnostic test;</w:t>
      </w:r>
    </w:p>
    <w:p>
      <w:pPr>
        <w:spacing w:after="0" w:line="252" w:lineRule="exact"/>
        <w:rPr>
          <w:rFonts w:ascii="Arial" w:cs="Arial" w:eastAsia="Arial" w:hAnsi="Arial"/>
          <w:sz w:val="20"/>
          <w:szCs w:val="20"/>
          <w:color w:val="auto"/>
        </w:rPr>
      </w:pPr>
    </w:p>
    <w:p>
      <w:pPr>
        <w:ind w:left="720" w:hanging="362"/>
        <w:spacing w:after="0"/>
        <w:tabs>
          <w:tab w:leader="none" w:pos="720" w:val="left"/>
        </w:tabs>
        <w:numPr>
          <w:ilvl w:val="0"/>
          <w:numId w:val="94"/>
        </w:numPr>
        <w:rPr>
          <w:rFonts w:ascii="Arial" w:cs="Arial" w:eastAsia="Arial" w:hAnsi="Arial"/>
          <w:sz w:val="20"/>
          <w:szCs w:val="20"/>
          <w:color w:val="auto"/>
        </w:rPr>
      </w:pPr>
      <w:r>
        <w:rPr>
          <w:rFonts w:ascii="Times New Roman" w:cs="Times New Roman" w:eastAsia="Times New Roman" w:hAnsi="Times New Roman"/>
          <w:sz w:val="20"/>
          <w:szCs w:val="20"/>
          <w:color w:val="auto"/>
        </w:rPr>
        <w:t>may have difficulties gaining acceptance of the use of the companion diagnostic test in the clinical community;</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4"/>
        </w:numPr>
        <w:rPr>
          <w:rFonts w:ascii="Arial" w:cs="Arial" w:eastAsia="Arial" w:hAnsi="Arial"/>
          <w:sz w:val="20"/>
          <w:szCs w:val="20"/>
          <w:color w:val="auto"/>
        </w:rPr>
      </w:pPr>
      <w:r>
        <w:rPr>
          <w:rFonts w:ascii="Times New Roman" w:cs="Times New Roman" w:eastAsia="Times New Roman" w:hAnsi="Times New Roman"/>
          <w:sz w:val="20"/>
          <w:szCs w:val="20"/>
          <w:color w:val="auto"/>
        </w:rPr>
        <w:t>may not pursue commercialization of the companion diagnostic test even if they receive any required regulatory approvals;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780"/>
          </w:cols>
          <w:pgMar w:left="540" w:top="1349" w:right="560" w:bottom="0" w:gutter="0" w:footer="0" w:header="0"/>
          <w:type w:val="continuous"/>
        </w:sectPr>
      </w:pPr>
    </w:p>
    <w:bookmarkStart w:id="120" w:name="page121"/>
    <w:bookmarkEnd w:id="120"/>
    <w:p>
      <w:pPr>
        <w:jc w:val="both"/>
        <w:ind w:left="720" w:right="260" w:hanging="360"/>
        <w:spacing w:after="0" w:line="259" w:lineRule="auto"/>
        <w:tabs>
          <w:tab w:leader="none" w:pos="72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200"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may be susceptible to third party cyber-attacks on our and their information security systems;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may not commit sufficient resources to the marketing and distribution of the companion diagnostic test;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may terminate their relationship with us.</w:t>
      </w:r>
    </w:p>
    <w:p>
      <w:pPr>
        <w:spacing w:after="0" w:line="238" w:lineRule="exact"/>
        <w:rPr>
          <w:sz w:val="20"/>
          <w:szCs w:val="20"/>
          <w:color w:val="auto"/>
        </w:rPr>
      </w:pPr>
    </w:p>
    <w:p>
      <w:pPr>
        <w:ind w:firstLine="361"/>
        <w:spacing w:after="0" w:line="252" w:lineRule="auto"/>
        <w:rPr>
          <w:sz w:val="20"/>
          <w:szCs w:val="20"/>
          <w:color w:val="auto"/>
        </w:rPr>
      </w:pPr>
      <w:r>
        <w:rPr>
          <w:rFonts w:ascii="Times New Roman" w:cs="Times New Roman" w:eastAsia="Times New Roman" w:hAnsi="Times New Roman"/>
          <w:sz w:val="20"/>
          <w:szCs w:val="20"/>
          <w:color w:val="auto"/>
        </w:rPr>
        <w:t>If such third-party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9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reliance on third parties requires us to share our trade secrets, which increases the possibility that a competitor will discover them.</w:t>
      </w:r>
    </w:p>
    <w:p>
      <w:pPr>
        <w:spacing w:after="0" w:line="167"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Because we rely on third parties to develop our drug candidates,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Business Operations</w:t>
      </w:r>
    </w:p>
    <w:p>
      <w:pPr>
        <w:spacing w:after="0" w:line="2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engage in strategic transactions that could impact our liquidity, increase our expenses and present significant distractions to our management.</w:t>
      </w:r>
    </w:p>
    <w:p>
      <w:pPr>
        <w:spacing w:after="0" w:line="167" w:lineRule="exact"/>
        <w:rPr>
          <w:sz w:val="20"/>
          <w:szCs w:val="20"/>
          <w:color w:val="auto"/>
        </w:rPr>
      </w:pPr>
    </w:p>
    <w:p>
      <w:pPr>
        <w:ind w:right="60" w:firstLine="361"/>
        <w:spacing w:after="0" w:line="246" w:lineRule="auto"/>
        <w:rPr>
          <w:sz w:val="20"/>
          <w:szCs w:val="20"/>
          <w:color w:val="auto"/>
        </w:rPr>
      </w:pPr>
      <w:r>
        <w:rPr>
          <w:rFonts w:ascii="Times New Roman" w:cs="Times New Roman" w:eastAsia="Times New Roman" w:hAnsi="Times New Roman"/>
          <w:sz w:val="20"/>
          <w:szCs w:val="20"/>
          <w:color w:val="auto"/>
        </w:rPr>
        <w:t>From time to time we may consider strategic transactions, including acquisitions of companies,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acquisitions of assets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15" w:lineRule="exact"/>
        <w:rPr>
          <w:sz w:val="20"/>
          <w:szCs w:val="20"/>
          <w:color w:val="auto"/>
        </w:rPr>
      </w:pPr>
    </w:p>
    <w:p>
      <w:pPr>
        <w:ind w:left="720" w:hanging="361"/>
        <w:spacing w:after="0"/>
        <w:tabs>
          <w:tab w:leader="none" w:pos="720" w:val="left"/>
        </w:tabs>
        <w:numPr>
          <w:ilvl w:val="0"/>
          <w:numId w:val="96"/>
        </w:numPr>
        <w:rPr>
          <w:rFonts w:ascii="Arial" w:cs="Arial" w:eastAsia="Arial" w:hAnsi="Arial"/>
          <w:sz w:val="20"/>
          <w:szCs w:val="20"/>
          <w:color w:val="auto"/>
        </w:rPr>
      </w:pPr>
      <w:r>
        <w:rPr>
          <w:rFonts w:ascii="Times New Roman" w:cs="Times New Roman" w:eastAsia="Times New Roman" w:hAnsi="Times New Roman"/>
          <w:sz w:val="20"/>
          <w:szCs w:val="20"/>
          <w:color w:val="auto"/>
        </w:rPr>
        <w:t>exposure to unknown liabilities;</w:t>
      </w:r>
    </w:p>
    <w:p>
      <w:pPr>
        <w:spacing w:after="0" w:line="252" w:lineRule="exact"/>
        <w:rPr>
          <w:rFonts w:ascii="Arial" w:cs="Arial" w:eastAsia="Arial" w:hAnsi="Arial"/>
          <w:sz w:val="20"/>
          <w:szCs w:val="20"/>
          <w:color w:val="auto"/>
        </w:rPr>
      </w:pPr>
    </w:p>
    <w:p>
      <w:pPr>
        <w:ind w:left="720" w:right="60" w:hanging="361"/>
        <w:spacing w:after="0" w:line="277" w:lineRule="auto"/>
        <w:tabs>
          <w:tab w:leader="none" w:pos="720" w:val="left"/>
        </w:tabs>
        <w:numPr>
          <w:ilvl w:val="0"/>
          <w:numId w:val="96"/>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of our business and diversion of our management’s time and attention in order to develop acquired products, drug candidates or technologies;</w:t>
      </w:r>
    </w:p>
    <w:p>
      <w:pPr>
        <w:spacing w:after="0" w:line="183" w:lineRule="exact"/>
        <w:rPr>
          <w:rFonts w:ascii="Arial" w:cs="Arial" w:eastAsia="Arial" w:hAnsi="Arial"/>
          <w:sz w:val="20"/>
          <w:szCs w:val="20"/>
          <w:color w:val="auto"/>
        </w:rPr>
      </w:pPr>
    </w:p>
    <w:p>
      <w:pPr>
        <w:ind w:left="720" w:hanging="361"/>
        <w:spacing w:after="0"/>
        <w:tabs>
          <w:tab w:leader="none" w:pos="720" w:val="left"/>
        </w:tabs>
        <w:numPr>
          <w:ilvl w:val="0"/>
          <w:numId w:val="96"/>
        </w:numPr>
        <w:rPr>
          <w:rFonts w:ascii="Arial" w:cs="Arial" w:eastAsia="Arial" w:hAnsi="Arial"/>
          <w:sz w:val="20"/>
          <w:szCs w:val="20"/>
          <w:color w:val="auto"/>
        </w:rPr>
      </w:pPr>
      <w:r>
        <w:rPr>
          <w:rFonts w:ascii="Times New Roman" w:cs="Times New Roman" w:eastAsia="Times New Roman" w:hAnsi="Times New Roman"/>
          <w:sz w:val="20"/>
          <w:szCs w:val="20"/>
          <w:color w:val="auto"/>
        </w:rPr>
        <w:t>incurrence of substantial debt or dilutive issuances of equity securities to pay for acquisitions;</w:t>
      </w:r>
    </w:p>
    <w:p>
      <w:pPr>
        <w:spacing w:after="0" w:line="253" w:lineRule="exact"/>
        <w:rPr>
          <w:rFonts w:ascii="Arial" w:cs="Arial" w:eastAsia="Arial" w:hAnsi="Arial"/>
          <w:sz w:val="20"/>
          <w:szCs w:val="20"/>
          <w:color w:val="auto"/>
        </w:rPr>
      </w:pPr>
    </w:p>
    <w:p>
      <w:pPr>
        <w:ind w:left="720" w:hanging="361"/>
        <w:spacing w:after="0"/>
        <w:tabs>
          <w:tab w:leader="none" w:pos="720" w:val="left"/>
        </w:tabs>
        <w:numPr>
          <w:ilvl w:val="0"/>
          <w:numId w:val="96"/>
        </w:numPr>
        <w:rPr>
          <w:rFonts w:ascii="Arial" w:cs="Arial" w:eastAsia="Arial" w:hAnsi="Arial"/>
          <w:sz w:val="20"/>
          <w:szCs w:val="20"/>
          <w:color w:val="auto"/>
        </w:rPr>
      </w:pPr>
      <w:r>
        <w:rPr>
          <w:rFonts w:ascii="Times New Roman" w:cs="Times New Roman" w:eastAsia="Times New Roman" w:hAnsi="Times New Roman"/>
          <w:sz w:val="20"/>
          <w:szCs w:val="20"/>
          <w:color w:val="auto"/>
        </w:rPr>
        <w:t>higher than expected acquisition and integration costs;</w:t>
      </w:r>
    </w:p>
    <w:p>
      <w:pPr>
        <w:sectPr>
          <w:pgSz w:w="11880" w:h="15480" w:orient="portrait"/>
          <w:cols w:equalWidth="0" w:num="1">
            <w:col w:w="10740"/>
          </w:cols>
          <w:pgMar w:left="540" w:top="136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740"/>
          </w:cols>
          <w:pgMar w:left="540" w:top="1364" w:right="600" w:bottom="0" w:gutter="0" w:footer="0" w:header="0"/>
          <w:type w:val="continuous"/>
        </w:sectPr>
      </w:pPr>
    </w:p>
    <w:bookmarkStart w:id="121" w:name="page122"/>
    <w:bookmarkEnd w:id="121"/>
    <w:p>
      <w:pPr>
        <w:ind w:left="720" w:hanging="360"/>
        <w:spacing w:after="0"/>
        <w:tabs>
          <w:tab w:leader="none" w:pos="720" w:val="left"/>
        </w:tabs>
        <w:numPr>
          <w:ilvl w:val="0"/>
          <w:numId w:val="97"/>
        </w:numPr>
        <w:rPr>
          <w:rFonts w:ascii="Arial" w:cs="Arial" w:eastAsia="Arial" w:hAnsi="Arial"/>
          <w:sz w:val="20"/>
          <w:szCs w:val="20"/>
          <w:color w:val="auto"/>
        </w:rPr>
      </w:pPr>
      <w:r>
        <w:rPr>
          <w:rFonts w:ascii="Times New Roman" w:cs="Times New Roman" w:eastAsia="Times New Roman" w:hAnsi="Times New Roman"/>
          <w:sz w:val="20"/>
          <w:szCs w:val="20"/>
          <w:color w:val="auto"/>
        </w:rPr>
        <w:t>write-downs of assets or impairment charges;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amortization expenses;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and cost in combining the operations and personnel of any acquired businesses with our operations and personnel;</w:t>
      </w:r>
    </w:p>
    <w:p>
      <w:pPr>
        <w:spacing w:after="0" w:line="252" w:lineRule="exact"/>
        <w:rPr>
          <w:rFonts w:ascii="Arial" w:cs="Arial" w:eastAsia="Arial" w:hAnsi="Arial"/>
          <w:sz w:val="20"/>
          <w:szCs w:val="20"/>
          <w:color w:val="auto"/>
        </w:rPr>
      </w:pPr>
    </w:p>
    <w:p>
      <w:pPr>
        <w:ind w:left="720" w:right="240" w:hanging="360"/>
        <w:spacing w:after="0" w:line="277" w:lineRule="auto"/>
        <w:tabs>
          <w:tab w:leader="none" w:pos="720" w:val="left"/>
        </w:tabs>
        <w:numPr>
          <w:ilvl w:val="0"/>
          <w:numId w:val="97"/>
        </w:numPr>
        <w:rPr>
          <w:rFonts w:ascii="Arial" w:cs="Arial" w:eastAsia="Arial" w:hAnsi="Arial"/>
          <w:sz w:val="20"/>
          <w:szCs w:val="20"/>
          <w:color w:val="auto"/>
        </w:rPr>
      </w:pPr>
      <w:r>
        <w:rPr>
          <w:rFonts w:ascii="Times New Roman" w:cs="Times New Roman" w:eastAsia="Times New Roman" w:hAnsi="Times New Roman"/>
          <w:sz w:val="20"/>
          <w:szCs w:val="20"/>
          <w:color w:val="auto"/>
        </w:rPr>
        <w:t>impairment of relationships with key suppliers or customers of any acquired businesses due to changes in management and ownership; and</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97"/>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retain key employees of any acquired businesses.</w:t>
      </w:r>
    </w:p>
    <w:p>
      <w:pPr>
        <w:spacing w:after="0" w:line="238"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8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6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209" w:lineRule="exact"/>
        <w:rPr>
          <w:sz w:val="20"/>
          <w:szCs w:val="20"/>
          <w:color w:val="auto"/>
        </w:rPr>
      </w:pPr>
    </w:p>
    <w:p>
      <w:pPr>
        <w:ind w:right="15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successfully integrate our existing technology or to modify our technologies to create new immunotherapeutic drugs.</w:t>
      </w:r>
    </w:p>
    <w:p>
      <w:pPr>
        <w:spacing w:after="0" w:line="168"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If we are able to integrate our acquired assets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we may face the loss of our investment of financial resources and time in the integration process.</w:t>
      </w:r>
    </w:p>
    <w:p>
      <w:pPr>
        <w:spacing w:after="0" w:line="200"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believe that our immunotherapy technology portfolio may offer opportunities to develop immunotherapeutic drugs that treat a variety of inflammatory and infectious diseases by stimulating a patient’s immune system against those diseases. If our immunotherapy technology portfolio cannot be used to create effective immunotherapeutic drugs against a variety of diseases, we may lose all or portions of our investment in development efforts for new drug candidates.</w:t>
      </w:r>
    </w:p>
    <w:p>
      <w:pPr>
        <w:spacing w:after="0" w:line="193"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CROs, CDMOs, or other contractors or consultants, may fail or suffer security breaches, which could result in a material disruption of our drug development programs.</w:t>
      </w:r>
    </w:p>
    <w:p>
      <w:pPr>
        <w:spacing w:after="0" w:line="168" w:lineRule="exact"/>
        <w:rPr>
          <w:sz w:val="20"/>
          <w:szCs w:val="20"/>
          <w:color w:val="auto"/>
        </w:rPr>
      </w:pPr>
    </w:p>
    <w:p>
      <w:pPr>
        <w:ind w:right="40" w:firstLine="360"/>
        <w:spacing w:after="0" w:line="261" w:lineRule="auto"/>
        <w:rPr>
          <w:sz w:val="20"/>
          <w:szCs w:val="20"/>
          <w:color w:val="auto"/>
        </w:rPr>
      </w:pPr>
      <w:r>
        <w:rPr>
          <w:rFonts w:ascii="Times New Roman" w:cs="Times New Roman" w:eastAsia="Times New Roman" w:hAnsi="Times New Roman"/>
          <w:sz w:val="19"/>
          <w:szCs w:val="19"/>
          <w:color w:val="auto"/>
        </w:rPr>
        <w:t>Our computer systems and those of our CROs, CDMOs, and other contractors and consultants are vulnerable to damage from cyberattacks, malicious intrusion, computer viruses, unauthorized access, data breaches, phishing attacks, cybercriminals, natural disasters, terrorism, war and telecommunication, electrical failures or other significant disruption even with a cybersecurity risk mitigation program developed by our enterprise, including management of our vendors. Such information technology systems are additionally vulnerable to security breaches from inadvertent or intentional actions by our employees, third-party vendors, contractors, consultants, business partners, and/or other third parties. The risks of a security breach or disruption, particularly through cyber-attacks or cyber intrusion, including by traditional computer “hackers,” threat actors, personnel (such as through theft, inadvertent</w:t>
      </w:r>
    </w:p>
    <w:p>
      <w:pPr>
        <w:sectPr>
          <w:pgSz w:w="11880" w:h="15480" w:orient="portrait"/>
          <w:cols w:equalWidth="0" w:num="1">
            <w:col w:w="10800"/>
          </w:cols>
          <w:pgMar w:left="540" w:top="1365" w:right="54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1365" w:right="540" w:bottom="0" w:gutter="0" w:footer="0" w:header="0"/>
          <w:type w:val="continuous"/>
        </w:sectPr>
      </w:pPr>
    </w:p>
    <w:bookmarkStart w:id="122" w:name="page123"/>
    <w:bookmarkEnd w:id="122"/>
    <w:p>
      <w:pPr>
        <w:ind w:firstLine="1"/>
        <w:spacing w:after="0" w:line="243" w:lineRule="auto"/>
        <w:rPr>
          <w:sz w:val="20"/>
          <w:szCs w:val="20"/>
          <w:color w:val="auto"/>
        </w:rPr>
      </w:pPr>
      <w:r>
        <w:rPr>
          <w:rFonts w:ascii="Times New Roman" w:cs="Times New Roman" w:eastAsia="Times New Roman" w:hAnsi="Times New Roman"/>
          <w:sz w:val="20"/>
          <w:szCs w:val="20"/>
          <w:color w:val="auto"/>
        </w:rPr>
        <w:t>mistake or misuse), sophisticated nation-state and nation-state-supported actors, sovereign governments and cyber terrorists, have generally increased over time, including for geopolitical reasons and in conjunction with military conflicts and defense activities, along with the number, intensity and sophistication of attempted attacks and intrusions from around the world. During times of war and other major conflicts, we and the third parties upon which we rely may be vulnerable to a heightened risk of these attacks, including cyber-attacks that could materially disrupt our systems and operations, supply chain and ability to produce and distribute our products and product candidates. If any such events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 delays in our regulatory approval efforts and significantly increase our costs to recover or reproduce the data. Further, the risk of cyber-attacks or other privacy or data security incidents may be heightened due to common, external attempts to attack our information technology systems and data using means such as phishing, deepfakes, other social engineering and vulnerability exploitation.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204" w:lineRule="exact"/>
        <w:rPr>
          <w:sz w:val="20"/>
          <w:szCs w:val="20"/>
          <w:color w:val="auto"/>
        </w:rPr>
      </w:pPr>
    </w:p>
    <w:p>
      <w:pPr>
        <w:ind w:firstLine="362"/>
        <w:spacing w:after="0" w:line="256" w:lineRule="auto"/>
        <w:rPr>
          <w:sz w:val="20"/>
          <w:szCs w:val="20"/>
          <w:color w:val="auto"/>
        </w:rPr>
      </w:pPr>
      <w:r>
        <w:rPr>
          <w:rFonts w:ascii="Times New Roman" w:cs="Times New Roman" w:eastAsia="Times New Roman" w:hAnsi="Times New Roman"/>
          <w:sz w:val="19"/>
          <w:szCs w:val="19"/>
          <w:color w:val="auto"/>
        </w:rPr>
        <w:t>While we have not experienced any material disruptions to our business, systems or operations as a result of a cybersecurity incident to date, if such an event were to occur and cause material interruptions in our operations, it could result in a material disruption of our independent drug development programs and our business overall.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the European Union, the General Data Protection Regulation, or GDPR, further restricts all applicable personal data, including information masked by a coding system that is not considered deidentified data under applicable law. In addition to HIPAA and GDPR, numerous other federal and state laws, including, without limitation, state security breach notification laws, state health information privacy laws and federal and state consumer protection laws, govern the collection, use, disclosure, protection and storage of personal information. To the extent that any disruption or security breach of our information technology systems were to result in a loss of or damage to data or applications, or inappropriate disclosure of third-party notifiable confidential or proprietary information, personal health information, personal information or personal data, we could incur substantial liability under laws that protect the privacy of personal information, our reputation would be damaged, and the further development of our product candidates could be delayed, any of which could adversely affect our business. The costs related to significant security breaches or disruptions could be material and exceed the limits of the cybersecurity insurance we maintain against such risks.</w:t>
      </w:r>
    </w:p>
    <w:p>
      <w:pPr>
        <w:spacing w:after="0" w:line="189"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We cannot anticipate all possible types of security threats and we cannot guarantee that our data protection efforts and our investments in information technology will prevent significant breakdowns, data leakages, security breaches in our systems, or those of our third-party vendors and other contractors and consultants, or other cyber incidents that could have a material adverse effect upon our reputation, business, operations, or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requires us to use hazardous materials, which increases our exposure to dangerous and costly accidents.</w:t>
      </w:r>
    </w:p>
    <w:p>
      <w:pPr>
        <w:spacing w:after="0" w:line="239" w:lineRule="exact"/>
        <w:rPr>
          <w:sz w:val="20"/>
          <w:szCs w:val="20"/>
          <w:color w:val="auto"/>
        </w:rPr>
      </w:pPr>
    </w:p>
    <w:p>
      <w:pPr>
        <w:ind w:right="100" w:firstLine="360"/>
        <w:spacing w:after="0" w:line="245" w:lineRule="auto"/>
        <w:rPr>
          <w:sz w:val="20"/>
          <w:szCs w:val="20"/>
          <w:color w:val="auto"/>
        </w:rPr>
      </w:pPr>
      <w:r>
        <w:rPr>
          <w:rFonts w:ascii="Times New Roman" w:cs="Times New Roman" w:eastAsia="Times New Roman" w:hAnsi="Times New Roman"/>
          <w:sz w:val="20"/>
          <w:szCs w:val="20"/>
          <w:color w:val="auto"/>
        </w:rPr>
        <w:t>Our research and development activities involve the use of biological materials and small amounts of hazardous chemicals. The company has internal policies and procedures for the safe handling and disposal of these materials, in full compliance with applicable laws and regulations, including applicable OSHA, EPA, state and local regulations, and utilizing EPA licensed disposal companies and facilities. Although we believe we have reduced our risk and impacts from these materials through our safety procedures, we cannot completely eliminate the risk of accidental contamination or injury from these materials. The ongoing cost of complying with environmental laws and regulations is significant and may increase in the future. All risks of environmental damage inherent to our operations cannot be mitigated and failure to comply with applicable government regulations could result in the imposition of fines, restrictions, or increased operational costs, which could impact our ability to carry on with our operations.</w:t>
      </w:r>
    </w:p>
    <w:p>
      <w:pPr>
        <w:spacing w:after="0" w:line="20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the risk of product liability claims, which could exceed our insurance coverage, and product recalls, each of which could deplete our cash resources.</w:t>
      </w:r>
    </w:p>
    <w:p>
      <w:pPr>
        <w:spacing w:after="0" w:line="168"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 care providers or by individuals, organizations or companies selling our products.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780"/>
          </w:cols>
          <w:pgMar w:left="540" w:top="1349" w:right="560" w:bottom="0" w:gutter="0" w:footer="0" w:header="0"/>
          <w:type w:val="continuous"/>
        </w:sectPr>
      </w:pPr>
    </w:p>
    <w:bookmarkStart w:id="123" w:name="page124"/>
    <w:bookmarkEnd w:id="123"/>
    <w:p>
      <w:pPr>
        <w:ind w:right="460"/>
        <w:spacing w:after="0" w:line="278" w:lineRule="auto"/>
        <w:rPr>
          <w:sz w:val="20"/>
          <w:szCs w:val="20"/>
          <w:color w:val="auto"/>
        </w:rPr>
      </w:pPr>
      <w:r>
        <w:rPr>
          <w:rFonts w:ascii="Times New Roman" w:cs="Times New Roman" w:eastAsia="Times New Roman" w:hAnsi="Times New Roman"/>
          <w:sz w:val="20"/>
          <w:szCs w:val="20"/>
          <w:color w:val="auto"/>
        </w:rPr>
        <w:t>Product liability claims can be expensive to defend, even if the drug or drug candidate did not actually cause the alleged injury or harm.</w:t>
      </w:r>
    </w:p>
    <w:p>
      <w:pPr>
        <w:spacing w:after="0" w:line="168" w:lineRule="exact"/>
        <w:rPr>
          <w:sz w:val="20"/>
          <w:szCs w:val="20"/>
          <w:color w:val="auto"/>
        </w:rPr>
      </w:pPr>
    </w:p>
    <w:p>
      <w:pPr>
        <w:ind w:right="80" w:firstLine="360"/>
        <w:spacing w:after="0" w:line="244" w:lineRule="auto"/>
        <w:rPr>
          <w:sz w:val="20"/>
          <w:szCs w:val="20"/>
          <w:color w:val="auto"/>
        </w:rPr>
      </w:pPr>
      <w:r>
        <w:rPr>
          <w:rFonts w:ascii="Times New Roman" w:cs="Times New Roman" w:eastAsia="Times New Roman" w:hAnsi="Times New Roman"/>
          <w:sz w:val="20"/>
          <w:szCs w:val="20"/>
          <w:color w:val="auto"/>
        </w:rPr>
        <w:t>Insurance covering product liability claims becomes increasingly expensive as a drug candidate moves through the development pipeline to commercialization.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86"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20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86"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 We may also be unable to obtain patent term adjustments or extensions (or similar rights, such as Supplementary Protection Certificates, in foreign countries) at the relevant times, or the duration of any such adjustments, extensions or the like may be less than requested.</w:t>
      </w:r>
    </w:p>
    <w:p>
      <w:pPr>
        <w:spacing w:after="0" w:line="206" w:lineRule="exact"/>
        <w:rPr>
          <w:sz w:val="20"/>
          <w:szCs w:val="20"/>
          <w:color w:val="auto"/>
        </w:rPr>
      </w:pPr>
    </w:p>
    <w:p>
      <w:pPr>
        <w:ind w:right="100" w:firstLine="361"/>
        <w:spacing w:after="0" w:line="257" w:lineRule="auto"/>
        <w:rPr>
          <w:sz w:val="20"/>
          <w:szCs w:val="20"/>
          <w:color w:val="auto"/>
        </w:rPr>
      </w:pPr>
      <w:r>
        <w:rPr>
          <w:rFonts w:ascii="Times New Roman" w:cs="Times New Roman" w:eastAsia="Times New Roman" w:hAnsi="Times New Roman"/>
          <w:sz w:val="19"/>
          <w:szCs w:val="19"/>
          <w:color w:val="auto"/>
        </w:rPr>
        <w:t>Biotechnology patents involve complex legal, scientific and factual questions and are highly uncertain and may also result in different outcomes in different territories. In addition, changes in either the patent laws or interpretation of the patent laws in the United States and other territories may diminish the value of our patents or reduce the scope of our patent protection.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may potentially have them revoked or limit their scope, for example based on existing or newly identified prior art or other issues of validity.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and/or if inventorship were to be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1349" w:right="540" w:bottom="0" w:gutter="0" w:footer="0" w:header="0"/>
          <w:type w:val="continuous"/>
        </w:sectPr>
      </w:pPr>
    </w:p>
    <w:bookmarkStart w:id="124" w:name="page125"/>
    <w:bookmarkEnd w:id="124"/>
    <w:p>
      <w:pPr>
        <w:ind w:right="320"/>
        <w:spacing w:after="0" w:line="305" w:lineRule="auto"/>
        <w:rPr>
          <w:sz w:val="20"/>
          <w:szCs w:val="20"/>
          <w:color w:val="auto"/>
        </w:rPr>
      </w:pPr>
      <w:r>
        <w:rPr>
          <w:rFonts w:ascii="Times New Roman" w:cs="Times New Roman" w:eastAsia="Times New Roman" w:hAnsi="Times New Roman"/>
          <w:sz w:val="19"/>
          <w:szCs w:val="19"/>
          <w:color w:val="auto"/>
        </w:rPr>
        <w:t>decided against us (or our licensor) in any relevant litigation, our use of the underlying product or technology will face restrictions, including elimination, and our ability to defend and/or enforce any affected patent rights could also be materially harmed.</w:t>
      </w:r>
    </w:p>
    <w:p>
      <w:pPr>
        <w:spacing w:after="0" w:line="146"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9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need to license intellectual property from third parties, and such licenses may not be available or may not be available on commercially reasonable terms.</w:t>
      </w:r>
    </w:p>
    <w:p>
      <w:pPr>
        <w:spacing w:after="0" w:line="167" w:lineRule="exact"/>
        <w:rPr>
          <w:sz w:val="20"/>
          <w:szCs w:val="20"/>
          <w:color w:val="auto"/>
        </w:rPr>
      </w:pPr>
    </w:p>
    <w:p>
      <w:pPr>
        <w:ind w:right="320" w:firstLine="360"/>
        <w:spacing w:after="0" w:line="249" w:lineRule="auto"/>
        <w:rPr>
          <w:sz w:val="20"/>
          <w:szCs w:val="20"/>
          <w:color w:val="auto"/>
        </w:rPr>
      </w:pPr>
      <w:r>
        <w:rPr>
          <w:rFonts w:ascii="Times New Roman" w:cs="Times New Roman" w:eastAsia="Times New Roman" w:hAnsi="Times New Roman"/>
          <w:sz w:val="20"/>
          <w:szCs w:val="20"/>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protect the confidentiality of our trade secrets, thus harming our business and competitive position.</w:t>
      </w:r>
    </w:p>
    <w:p>
      <w:pPr>
        <w:spacing w:after="0" w:line="239" w:lineRule="exact"/>
        <w:rPr>
          <w:sz w:val="20"/>
          <w:szCs w:val="20"/>
          <w:color w:val="auto"/>
        </w:rPr>
      </w:pPr>
    </w:p>
    <w:p>
      <w:pPr>
        <w:jc w:val="both"/>
        <w:ind w:right="620" w:firstLine="360"/>
        <w:spacing w:after="0" w:line="249" w:lineRule="auto"/>
        <w:rPr>
          <w:sz w:val="20"/>
          <w:szCs w:val="20"/>
          <w:color w:val="auto"/>
        </w:rPr>
      </w:pPr>
      <w:r>
        <w:rPr>
          <w:rFonts w:ascii="Times New Roman" w:cs="Times New Roman" w:eastAsia="Times New Roman" w:hAnsi="Times New Roman"/>
          <w:sz w:val="20"/>
          <w:szCs w:val="20"/>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206" w:lineRule="exact"/>
        <w:rPr>
          <w:sz w:val="20"/>
          <w:szCs w:val="20"/>
          <w:color w:val="auto"/>
        </w:rPr>
      </w:pPr>
    </w:p>
    <w:p>
      <w:pPr>
        <w:ind w:right="10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which could be expensive, time- consuming and unsuccessful.</w:t>
      </w:r>
    </w:p>
    <w:p>
      <w:pPr>
        <w:spacing w:after="0" w:line="167" w:lineRule="exact"/>
        <w:rPr>
          <w:sz w:val="20"/>
          <w:szCs w:val="20"/>
          <w:color w:val="auto"/>
        </w:rPr>
      </w:pPr>
    </w:p>
    <w:p>
      <w:pPr>
        <w:ind w:right="100" w:firstLine="361"/>
        <w:spacing w:after="0" w:line="246" w:lineRule="auto"/>
        <w:rPr>
          <w:sz w:val="20"/>
          <w:szCs w:val="20"/>
          <w:color w:val="auto"/>
        </w:rPr>
      </w:pPr>
      <w:r>
        <w:rPr>
          <w:rFonts w:ascii="Times New Roman" w:cs="Times New Roman" w:eastAsia="Times New Roman" w:hAnsi="Times New Roman"/>
          <w:sz w:val="20"/>
          <w:szCs w:val="20"/>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8"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800"/>
          </w:cols>
          <w:pgMar w:left="540" w:top="1349" w:right="540" w:bottom="0" w:gutter="0" w:footer="0" w:header="0"/>
          <w:type w:val="continuous"/>
        </w:sectPr>
      </w:pPr>
    </w:p>
    <w:bookmarkStart w:id="125" w:name="page126"/>
    <w:bookmarkEnd w:id="125"/>
    <w:p>
      <w:pPr>
        <w:ind w:right="320"/>
        <w:spacing w:after="0" w:line="278" w:lineRule="auto"/>
        <w:rPr>
          <w:sz w:val="20"/>
          <w:szCs w:val="20"/>
          <w:color w:val="auto"/>
        </w:rPr>
      </w:pPr>
      <w:r>
        <w:rPr>
          <w:rFonts w:ascii="Times New Roman" w:cs="Times New Roman" w:eastAsia="Times New Roman" w:hAnsi="Times New Roman"/>
          <w:sz w:val="20"/>
          <w:szCs w:val="20"/>
          <w:color w:val="auto"/>
        </w:rPr>
        <w:t>liable for monetary damages. Claims that we have misappropriated the confidential information or trade secrets of third parties can have a similar negative impact on our business.</w:t>
      </w:r>
    </w:p>
    <w:p>
      <w:pPr>
        <w:spacing w:after="0" w:line="168"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or consultants have wrongfully used or disclosed confidential information or misappropriated trade secrets.</w:t>
      </w:r>
    </w:p>
    <w:p>
      <w:pPr>
        <w:spacing w:after="0" w:line="167"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Risks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orphan drug designation or exclusivity for our product candidates.</w:t>
      </w:r>
    </w:p>
    <w:p>
      <w:pPr>
        <w:spacing w:after="0" w:line="239" w:lineRule="exact"/>
        <w:rPr>
          <w:sz w:val="20"/>
          <w:szCs w:val="20"/>
          <w:color w:val="auto"/>
        </w:rPr>
      </w:pPr>
    </w:p>
    <w:p>
      <w:pPr>
        <w:ind w:right="300" w:firstLine="360"/>
        <w:spacing w:after="0" w:line="253" w:lineRule="auto"/>
        <w:rPr>
          <w:sz w:val="20"/>
          <w:szCs w:val="20"/>
          <w:color w:val="auto"/>
        </w:rPr>
      </w:pPr>
      <w:r>
        <w:rPr>
          <w:rFonts w:ascii="Times New Roman" w:cs="Times New Roman" w:eastAsia="Times New Roman" w:hAnsi="Times New Roman"/>
          <w:sz w:val="20"/>
          <w:szCs w:val="20"/>
          <w:color w:val="auto"/>
        </w:rPr>
        <w:t>We may seek orphan drug designation for some of our product candidates in the United States.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91" w:lineRule="exact"/>
        <w:rPr>
          <w:sz w:val="20"/>
          <w:szCs w:val="20"/>
          <w:color w:val="auto"/>
        </w:rPr>
      </w:pPr>
    </w:p>
    <w:p>
      <w:pPr>
        <w:ind w:right="80" w:firstLine="361"/>
        <w:spacing w:after="0" w:line="246" w:lineRule="auto"/>
        <w:rPr>
          <w:sz w:val="20"/>
          <w:szCs w:val="20"/>
          <w:color w:val="auto"/>
        </w:rPr>
      </w:pPr>
      <w:r>
        <w:rPr>
          <w:rFonts w:ascii="Times New Roman" w:cs="Times New Roman" w:eastAsia="Times New Roman" w:hAnsi="Times New Roman"/>
          <w:sz w:val="20"/>
          <w:szCs w:val="20"/>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indication for that drug during that time period.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201" w:lineRule="exact"/>
        <w:rPr>
          <w:sz w:val="20"/>
          <w:szCs w:val="20"/>
          <w:color w:val="auto"/>
        </w:rPr>
      </w:pPr>
    </w:p>
    <w:p>
      <w:pPr>
        <w:ind w:right="100" w:firstLine="361"/>
        <w:spacing w:after="0" w:line="246" w:lineRule="auto"/>
        <w:rPr>
          <w:sz w:val="20"/>
          <w:szCs w:val="20"/>
          <w:color w:val="auto"/>
        </w:rPr>
      </w:pPr>
      <w:r>
        <w:rPr>
          <w:rFonts w:ascii="Times New Roman" w:cs="Times New Roman" w:eastAsia="Times New Roman" w:hAnsi="Times New Roman"/>
          <w:sz w:val="20"/>
          <w:szCs w:val="20"/>
          <w:color w:val="auto"/>
        </w:rPr>
        <w:t>We cannot assure you that any future application for orphan drug designation with respect to any product candidate will be granted. If we are unable to obtain orphan drug designation in the United States, we will not be eligible to obtain the period of market exclusivity that could result from orphan drug designation or be afforded the financial incentives associated with orphan drug designation. 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Any fast track designation or grant of priority review status by the FDA may not actually lead to a faster development or regulatory review or approval process, nor will it assure FDA approval of our product candidates. Additionally, our product candidates may treat indications that do not qualify for priority review vouchers.</w:t>
      </w:r>
    </w:p>
    <w:p>
      <w:pPr>
        <w:spacing w:after="0" w:line="186"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We may seek fast track designation for some of our product candidates or priority review of applications for approval of our product candidates. If a drug is intended for the treatment of a serious or life- threatening condition and the drug demonstrates the potential to address unmet medical needs for this condition, the drug sponsor may apply for FDA fast track designation. If a product candidate offers major advances in treatment, the FDA may designate it eligible for priority review. The FDA has broad discretion whether or not to grant these designations, so even if we believe a particular product candidate is eligible for these designations, we cannot assure you that the FDA would decide to grant them. Even if we do receive fast track designation or priority review, we may not experience a faster development process, review or approval compared to conventional FDA procedures. The FDA may withdraw fast track designation if it believes that the designation is no longer supported by data from our clinical development program.</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780"/>
          </w:cols>
          <w:pgMar w:left="540" w:top="1349" w:right="560" w:bottom="0" w:gutter="0" w:footer="0" w:header="0"/>
          <w:type w:val="continuous"/>
        </w:sectPr>
      </w:pPr>
    </w:p>
    <w:bookmarkStart w:id="126" w:name="page127"/>
    <w:bookmarkEnd w:id="126"/>
    <w:p>
      <w:pPr>
        <w:jc w:val="both"/>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Any breakthrough therapy designation granted by the FDA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We may seek a breakthrough therapy designation for some of our product candidates. A breakthrough therapy is defined as a drug that is intended, alone or in combination with one or more other drugs, to treat a serious or life- 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 if the relevant criteria are met.</w:t>
      </w:r>
    </w:p>
    <w:p>
      <w:pPr>
        <w:spacing w:after="0" w:line="202"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0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67"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 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21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conducted and are conducting clinical trials outside the United States and anticipate conducting additional clinical trials outside the United States, and the FDA may not accept data from such trials.</w:t>
      </w:r>
    </w:p>
    <w:p>
      <w:pPr>
        <w:spacing w:after="0" w:line="167" w:lineRule="exact"/>
        <w:rPr>
          <w:sz w:val="20"/>
          <w:szCs w:val="20"/>
          <w:color w:val="auto"/>
        </w:rPr>
      </w:pPr>
    </w:p>
    <w:p>
      <w:pPr>
        <w:ind w:right="40" w:firstLine="361"/>
        <w:spacing w:after="0" w:line="258" w:lineRule="auto"/>
        <w:rPr>
          <w:sz w:val="20"/>
          <w:szCs w:val="20"/>
          <w:color w:val="auto"/>
        </w:rPr>
      </w:pPr>
      <w:r>
        <w:rPr>
          <w:rFonts w:ascii="Times New Roman" w:cs="Times New Roman" w:eastAsia="Times New Roman" w:hAnsi="Times New Roman"/>
          <w:sz w:val="19"/>
          <w:szCs w:val="19"/>
          <w:color w:val="auto"/>
        </w:rPr>
        <w:t>We are currently conducting clinical trials for our product candidates in countries outside of the United States and we anticipate that we will conduct additional clinical trials in countries outside the United States. Although the FDA may accept data from clinical trials conducted outside the United States, acceptance of such study data by the FDA is subject to certain conditions. For example, the clinical trial must be conducted in accordance with GCP requirements and the FDA must be able to validate the data from the clinical trial through an onsite inspection if it deems such inspection necessary. Where data from foreign clinical trials are intended to serve as the sole basis for marketing approval in the United States, the FDA will not approve the application on the basis of foreign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In addition, such clinical trials would be subject to the applicable local laws of the foreign jurisdictions where the clinical trials are conducted. A description of any studies related to overdosage is also required, including information on</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780"/>
          </w:cols>
          <w:pgMar w:left="540" w:top="1349" w:right="560" w:bottom="0" w:gutter="0" w:footer="0" w:header="0"/>
          <w:type w:val="continuous"/>
        </w:sectPr>
      </w:pPr>
    </w:p>
    <w:bookmarkStart w:id="127" w:name="page128"/>
    <w:bookmarkEnd w:id="127"/>
    <w:p>
      <w:pPr>
        <w:jc w:val="both"/>
        <w:ind w:right="220"/>
        <w:spacing w:after="0" w:line="259" w:lineRule="auto"/>
        <w:rPr>
          <w:sz w:val="20"/>
          <w:szCs w:val="20"/>
          <w:color w:val="auto"/>
        </w:rPr>
      </w:pPr>
      <w:r>
        <w:rPr>
          <w:rFonts w:ascii="Times New Roman" w:cs="Times New Roman" w:eastAsia="Times New Roman" w:hAnsi="Times New Roman"/>
          <w:sz w:val="20"/>
          <w:szCs w:val="20"/>
          <w:color w:val="auto"/>
        </w:rPr>
        <w:t>dialysis, antidotes, or other treatments, if known. There can be no assurance the FDA will accept data from clinical trials conducted outside of the United States. If the FDA does not accept any such data, it would likely result in the need for additional clinical trials, which would be costly and time-consuming and delay aspects of our development plan.</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Risks inherent in conducting international clinical trials include, but are not limited to:</w:t>
      </w:r>
    </w:p>
    <w:p>
      <w:pPr>
        <w:spacing w:after="0" w:line="254" w:lineRule="exact"/>
        <w:rPr>
          <w:sz w:val="20"/>
          <w:szCs w:val="20"/>
          <w:color w:val="auto"/>
        </w:rPr>
      </w:pPr>
    </w:p>
    <w:p>
      <w:pPr>
        <w:ind w:left="720" w:hanging="360"/>
        <w:spacing w:after="0"/>
        <w:tabs>
          <w:tab w:leader="none" w:pos="72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color w:val="auto"/>
        </w:rPr>
        <w:t>foreign regulatory requirements that could burden or limit our ability to conduct our clinical trials;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color w:val="auto"/>
        </w:rPr>
        <w:t>administrative burdens of conducting clinical trials under multiple foreign regulatory schema;</w:t>
      </w:r>
    </w:p>
    <w:p>
      <w:pPr>
        <w:spacing w:after="0" w:line="252" w:lineRule="exact"/>
        <w:rPr>
          <w:rFonts w:ascii="Arial" w:cs="Arial" w:eastAsia="Arial" w:hAnsi="Arial"/>
          <w:sz w:val="20"/>
          <w:szCs w:val="20"/>
          <w:color w:val="auto"/>
        </w:rPr>
      </w:pPr>
    </w:p>
    <w:p>
      <w:pPr>
        <w:ind w:left="720" w:right="180" w:hanging="360"/>
        <w:spacing w:after="0" w:line="277" w:lineRule="auto"/>
        <w:tabs>
          <w:tab w:leader="none" w:pos="72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fluctuations which could negatively impact our financial condition since certain payments are paid in local currencies;</w:t>
      </w:r>
    </w:p>
    <w:p>
      <w:pPr>
        <w:spacing w:after="0" w:line="183" w:lineRule="exact"/>
        <w:rPr>
          <w:rFonts w:ascii="Arial" w:cs="Arial" w:eastAsia="Arial" w:hAnsi="Arial"/>
          <w:sz w:val="20"/>
          <w:szCs w:val="20"/>
          <w:color w:val="auto"/>
        </w:rPr>
      </w:pPr>
    </w:p>
    <w:p>
      <w:pPr>
        <w:ind w:left="720" w:hanging="360"/>
        <w:spacing w:after="0"/>
        <w:tabs>
          <w:tab w:leader="none" w:pos="72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customs, shipment and storage requirements;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color w:val="auto"/>
        </w:rPr>
        <w:t>cultural differences in medical practice and clinical research;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98"/>
        </w:numPr>
        <w:rPr>
          <w:rFonts w:ascii="Arial" w:cs="Arial" w:eastAsia="Arial" w:hAnsi="Arial"/>
          <w:sz w:val="20"/>
          <w:szCs w:val="20"/>
          <w:color w:val="auto"/>
        </w:rPr>
      </w:pPr>
      <w:r>
        <w:rPr>
          <w:rFonts w:ascii="Times New Roman" w:cs="Times New Roman" w:eastAsia="Times New Roman" w:hAnsi="Times New Roman"/>
          <w:sz w:val="20"/>
          <w:szCs w:val="20"/>
          <w:color w:val="auto"/>
        </w:rPr>
        <w:t>diminished protection of intellectual property in some countries.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product candidate manufacturing or formulation may result in additional costs or delay.</w:t>
      </w:r>
    </w:p>
    <w:p>
      <w:pPr>
        <w:spacing w:after="0" w:line="239" w:lineRule="exact"/>
        <w:rPr>
          <w:sz w:val="20"/>
          <w:szCs w:val="20"/>
          <w:color w:val="auto"/>
        </w:rPr>
      </w:pPr>
    </w:p>
    <w:p>
      <w:pPr>
        <w:ind w:right="140" w:firstLine="361"/>
        <w:spacing w:after="0" w:line="244" w:lineRule="auto"/>
        <w:rPr>
          <w:sz w:val="20"/>
          <w:szCs w:val="20"/>
          <w:color w:val="auto"/>
        </w:rPr>
      </w:pPr>
      <w:r>
        <w:rPr>
          <w:rFonts w:ascii="Times New Roman" w:cs="Times New Roman" w:eastAsia="Times New Roman" w:hAnsi="Times New Roman"/>
          <w:sz w:val="20"/>
          <w:szCs w:val="20"/>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During the course of a development program, sponsors may also change the contract manufacturers used to produce the product candidates. Such changes carry the risk that they will not achieve these intended objectives. Any of these changes could cause our product candidates to perform differently and affect the results of clinical trials. Such changes may also require additional testing, notification or approval by the FDA, EMA or other regulatory authorities. This could delay completion of clinical trials; require the conduct of bridging clinical trials or studies, or the repetition of one or more clinical trials; increase clinical trial costs; delay or prevent approval of our product candidates and jeopardize our ability to commence product sales and generate revenue.</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88" w:lineRule="exact"/>
        <w:rPr>
          <w:sz w:val="20"/>
          <w:szCs w:val="20"/>
          <w:color w:val="auto"/>
        </w:rPr>
      </w:pPr>
    </w:p>
    <w:p>
      <w:pPr>
        <w:ind w:firstLine="362"/>
        <w:spacing w:after="0" w:line="242" w:lineRule="auto"/>
        <w:rPr>
          <w:sz w:val="20"/>
          <w:szCs w:val="20"/>
          <w:color w:val="auto"/>
        </w:rPr>
      </w:pPr>
      <w:r>
        <w:rPr>
          <w:rFonts w:ascii="Times New Roman" w:cs="Times New Roman" w:eastAsia="Times New Roman" w:hAnsi="Times New Roman"/>
          <w:sz w:val="20"/>
          <w:szCs w:val="20"/>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 -marketing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224" w:lineRule="exact"/>
        <w:rPr>
          <w:sz w:val="20"/>
          <w:szCs w:val="20"/>
          <w:color w:val="auto"/>
        </w:rPr>
      </w:pPr>
    </w:p>
    <w:p>
      <w:pPr>
        <w:ind w:left="720" w:hanging="362"/>
        <w:spacing w:after="0"/>
        <w:tabs>
          <w:tab w:leader="none" w:pos="720" w:val="left"/>
        </w:tabs>
        <w:numPr>
          <w:ilvl w:val="0"/>
          <w:numId w:val="99"/>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1349" w:right="540" w:bottom="0" w:gutter="0" w:footer="0" w:header="0"/>
          <w:type w:val="continuous"/>
        </w:sectPr>
      </w:pPr>
    </w:p>
    <w:bookmarkStart w:id="128" w:name="page129"/>
    <w:bookmarkEnd w:id="128"/>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civil or criminal penalties and fines;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consent decrees;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regulatory approval;</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of any ongoing clinical studies;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accept or approve applications for marketing approval of new drugs;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operations, including costly new manufacturing requirements; or</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0"/>
        </w:numPr>
        <w:rPr>
          <w:rFonts w:ascii="Arial" w:cs="Arial" w:eastAsia="Arial" w:hAnsi="Arial"/>
          <w:sz w:val="20"/>
          <w:szCs w:val="20"/>
          <w:color w:val="auto"/>
        </w:rPr>
      </w:pPr>
      <w:r>
        <w:rPr>
          <w:rFonts w:ascii="Times New Roman" w:cs="Times New Roman" w:eastAsia="Times New Roman" w:hAnsi="Times New Roman"/>
          <w:sz w:val="20"/>
          <w:szCs w:val="20"/>
          <w:color w:val="auto"/>
        </w:rPr>
        <w:t>seizure or detention of drugs or import bans.</w:t>
      </w:r>
    </w:p>
    <w:p>
      <w:pPr>
        <w:spacing w:after="0" w:line="238"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The regulatory requirements and policies may change and additional government regulations may be enacted with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directly or indirectly, to federal and state health care fraud and abuse laws, false claims laws, transparency and pricing laws and health information privacy and security laws. If we are unable to comply, or have not fully complied, with such laws, we could face substantial penalties.</w:t>
      </w:r>
    </w:p>
    <w:p>
      <w:pPr>
        <w:spacing w:after="0" w:line="186" w:lineRule="exact"/>
        <w:rPr>
          <w:sz w:val="20"/>
          <w:szCs w:val="20"/>
          <w:color w:val="auto"/>
        </w:rPr>
      </w:pPr>
    </w:p>
    <w:p>
      <w:pPr>
        <w:ind w:firstLine="361"/>
        <w:spacing w:after="0" w:line="249" w:lineRule="auto"/>
        <w:rPr>
          <w:sz w:val="20"/>
          <w:szCs w:val="20"/>
          <w:color w:val="auto"/>
        </w:rPr>
      </w:pPr>
      <w:r>
        <w:rPr>
          <w:rFonts w:ascii="Times New Roman" w:cs="Times New Roman" w:eastAsia="Times New Roman" w:hAnsi="Times New Roman"/>
          <w:sz w:val="20"/>
          <w:szCs w:val="20"/>
          <w:color w:val="auto"/>
        </w:rPr>
        <w:t>If we obtain FDA approval for any of our drug candidates and begin commercializing those products in the United States, our operations will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12" w:lineRule="exact"/>
        <w:rPr>
          <w:sz w:val="20"/>
          <w:szCs w:val="20"/>
          <w:color w:val="auto"/>
        </w:rPr>
      </w:pPr>
    </w:p>
    <w:p>
      <w:pPr>
        <w:ind w:left="720" w:right="60" w:hanging="361"/>
        <w:spacing w:after="0" w:line="258" w:lineRule="auto"/>
        <w:tabs>
          <w:tab w:leader="none" w:pos="720" w:val="left"/>
        </w:tabs>
        <w:numPr>
          <w:ilvl w:val="0"/>
          <w:numId w:val="10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 care program, such as the Medicare and Medicaid programs;</w:t>
      </w:r>
    </w:p>
    <w:p>
      <w:pPr>
        <w:spacing w:after="0" w:line="201" w:lineRule="exact"/>
        <w:rPr>
          <w:rFonts w:ascii="Arial" w:cs="Arial" w:eastAsia="Arial" w:hAnsi="Arial"/>
          <w:sz w:val="20"/>
          <w:szCs w:val="20"/>
          <w:color w:val="auto"/>
        </w:rPr>
      </w:pPr>
    </w:p>
    <w:p>
      <w:pPr>
        <w:ind w:left="720" w:right="120" w:hanging="361"/>
        <w:spacing w:after="0" w:line="258" w:lineRule="auto"/>
        <w:tabs>
          <w:tab w:leader="none" w:pos="720" w:val="left"/>
        </w:tabs>
        <w:numPr>
          <w:ilvl w:val="0"/>
          <w:numId w:val="101"/>
        </w:numPr>
        <w:rPr>
          <w:rFonts w:ascii="Arial" w:cs="Arial" w:eastAsia="Arial" w:hAnsi="Arial"/>
          <w:sz w:val="20"/>
          <w:szCs w:val="20"/>
          <w:color w:val="auto"/>
        </w:rPr>
      </w:pPr>
      <w:r>
        <w:rPr>
          <w:rFonts w:ascii="Times New Roman" w:cs="Times New Roman" w:eastAsia="Times New Roman" w:hAnsi="Times New Roman"/>
          <w:sz w:val="20"/>
          <w:szCs w:val="20"/>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00" w:lineRule="exact"/>
        <w:rPr>
          <w:rFonts w:ascii="Arial" w:cs="Arial" w:eastAsia="Arial" w:hAnsi="Arial"/>
          <w:sz w:val="20"/>
          <w:szCs w:val="20"/>
          <w:color w:val="auto"/>
        </w:rPr>
      </w:pPr>
    </w:p>
    <w:p>
      <w:pPr>
        <w:ind w:left="720" w:right="220" w:hanging="361"/>
        <w:spacing w:after="0" w:line="252" w:lineRule="auto"/>
        <w:tabs>
          <w:tab w:leader="none" w:pos="720" w:val="left"/>
        </w:tabs>
        <w:numPr>
          <w:ilvl w:val="0"/>
          <w:numId w:val="10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as amended by the Health Information Technology for Economic and Clinical Health Act of 2009, or HITECH, and its implementing regulations, which impose certain requirements relating to the privacy, security and availability of individually identifiable electronic health information;</w:t>
      </w:r>
    </w:p>
    <w:p>
      <w:pPr>
        <w:spacing w:after="0" w:line="208" w:lineRule="exact"/>
        <w:rPr>
          <w:rFonts w:ascii="Arial" w:cs="Arial" w:eastAsia="Arial" w:hAnsi="Arial"/>
          <w:sz w:val="20"/>
          <w:szCs w:val="20"/>
          <w:color w:val="auto"/>
        </w:rPr>
      </w:pPr>
    </w:p>
    <w:p>
      <w:pPr>
        <w:ind w:left="720" w:right="220" w:hanging="361"/>
        <w:spacing w:after="0" w:line="279" w:lineRule="auto"/>
        <w:tabs>
          <w:tab w:leader="none" w:pos="720" w:val="left"/>
        </w:tabs>
        <w:numPr>
          <w:ilvl w:val="0"/>
          <w:numId w:val="101"/>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transparency requirements under the Patient Protection and Affordable Care Act of 2010 (“ACA”)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81" w:lineRule="exact"/>
        <w:rPr>
          <w:rFonts w:ascii="Arial" w:cs="Arial" w:eastAsia="Arial" w:hAnsi="Arial"/>
          <w:sz w:val="19"/>
          <w:szCs w:val="19"/>
          <w:color w:val="auto"/>
        </w:rPr>
      </w:pPr>
    </w:p>
    <w:p>
      <w:pPr>
        <w:ind w:left="720" w:right="60" w:hanging="361"/>
        <w:spacing w:after="0" w:line="252" w:lineRule="auto"/>
        <w:tabs>
          <w:tab w:leader="none" w:pos="720" w:val="left"/>
        </w:tabs>
        <w:numPr>
          <w:ilvl w:val="0"/>
          <w:numId w:val="101"/>
        </w:numPr>
        <w:rPr>
          <w:rFonts w:ascii="Arial" w:cs="Arial" w:eastAsia="Arial" w:hAnsi="Arial"/>
          <w:sz w:val="20"/>
          <w:szCs w:val="20"/>
          <w:color w:val="auto"/>
        </w:rPr>
      </w:pPr>
      <w:r>
        <w:rPr>
          <w:rFonts w:ascii="Times New Roman" w:cs="Times New Roman" w:eastAsia="Times New Roman" w:hAnsi="Times New Roman"/>
          <w:sz w:val="20"/>
          <w:szCs w:val="20"/>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and</w:t>
      </w:r>
    </w:p>
    <w:p>
      <w:pPr>
        <w:sectPr>
          <w:pgSz w:w="11880" w:h="15480" w:orient="portrait"/>
          <w:cols w:equalWidth="0" w:num="1">
            <w:col w:w="10780"/>
          </w:cols>
          <w:pgMar w:left="540" w:top="1365" w:right="56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780"/>
          </w:cols>
          <w:pgMar w:left="540" w:top="1365" w:right="560" w:bottom="0" w:gutter="0" w:footer="0" w:header="0"/>
          <w:type w:val="continuous"/>
        </w:sectPr>
      </w:pPr>
    </w:p>
    <w:bookmarkStart w:id="129" w:name="page130"/>
    <w:bookmarkEnd w:id="129"/>
    <w:p>
      <w:pPr>
        <w:ind w:left="720" w:right="140" w:hanging="360"/>
        <w:spacing w:after="0" w:line="277" w:lineRule="auto"/>
        <w:tabs>
          <w:tab w:leader="none" w:pos="720" w:val="left"/>
        </w:tabs>
        <w:numPr>
          <w:ilvl w:val="0"/>
          <w:numId w:val="102"/>
        </w:numPr>
        <w:rPr>
          <w:rFonts w:ascii="Arial" w:cs="Arial" w:eastAsia="Arial" w:hAnsi="Arial"/>
          <w:sz w:val="20"/>
          <w:szCs w:val="20"/>
          <w:color w:val="auto"/>
        </w:rPr>
      </w:pPr>
      <w:r>
        <w:rPr>
          <w:rFonts w:ascii="Times New Roman" w:cs="Times New Roman" w:eastAsia="Times New Roman" w:hAnsi="Times New Roman"/>
          <w:sz w:val="20"/>
          <w:szCs w:val="20"/>
          <w:color w:val="auto"/>
        </w:rPr>
        <w:t>state and federal laws, such as the Physician Sunshine Act, directed at generating transparency on financial issues, including drug prices and payments made by drug companies to various entities and individuals involved in healthcare.</w:t>
      </w:r>
    </w:p>
    <w:p>
      <w:pPr>
        <w:spacing w:after="0" w:line="169"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exclusion from payment by federal health care programs,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9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86" w:lineRule="exact"/>
        <w:rPr>
          <w:sz w:val="20"/>
          <w:szCs w:val="20"/>
          <w:color w:val="auto"/>
        </w:rPr>
      </w:pPr>
    </w:p>
    <w:p>
      <w:pPr>
        <w:ind w:firstLine="362"/>
        <w:spacing w:after="0" w:line="242" w:lineRule="auto"/>
        <w:rPr>
          <w:sz w:val="20"/>
          <w:szCs w:val="20"/>
          <w:color w:val="auto"/>
        </w:rPr>
      </w:pPr>
      <w:r>
        <w:rPr>
          <w:rFonts w:ascii="Times New Roman" w:cs="Times New Roman" w:eastAsia="Times New Roman" w:hAnsi="Times New Roman"/>
          <w:sz w:val="20"/>
          <w:szCs w:val="20"/>
          <w:color w:val="auto"/>
        </w:rPr>
        <w:t>We are subject to various domestic and international privacy and security regulations related to personal information, including health information, that are applicable to our business and associated data processing activities. The confidentiality, collection, use and disclosure of personal data, including clinical trial patient-specific information, are subject to governmental regulation generally in the country that the personal data was collected or used. In the United States, we are subject to various state and federal privacy and data security regulations, including but not limited to HIPAA and as amended by the HITECH Act. HIPAA imposes specified requirements relating to the privacy, security and availability of individually identifiable electronic health information, and mandates, among other things, the adoption of uniform standards for the electronic exchange of information in common health care transactions, as well as standards relating to the privacy and security of personal health information, which require the adoption of administrative, physical and technical safeguards to protect such information. We may also be subject to state security breach notification laws, state laws protecting the privacy and security of health and personal information, and federal and state consumer protections laws which regulate the collection, use, disclosure and transmission of personal information. These laws may overlap and conflict with each other, and each of these laws is subject to varying interpretations by courts and government agencies, creating complex compliance issues for us.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We are also subject to the EU General Data Protection Regulation 2016/679 (“GDPR”). Violations of the GDPR can carry hefty fines. In addition, we may be subject to additional national laws and regulations that govern the privacy and security of health information in certain circumstances, many of which differ from each other in significant ways, thus complicating compliance efforts. If we fail to comply with applicable data protection laws and regulations, we could be subject to penalties or sanctions, including criminal penalties. Furthermore, the legislative and regulatory landscape for privacy and data protection continues to evolve, and there has been an increasing amount of focus on privacy and data protection issues.</w:t>
      </w:r>
    </w:p>
    <w:p>
      <w:pPr>
        <w:spacing w:after="0" w:line="203"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Compliance with these laws may be time-consuming,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Capital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history of losses and uncertainty of future profitability make our common stock a highly speculative investment.</w:t>
      </w:r>
    </w:p>
    <w:p>
      <w:pPr>
        <w:spacing w:after="0" w:line="240"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We have had no commercial revenue to date from sales of our drug candidates. We had an accumulated deficit of $1.8 billion as of December 31, 2025. We expect to spend substantial funds to continue the research and development testing of our drug candidates.</w:t>
      </w:r>
    </w:p>
    <w:p>
      <w:pPr>
        <w:spacing w:after="0" w:line="167" w:lineRule="exact"/>
        <w:rPr>
          <w:sz w:val="20"/>
          <w:szCs w:val="20"/>
          <w:color w:val="auto"/>
        </w:rPr>
      </w:pPr>
    </w:p>
    <w:p>
      <w:pPr>
        <w:ind w:right="320" w:firstLine="360"/>
        <w:spacing w:after="0" w:line="252" w:lineRule="auto"/>
        <w:rPr>
          <w:sz w:val="20"/>
          <w:szCs w:val="20"/>
          <w:color w:val="auto"/>
        </w:rPr>
      </w:pPr>
      <w:r>
        <w:rPr>
          <w:rFonts w:ascii="Times New Roman" w:cs="Times New Roman" w:eastAsia="Times New Roman" w:hAnsi="Times New Roman"/>
          <w:sz w:val="20"/>
          <w:szCs w:val="20"/>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9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ectPr>
          <w:pgSz w:w="11880" w:h="15480" w:orient="portrait"/>
          <w:cols w:equalWidth="0" w:num="1">
            <w:col w:w="10800"/>
          </w:cols>
          <w:pgMar w:left="540" w:top="13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1364" w:right="540" w:bottom="0" w:gutter="0" w:footer="0" w:header="0"/>
          <w:type w:val="continuous"/>
        </w:sectPr>
      </w:pPr>
    </w:p>
    <w:bookmarkStart w:id="130" w:name="page131"/>
    <w:bookmarkEnd w:id="130"/>
    <w:p>
      <w:pPr>
        <w:ind w:left="2"/>
        <w:spacing w:after="0"/>
        <w:rPr>
          <w:sz w:val="20"/>
          <w:szCs w:val="20"/>
          <w:color w:val="auto"/>
        </w:rPr>
      </w:pPr>
      <w:r>
        <w:rPr>
          <w:rFonts w:ascii="Times New Roman" w:cs="Times New Roman" w:eastAsia="Times New Roman" w:hAnsi="Times New Roman"/>
          <w:sz w:val="20"/>
          <w:szCs w:val="20"/>
          <w:b w:val="1"/>
          <w:bCs w:val="1"/>
          <w:i w:val="1"/>
          <w:iCs w:val="1"/>
          <w:color w:val="auto"/>
        </w:rPr>
        <w:t>Our share price has been and could remain volatile.</w:t>
      </w:r>
    </w:p>
    <w:p>
      <w:pPr>
        <w:spacing w:after="0" w:line="239" w:lineRule="exact"/>
        <w:rPr>
          <w:sz w:val="20"/>
          <w:szCs w:val="20"/>
          <w:color w:val="auto"/>
        </w:rPr>
      </w:pPr>
    </w:p>
    <w:p>
      <w:pPr>
        <w:ind w:left="2" w:right="60" w:firstLine="361"/>
        <w:spacing w:after="0" w:line="243" w:lineRule="auto"/>
        <w:rPr>
          <w:sz w:val="20"/>
          <w:szCs w:val="20"/>
          <w:color w:val="auto"/>
        </w:rPr>
      </w:pPr>
      <w:r>
        <w:rPr>
          <w:rFonts w:ascii="Times New Roman" w:cs="Times New Roman" w:eastAsia="Times New Roman" w:hAnsi="Times New Roman"/>
          <w:sz w:val="20"/>
          <w:szCs w:val="20"/>
          <w:color w:val="auto"/>
        </w:rPr>
        <w:t>The market price of our common stock has historically experienced and may continue to experience significant volatility. From January 2024 through December 2025, the market price of our common stock has fluctuated from a high of $53.18 per share in the first quarter of 2024, to a low of $14.40 per share in the second quarter of 2025.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203" w:lineRule="exact"/>
        <w:rPr>
          <w:sz w:val="20"/>
          <w:szCs w:val="20"/>
          <w:color w:val="auto"/>
        </w:rPr>
      </w:pPr>
    </w:p>
    <w:p>
      <w:pPr>
        <w:ind w:left="2"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will be subject to limitation and, under certain circumstances, may be eliminated.</w:t>
      </w:r>
    </w:p>
    <w:p>
      <w:pPr>
        <w:spacing w:after="0" w:line="168" w:lineRule="exact"/>
        <w:rPr>
          <w:sz w:val="20"/>
          <w:szCs w:val="20"/>
          <w:color w:val="auto"/>
        </w:rPr>
      </w:pPr>
    </w:p>
    <w:p>
      <w:pPr>
        <w:ind w:left="2" w:right="40" w:firstLine="361"/>
        <w:spacing w:after="0" w:line="246" w:lineRule="auto"/>
        <w:rPr>
          <w:sz w:val="20"/>
          <w:szCs w:val="20"/>
          <w:color w:val="auto"/>
        </w:rPr>
      </w:pPr>
      <w:r>
        <w:rPr>
          <w:rFonts w:ascii="Times New Roman" w:cs="Times New Roman" w:eastAsia="Times New Roman" w:hAnsi="Times New Roman"/>
          <w:sz w:val="20"/>
          <w:szCs w:val="20"/>
          <w:color w:val="auto"/>
        </w:rPr>
        <w:t>As of December 31, 2025, we had net operating loss carryforwards, or NOLs, of approximately $842.9 million for federal income tax purposes, and $1.0 billion for state income tax purposes. Utilization of these NOLs depends on many factors, including our future income, which cannot be assured. In addition, 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99" w:lineRule="exact"/>
        <w:rPr>
          <w:sz w:val="20"/>
          <w:szCs w:val="20"/>
          <w:color w:val="auto"/>
        </w:rPr>
      </w:pPr>
    </w:p>
    <w:p>
      <w:pPr>
        <w:ind w:left="2" w:right="180" w:firstLine="360"/>
        <w:spacing w:after="0" w:line="249" w:lineRule="auto"/>
        <w:rPr>
          <w:sz w:val="20"/>
          <w:szCs w:val="20"/>
          <w:color w:val="auto"/>
        </w:rPr>
      </w:pPr>
      <w:r>
        <w:rPr>
          <w:rFonts w:ascii="Times New Roman" w:cs="Times New Roman" w:eastAsia="Times New Roman" w:hAnsi="Times New Roman"/>
          <w:sz w:val="20"/>
          <w:szCs w:val="20"/>
          <w:color w:val="auto"/>
        </w:rPr>
        <w:t>In October 2007, June 2009, December 2009, December 2013, November 2016 and June 2020, we experienced a change in ownership as defined by Section 382. Historically, we have raised capital through the issuance of capital stock on several occasions which, combined with shareholders’ subsequent disposition of those shares, has resulted in changes of control, as defined by Section</w:t>
      </w:r>
    </w:p>
    <w:p>
      <w:pPr>
        <w:spacing w:after="0" w:line="2" w:lineRule="exact"/>
        <w:rPr>
          <w:sz w:val="20"/>
          <w:szCs w:val="20"/>
          <w:color w:val="auto"/>
        </w:rPr>
      </w:pPr>
    </w:p>
    <w:p>
      <w:pPr>
        <w:ind w:left="2" w:right="200"/>
        <w:spacing w:after="0"/>
        <w:rPr>
          <w:sz w:val="20"/>
          <w:szCs w:val="20"/>
          <w:color w:val="auto"/>
        </w:rPr>
      </w:pPr>
      <w:r>
        <w:rPr>
          <w:rFonts w:ascii="Times New Roman" w:cs="Times New Roman" w:eastAsia="Times New Roman" w:hAnsi="Times New Roman"/>
          <w:sz w:val="20"/>
          <w:szCs w:val="20"/>
          <w:color w:val="auto"/>
        </w:rPr>
        <w:t>382. As a result of these ownership changes, utilization of at least some of our federal NOL carryforwards is subject to an annual limitation. We have not undertaken a study to assess whether an ownership change or multiple ownership changes have occurred for</w:t>
      </w:r>
    </w:p>
    <w:p>
      <w:pPr>
        <w:ind w:left="2" w:right="380" w:hanging="2"/>
        <w:spacing w:after="0" w:line="243" w:lineRule="auto"/>
        <w:tabs>
          <w:tab w:leader="none" w:pos="24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acquired businesses with NOLs prior to being acquired by the Company, (ii) the Company on the state level, (iii) the Company since June 2024 or (iv) research and development credits. If, based on such a study, we were to determine that there has been an ownership change at any time, utilization of net operating loss or tax credit carryforwards would be subject to an annual limitation under Section 382 (or similar state provisions).</w:t>
      </w:r>
    </w:p>
    <w:p>
      <w:pPr>
        <w:spacing w:after="0" w:line="200" w:lineRule="exact"/>
        <w:rPr>
          <w:sz w:val="20"/>
          <w:szCs w:val="20"/>
          <w:color w:val="auto"/>
        </w:rPr>
      </w:pPr>
    </w:p>
    <w:p>
      <w:pPr>
        <w:ind w:left="2" w:firstLine="361"/>
        <w:spacing w:after="0" w:line="249" w:lineRule="auto"/>
        <w:rPr>
          <w:sz w:val="20"/>
          <w:szCs w:val="20"/>
          <w:color w:val="auto"/>
        </w:rPr>
      </w:pPr>
      <w:r>
        <w:rPr>
          <w:rFonts w:ascii="Times New Roman" w:cs="Times New Roman" w:eastAsia="Times New Roman" w:hAnsi="Times New Roman"/>
          <w:sz w:val="20"/>
          <w:szCs w:val="20"/>
          <w:color w:val="auto"/>
        </w:rPr>
        <w:t>Any unused annual limitation may be carried over to later years, and the amount of the limitation may, under certain circumstances, be subject to adjustment if the fair value of our net assets is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97" w:lineRule="exact"/>
        <w:rPr>
          <w:sz w:val="20"/>
          <w:szCs w:val="20"/>
          <w:color w:val="auto"/>
        </w:rPr>
      </w:pPr>
    </w:p>
    <w:p>
      <w:pPr>
        <w:ind w:left="2" w:right="400" w:firstLine="360"/>
        <w:spacing w:after="0" w:line="278" w:lineRule="auto"/>
        <w:rPr>
          <w:sz w:val="20"/>
          <w:szCs w:val="20"/>
          <w:color w:val="auto"/>
        </w:rPr>
      </w:pPr>
      <w:r>
        <w:rPr>
          <w:rFonts w:ascii="Times New Roman" w:cs="Times New Roman" w:eastAsia="Times New Roman" w:hAnsi="Times New Roman"/>
          <w:sz w:val="20"/>
          <w:szCs w:val="20"/>
          <w:color w:val="auto"/>
        </w:rPr>
        <w:t>Refer to Note 16, “Income Taxes,” in the accompanying notes to the financial statements for additional discussion on income taxes.</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3" w:lineRule="exact"/>
        <w:rPr>
          <w:sz w:val="20"/>
          <w:szCs w:val="20"/>
          <w:color w:val="auto"/>
        </w:rPr>
      </w:pPr>
    </w:p>
    <w:p>
      <w:pPr>
        <w:ind w:left="2"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6" w:lineRule="exact"/>
        <w:rPr>
          <w:sz w:val="20"/>
          <w:szCs w:val="20"/>
          <w:color w:val="auto"/>
        </w:rPr>
      </w:pPr>
    </w:p>
    <w:p>
      <w:pPr>
        <w:ind w:left="2" w:right="220" w:firstLine="360"/>
        <w:spacing w:after="0" w:line="279" w:lineRule="auto"/>
        <w:rPr>
          <w:sz w:val="20"/>
          <w:szCs w:val="20"/>
          <w:color w:val="auto"/>
        </w:rPr>
      </w:pPr>
      <w:r>
        <w:rPr>
          <w:rFonts w:ascii="Times New Roman" w:cs="Times New Roman" w:eastAsia="Times New Roman" w:hAnsi="Times New Roman"/>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or improved controls, or difficulties encountered in their implementation, could cause us to fail to meet our reporting obligations. We have designed,</w:t>
      </w:r>
    </w:p>
    <w:p>
      <w:pPr>
        <w:sectPr>
          <w:pgSz w:w="11880" w:h="15480" w:orient="portrait"/>
          <w:cols w:equalWidth="0" w:num="1">
            <w:col w:w="10802"/>
          </w:cols>
          <w:pgMar w:left="538" w:top="1351" w:right="54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2"/>
          </w:cols>
          <w:pgMar w:left="538" w:top="1351" w:right="540" w:bottom="0" w:gutter="0" w:footer="0" w:header="0"/>
          <w:type w:val="continuous"/>
        </w:sectPr>
      </w:pPr>
    </w:p>
    <w:bookmarkStart w:id="131" w:name="page132"/>
    <w:bookmarkEnd w:id="131"/>
    <w:p>
      <w:pPr>
        <w:ind w:firstLine="1"/>
        <w:spacing w:after="0" w:line="244" w:lineRule="auto"/>
        <w:rPr>
          <w:sz w:val="20"/>
          <w:szCs w:val="20"/>
          <w:color w:val="auto"/>
        </w:rPr>
      </w:pPr>
      <w:r>
        <w:rPr>
          <w:rFonts w:ascii="Times New Roman" w:cs="Times New Roman" w:eastAsia="Times New Roman" w:hAnsi="Times New Roman"/>
          <w:sz w:val="20"/>
          <w:szCs w:val="20"/>
          <w:color w:val="auto"/>
        </w:rPr>
        <w:t>implemented and tested the internal control over financial reporting required to comply with this obligation, which was and is time consuming, costly, and complicated.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many competitors in our field, and they may develop technologies that make ours obsolete.</w:t>
      </w:r>
    </w:p>
    <w:p>
      <w:pPr>
        <w:spacing w:after="0" w:line="239" w:lineRule="exact"/>
        <w:rPr>
          <w:sz w:val="20"/>
          <w:szCs w:val="20"/>
          <w:color w:val="auto"/>
        </w:rPr>
      </w:pPr>
    </w:p>
    <w:p>
      <w:pPr>
        <w:ind w:right="160" w:firstLine="360"/>
        <w:spacing w:after="0" w:line="252" w:lineRule="auto"/>
        <w:rPr>
          <w:sz w:val="20"/>
          <w:szCs w:val="20"/>
          <w:color w:val="auto"/>
        </w:rPr>
      </w:pPr>
      <w:r>
        <w:rPr>
          <w:rFonts w:ascii="Times New Roman" w:cs="Times New Roman" w:eastAsia="Times New Roman" w:hAnsi="Times New Roman"/>
          <w:sz w:val="20"/>
          <w:szCs w:val="20"/>
          <w:color w:val="auto"/>
        </w:rPr>
        <w:t>Biotechnology, pharmaceuticals and therapeutics are rapidly evolving fields in which scientific and technological developments are expected to continue at a rapid pace. We have many competitors in the U.S. and abroad. The following table is a summary of the competitors of which we are aware that have initiated a Phase 3 study or have obtained marketing approval for a potentially competitive drug to barzolvolimab for treatment of CSU, CIndU, PN and AD.</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5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Competitor</w:t>
            </w:r>
          </w:p>
        </w:tc>
        <w:tc>
          <w:tcPr>
            <w:tcW w:w="220" w:type="dxa"/>
            <w:vAlign w:val="bottom"/>
          </w:tcPr>
          <w:p>
            <w:pPr>
              <w:spacing w:after="0"/>
              <w:rPr>
                <w:sz w:val="17"/>
                <w:szCs w:val="17"/>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Competitor Product</w:t>
            </w:r>
          </w:p>
        </w:tc>
        <w:tc>
          <w:tcPr>
            <w:tcW w:w="200" w:type="dxa"/>
            <w:vAlign w:val="bottom"/>
          </w:tcPr>
          <w:p>
            <w:pPr>
              <w:spacing w:after="0"/>
              <w:rPr>
                <w:sz w:val="17"/>
                <w:szCs w:val="17"/>
                <w:color w:val="auto"/>
              </w:rPr>
            </w:pPr>
          </w:p>
        </w:tc>
        <w:tc>
          <w:tcPr>
            <w:tcW w:w="21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Indication(s)</w:t>
            </w:r>
          </w:p>
        </w:tc>
      </w:tr>
      <w:tr>
        <w:trPr>
          <w:trHeight w:val="201"/>
        </w:trPr>
        <w:tc>
          <w:tcPr>
            <w:tcW w:w="256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Abbvie</w:t>
            </w:r>
          </w:p>
        </w:tc>
        <w:tc>
          <w:tcPr>
            <w:tcW w:w="2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Rinvoq</w:t>
            </w:r>
          </w:p>
        </w:tc>
        <w:tc>
          <w:tcPr>
            <w:tcW w:w="20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AD</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Akeso Bio</w:t>
            </w: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AKT120</w:t>
            </w: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AD</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Amgen/Kiowa Kirin</w:t>
            </w:r>
          </w:p>
        </w:tc>
        <w:tc>
          <w:tcPr>
            <w:tcW w:w="2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Rocatinlimab</w:t>
            </w:r>
          </w:p>
        </w:tc>
        <w:tc>
          <w:tcPr>
            <w:tcW w:w="2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 and PN</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Celltrion</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CT-P39, omalizumab biosimilar</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Eli Lilly</w:t>
            </w:r>
          </w:p>
        </w:tc>
        <w:tc>
          <w:tcPr>
            <w:tcW w:w="2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Olumiant and Ebglyss</w:t>
            </w:r>
          </w:p>
        </w:tc>
        <w:tc>
          <w:tcPr>
            <w:tcW w:w="2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Galderma/Chugai</w:t>
            </w: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Nemluvio</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PN and AD</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Genentech/Novartis</w:t>
            </w: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Xolair</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Incyte</w:t>
            </w:r>
          </w:p>
        </w:tc>
        <w:tc>
          <w:tcPr>
            <w:tcW w:w="2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Povorcitinib</w:t>
            </w:r>
          </w:p>
        </w:tc>
        <w:tc>
          <w:tcPr>
            <w:tcW w:w="2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PN</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Kashiv Biosciences</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ADL-018 omalizumab biosimilar</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Leo Pharma</w:t>
            </w: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Adbry</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Medimetriks</w:t>
            </w:r>
          </w:p>
        </w:tc>
        <w:tc>
          <w:tcPr>
            <w:tcW w:w="2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Difamilast</w:t>
            </w:r>
          </w:p>
        </w:tc>
        <w:tc>
          <w:tcPr>
            <w:tcW w:w="2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Novartis</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Remibrutinib</w:t>
            </w: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CSU and CIndU</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Pfizer</w:t>
            </w: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Cibinqo</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2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Regeneron/Sanofi</w:t>
            </w:r>
          </w:p>
        </w:tc>
        <w:tc>
          <w:tcPr>
            <w:tcW w:w="2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Dupixent</w:t>
            </w:r>
          </w:p>
        </w:tc>
        <w:tc>
          <w:tcPr>
            <w:tcW w:w="2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CSU, PN, and AD</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Sanofi</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Amlitelimab</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r>
        <w:trPr>
          <w:trHeight w:val="23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Teva</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Tev-45779, omalizumab biosimilar</w:t>
            </w: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CSU</w:t>
            </w:r>
          </w:p>
        </w:tc>
      </w:tr>
      <w:tr>
        <w:trPr>
          <w:trHeight w:val="267"/>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Vanda Pharmaceuticals</w:t>
            </w:r>
          </w:p>
        </w:tc>
        <w:tc>
          <w:tcPr>
            <w:tcW w:w="22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Tradipitant</w:t>
            </w:r>
          </w:p>
        </w:tc>
        <w:tc>
          <w:tcPr>
            <w:tcW w:w="200" w:type="dxa"/>
            <w:vAlign w:val="bottom"/>
          </w:tcPr>
          <w:p>
            <w:pPr>
              <w:spacing w:after="0"/>
              <w:rPr>
                <w:sz w:val="23"/>
                <w:szCs w:val="23"/>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r>
    </w:tbl>
    <w:p>
      <w:pPr>
        <w:spacing w:after="0" w:line="193" w:lineRule="exact"/>
        <w:rPr>
          <w:sz w:val="20"/>
          <w:szCs w:val="20"/>
          <w:color w:val="auto"/>
        </w:rPr>
      </w:pPr>
    </w:p>
    <w:p>
      <w:pPr>
        <w:jc w:val="both"/>
        <w:ind w:right="100" w:firstLine="360"/>
        <w:spacing w:after="0" w:line="279" w:lineRule="auto"/>
        <w:rPr>
          <w:sz w:val="20"/>
          <w:szCs w:val="20"/>
          <w:color w:val="auto"/>
        </w:rPr>
      </w:pPr>
      <w:r>
        <w:rPr>
          <w:rFonts w:ascii="Times New Roman" w:cs="Times New Roman" w:eastAsia="Times New Roman" w:hAnsi="Times New Roman"/>
          <w:sz w:val="19"/>
          <w:szCs w:val="19"/>
          <w:color w:val="auto"/>
        </w:rPr>
        <w:t>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3" w:lineRule="exact"/>
        <w:rPr>
          <w:sz w:val="20"/>
          <w:szCs w:val="20"/>
          <w:color w:val="auto"/>
        </w:rPr>
      </w:pPr>
    </w:p>
    <w:p>
      <w:pPr>
        <w:ind w:left="720" w:hanging="360"/>
        <w:spacing w:after="0"/>
        <w:tabs>
          <w:tab w:leader="none" w:pos="72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develop technologies and products that are more effective than ours, making ours obsolete or otherwise noncompetitive;</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obtain regulatory approval for products more rapidly or effectively than us; and</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104"/>
        </w:numPr>
        <w:rPr>
          <w:rFonts w:ascii="Arial" w:cs="Arial" w:eastAsia="Arial" w:hAnsi="Arial"/>
          <w:sz w:val="20"/>
          <w:szCs w:val="20"/>
          <w:color w:val="auto"/>
        </w:rPr>
      </w:pPr>
      <w:r>
        <w:rPr>
          <w:rFonts w:ascii="Times New Roman" w:cs="Times New Roman" w:eastAsia="Times New Roman" w:hAnsi="Times New Roman"/>
          <w:sz w:val="20"/>
          <w:szCs w:val="20"/>
          <w:color w:val="auto"/>
        </w:rPr>
        <w:t>obtain patent protection or other intellectual property rights that would block our ability to develop competitive products.</w:t>
      </w:r>
    </w:p>
    <w:p>
      <w:pPr>
        <w:spacing w:after="0" w:line="23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natural disasters or other unforeseen events and our business continuity and disaster recovery plans may not adequately protect us from a serious disaster.</w:t>
      </w:r>
    </w:p>
    <w:p>
      <w:pPr>
        <w:spacing w:after="0" w:line="167"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Any unplanned event, such as flood, fire, explosion, earthquake, extreme weather condition, power shortage, telecommunication failure or other natural or manmade accidents or incidents that result in us being unable to fully utilize our facilities, or the manufacturing facilities of our third-party CDMOs, could severely disrupt our operations and have a material adverse effect on our business, results of operations, financial condition and prospects. For example, our operations are located primarily on the east coast of the United States, and any adverse weather event or natural disaster, such as a hurricane or heavy snowstorm, could have a material adverse effect on a substantial portion of our operations. If any event occurred that prevented us from using all or a significant portion</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760"/>
          </w:cols>
          <w:pgMar w:left="540" w:top="1349" w:right="580" w:bottom="0" w:gutter="0" w:footer="0" w:header="0"/>
          <w:type w:val="continuous"/>
        </w:sectPr>
      </w:pPr>
    </w:p>
    <w:bookmarkStart w:id="132" w:name="page133"/>
    <w:bookmarkEnd w:id="132"/>
    <w:p>
      <w:pPr>
        <w:ind w:right="280"/>
        <w:spacing w:after="0" w:line="249" w:lineRule="auto"/>
        <w:rPr>
          <w:sz w:val="20"/>
          <w:szCs w:val="20"/>
          <w:color w:val="auto"/>
        </w:rPr>
      </w:pPr>
      <w:r>
        <w:rPr>
          <w:rFonts w:ascii="Times New Roman" w:cs="Times New Roman" w:eastAsia="Times New Roman" w:hAnsi="Times New Roman"/>
          <w:sz w:val="20"/>
          <w:szCs w:val="20"/>
          <w:color w:val="auto"/>
        </w:rPr>
        <w:t>of our manufacturing and lab facilities, damaged critical infrastructure, such as third-party manufacturing facilities, or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98"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health epidemics and outbreaks, which could significantly disrupt our preclinical studies and clinical trials.</w:t>
      </w:r>
    </w:p>
    <w:p>
      <w:pPr>
        <w:spacing w:after="0" w:line="167" w:lineRule="exact"/>
        <w:rPr>
          <w:sz w:val="20"/>
          <w:szCs w:val="20"/>
          <w:color w:val="auto"/>
        </w:rPr>
      </w:pPr>
    </w:p>
    <w:p>
      <w:pPr>
        <w:ind w:firstLine="360"/>
        <w:spacing w:after="0" w:line="243" w:lineRule="auto"/>
        <w:rPr>
          <w:sz w:val="20"/>
          <w:szCs w:val="20"/>
          <w:color w:val="auto"/>
        </w:rPr>
      </w:pPr>
      <w:r>
        <w:rPr>
          <w:rFonts w:ascii="Times New Roman" w:cs="Times New Roman" w:eastAsia="Times New Roman" w:hAnsi="Times New Roman"/>
          <w:sz w:val="20"/>
          <w:szCs w:val="20"/>
          <w:color w:val="auto"/>
        </w:rPr>
        <w:t>Disease outbreaks, epidemics and pandemics in regions where we have concentrations of clinical trial sites and other business operations, could adversely affect our business, including by causing significant disruptions in our operations and/or in the operations of manufacturers and CROs upon whom we rely. Disease outbreaks, epidemics and pandemics may have negative impacts on our ability to initiate new clinical trial sites, enroll new patients and maintain existing patients who are participating in clinical trials, which may result in increased clinical trial costs, longer timelines and delay in our ability to obtain regulatory approvals of our product candidates, if at all. For example, patient enrollment and recruitment could be delayed due to local clinical trial site protocols designed to protect staff and patients from certain outbreaks, which could delay the expected timelines for data readouts of our preclinical studies and clinical trials. Additionally, general supply chain issues may be exacerbated during disease outbreaks, epidemics or pandemics and may also impact the ability of our clinical trial sites to obtain basic medical supplies used in our trials in a timely fashion, if at all. Moreover, the extent to which disease outbreaks, epidemics and pandemics may impact our business, results of operations and financial position will depend on future developments, which are highly uncertain and cannot be predicted with confidence. New health epidemics or pandemics may emerge that result in similar or more severe disruptions to our business. A future disease outbreak, epidemic or pandemic adversely affects our business, financial condition, results of operations and growth prospects.</w:t>
      </w:r>
    </w:p>
    <w:p>
      <w:pPr>
        <w:spacing w:after="0" w:line="203"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The progression of an epidemic and the related effects on our business and operations are uncertain. A potential resurgence of an epidemic could pose the risk that we or our employees, suppliers, customers and others may be restricted or prevented from conducting business activities for indefinite or intermittent periods of time, including as a result of employee health and safety concerns, shutdowns, shelter in place orders, travel restrictions and other actions and restrictions that may be prudent or required by governmental authorities. This could disrupt our ability to operate our business, including producing drug product and administering our preclinical and clinical studies. In addition, fluctuations in demand and other implications associated with an epidemic could result in supply chain constraints and challenges.</w:t>
      </w:r>
    </w:p>
    <w:p>
      <w:pPr>
        <w:spacing w:after="0" w:line="201"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Disruptions in the global economy and supply chains may have a material adverse effect on our business, financial condition and results of operations.</w:t>
      </w:r>
    </w:p>
    <w:p>
      <w:pPr>
        <w:spacing w:after="0" w:line="167" w:lineRule="exact"/>
        <w:rPr>
          <w:sz w:val="20"/>
          <w:szCs w:val="20"/>
          <w:color w:val="auto"/>
        </w:rPr>
      </w:pPr>
    </w:p>
    <w:p>
      <w:pPr>
        <w:ind w:right="100" w:firstLine="361"/>
        <w:spacing w:after="0" w:line="247" w:lineRule="auto"/>
        <w:rPr>
          <w:sz w:val="20"/>
          <w:szCs w:val="20"/>
          <w:color w:val="auto"/>
        </w:rPr>
      </w:pPr>
      <w:r>
        <w:rPr>
          <w:rFonts w:ascii="Times New Roman" w:cs="Times New Roman" w:eastAsia="Times New Roman" w:hAnsi="Times New Roman"/>
          <w:sz w:val="20"/>
          <w:szCs w:val="20"/>
          <w:color w:val="auto"/>
        </w:rPr>
        <w:t>The disruptions to the global economy due to geopolitical events have impeded, and may continue to impede in the future, global supply chains, resulting in longer lead times and also increased critical component costs and freight expenses. We have taken steps to minimize the impact of these increased costs by working closely with our suppliers. Despite the actions we have undertaken to minimize the impacts from disruptions to the global economy, there can be no assurances that unforeseen future events in the global supply chain, and inflationary pressures, will not have a material adverse effect on our business, financial condition and results of operations.</w:t>
      </w:r>
    </w:p>
    <w:p>
      <w:pPr>
        <w:spacing w:after="0" w:line="200"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67"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The loss of any of our executive officers could harm us. We entered into employment agreements with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800"/>
          </w:cols>
          <w:pgMar w:left="540" w:top="1349" w:right="540" w:bottom="0" w:gutter="0" w:footer="0" w:header="0"/>
          <w:type w:val="continuous"/>
        </w:sectPr>
      </w:pPr>
    </w:p>
    <w:bookmarkStart w:id="133" w:name="page134"/>
    <w:bookmarkEnd w:id="133"/>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68" w:lineRule="exact"/>
        <w:rPr>
          <w:sz w:val="20"/>
          <w:szCs w:val="20"/>
          <w:color w:val="auto"/>
        </w:rPr>
      </w:pPr>
    </w:p>
    <w:p>
      <w:pPr>
        <w:ind w:right="20" w:firstLine="361"/>
        <w:spacing w:after="0" w:line="242"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 care fraud and abuse laws and regulations, report financial information or data accurately or disclose unauthorized activities to us. In particular, sales, marketing and business arrangements in the health 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and the investments we make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maintain compliance with the Listing Rules of the NASDAQ Stock Exchange.</w:t>
      </w:r>
    </w:p>
    <w:p>
      <w:pPr>
        <w:spacing w:after="0" w:line="239"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There can be no assurance that in the future we will be able to maintain compliance with the Nasdaq Listing Rules, including the minimum bid price requirement and other applicable corporate governance requirements. If we fail to maintain compliance with the minimum bid requirement or to meet the other applicable continued listing requirements for the NASDAQ Capital Market in the future and NASDAQ determines to delist our common stock, the delisting could adversely affect the market price and liquidity of our common stock and reduce our ability to raise additional capital. In addition, if our common stock is delisted from NASDAQ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2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regulatory framework for AI Technologies is rapidly evolving and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regulatory framework for AI Technologies is rapidly evolving as many federal, state, and foreign government bodies and</w:t>
      </w:r>
    </w:p>
    <w:p>
      <w:pPr>
        <w:spacing w:after="0" w:line="2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202"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06" w:lineRule="exact"/>
        <w:rPr>
          <w:sz w:val="20"/>
          <w:szCs w:val="20"/>
          <w:color w:val="auto"/>
        </w:rPr>
      </w:pPr>
    </w:p>
    <w:p>
      <w:pPr>
        <w:ind w:right="660" w:firstLine="360"/>
        <w:spacing w:after="0" w:line="305" w:lineRule="auto"/>
        <w:rPr>
          <w:sz w:val="20"/>
          <w:szCs w:val="20"/>
          <w:color w:val="auto"/>
        </w:rPr>
      </w:pPr>
      <w:r>
        <w:rPr>
          <w:rFonts w:ascii="Times New Roman" w:cs="Times New Roman" w:eastAsia="Times New Roman" w:hAnsi="Times New Roman"/>
          <w:sz w:val="19"/>
          <w:szCs w:val="19"/>
          <w:color w:val="auto"/>
        </w:rPr>
        <w:t>Although we work to comply with applicable laws, regulations and standards, our contractual obligations and other legal obligations, these requirements are evolving and may be modified, interpreted and applied in an inconsistent manner from one</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760"/>
          </w:cols>
          <w:pgMar w:left="540" w:top="1349" w:right="580" w:bottom="0" w:gutter="0" w:footer="0" w:header="0"/>
          <w:type w:val="continuous"/>
        </w:sectPr>
      </w:pPr>
    </w:p>
    <w:bookmarkStart w:id="134" w:name="page135"/>
    <w:bookmarkEnd w:id="134"/>
    <w:p>
      <w:pPr>
        <w:spacing w:after="0" w:line="253" w:lineRule="auto"/>
        <w:rPr>
          <w:sz w:val="20"/>
          <w:szCs w:val="20"/>
          <w:color w:val="auto"/>
        </w:rPr>
      </w:pPr>
      <w:r>
        <w:rPr>
          <w:rFonts w:ascii="Times New Roman" w:cs="Times New Roman" w:eastAsia="Times New Roman" w:hAnsi="Times New Roman"/>
          <w:sz w:val="20"/>
          <w:szCs w:val="20"/>
          <w:color w:val="auto"/>
        </w:rPr>
        <w:t>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Cybersecurity Risk Management and Strategy</w:t>
      </w:r>
    </w:p>
    <w:p>
      <w:pPr>
        <w:spacing w:after="0" w:line="238" w:lineRule="exact"/>
        <w:rPr>
          <w:sz w:val="20"/>
          <w:szCs w:val="20"/>
          <w:color w:val="auto"/>
        </w:rPr>
      </w:pPr>
    </w:p>
    <w:p>
      <w:pPr>
        <w:ind w:right="60" w:firstLine="361"/>
        <w:spacing w:after="0" w:line="242" w:lineRule="auto"/>
        <w:rPr>
          <w:sz w:val="20"/>
          <w:szCs w:val="20"/>
          <w:color w:val="auto"/>
        </w:rPr>
      </w:pPr>
      <w:r>
        <w:rPr>
          <w:rFonts w:ascii="Times New Roman" w:cs="Times New Roman" w:eastAsia="Times New Roman" w:hAnsi="Times New Roman"/>
          <w:sz w:val="20"/>
          <w:szCs w:val="20"/>
          <w:color w:val="auto"/>
        </w:rPr>
        <w:t>To effectively prevent, detect and respond to cybersecurity threats, we maintain a cyber risk management program under the responsibility of the head of the Information Technology (“IT”) function. Our IT head has more than 25 years of IT experience in the biopharmaceutical industry, where she has been responsible for technology leadership and digital transformation across core operations. Management and administration of cybersecurity systems and activities are primarily outsourced to consultants who have cross-functional expertise in cyber security and who perform the work under the supervision of the IT head. Our IT head, in turn reports to the Senior Vice-President and General Counsel who is responsible for and knowledgeable of legal and contractual cybersecurity risk for the organization. The program is comprised of policies, standards, architecture, and processes, which are reviewed and updated on a periodic basis. The program leverages a multilayered approach of utilizing different practices, technologies, vendors or techniques without an overreliance on a single vendor. We engage with consultants to help develop and evidence the policies, standards, and processes in a manner consistent with applicable legal requirements. We also evaluate and adopt cybersecurity software from reputable vendors in cybersecurity, including software as a service solutions backed by a Security Operations Center. We also engage separate third parties to provide penetration testing, risk consulting, cybersecurity incident assessment and forensics, as necessary and in addition to IT’s internal risk assessment processes. We work with many companies that provide hosted software or support for software systems. It is important for these companies to also have effective cybersecurity measures to protect data and systems. We have a self-attestation form to assess cybersecurity readiness that is sent to select vendors based on a risk assessment. For certain vendors, we request System and Organization Controls (SOC) reports or similar documents to provide assurance that the vendors have audited practices or practices in keeping with our legal requirements even if SOC audit documentation does not exist. We have also engaged legal counsel to advise on cybersecurity matters and we have developed an escalation protocol to report cybersecurity incidents as legally required. No material cybersecurity incidents have occurred to date.</w:t>
      </w:r>
    </w:p>
    <w:p>
      <w:pPr>
        <w:spacing w:after="0" w:line="204" w:lineRule="exact"/>
        <w:rPr>
          <w:sz w:val="20"/>
          <w:szCs w:val="20"/>
          <w:color w:val="auto"/>
        </w:rPr>
      </w:pPr>
    </w:p>
    <w:p>
      <w:pPr>
        <w:ind w:right="20" w:firstLine="361"/>
        <w:spacing w:after="0" w:line="252" w:lineRule="auto"/>
        <w:rPr>
          <w:sz w:val="20"/>
          <w:szCs w:val="20"/>
          <w:color w:val="auto"/>
        </w:rPr>
      </w:pPr>
      <w:r>
        <w:rPr>
          <w:rFonts w:ascii="Times New Roman" w:cs="Times New Roman" w:eastAsia="Times New Roman" w:hAnsi="Times New Roman"/>
          <w:sz w:val="20"/>
          <w:szCs w:val="20"/>
          <w:color w:val="auto"/>
        </w:rPr>
        <w:t>The program also includes training that reinforces our policies, standards, and practices, as well as the expectation that employees comply with these policies. The training engages personnel on how to identify potential cybersecurity risks and protect our resources and information. This training is mandatory for all employees on a periodic basis, and it is supplemented by testing initiatives, including periodic phishing tests. We maintain a cybersecurity risk insurance policy.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 Board Oversight</w:t>
      </w:r>
    </w:p>
    <w:p>
      <w:pPr>
        <w:spacing w:after="0" w:line="237" w:lineRule="exact"/>
        <w:rPr>
          <w:sz w:val="20"/>
          <w:szCs w:val="20"/>
          <w:color w:val="auto"/>
        </w:rPr>
      </w:pPr>
    </w:p>
    <w:p>
      <w:pPr>
        <w:ind w:right="40" w:firstLine="361"/>
        <w:spacing w:after="0" w:line="249" w:lineRule="auto"/>
        <w:rPr>
          <w:sz w:val="20"/>
          <w:szCs w:val="20"/>
          <w:color w:val="auto"/>
        </w:rPr>
      </w:pPr>
      <w:r>
        <w:rPr>
          <w:rFonts w:ascii="Times New Roman" w:cs="Times New Roman" w:eastAsia="Times New Roman" w:hAnsi="Times New Roman"/>
          <w:sz w:val="20"/>
          <w:szCs w:val="20"/>
          <w:color w:val="auto"/>
        </w:rPr>
        <w:t>Our Audit Committee is responsible for reviewing our information security programs, including cybersecurity. Our IT team provides regular updates to the Audit Committee on our IT security strategy, secure score assessments, penetration testing results, and status of risk mitigation activities, where applicable. In 2025, our IT team met with the Audit Committee 4 times. Our IT team also notifies the Audit Committee and Executive Committee of any cybersecurity incidents (suspected or actual) and provides updates on the incidents as well as cybersecurity risk mitigation activities, as appropriate.</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760"/>
          </w:cols>
          <w:pgMar w:left="540" w:top="1349" w:right="58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our significant leased properties are described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1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Property Location</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60" w:type="dxa"/>
            <w:vAlign w:val="bottom"/>
          </w:tcPr>
          <w:p>
            <w:pPr>
              <w:spacing w:after="0"/>
              <w:rPr>
                <w:sz w:val="17"/>
                <w:szCs w:val="17"/>
                <w:color w:val="auto"/>
              </w:rPr>
            </w:pPr>
          </w:p>
        </w:tc>
        <w:tc>
          <w:tcPr>
            <w:tcW w:w="30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6"/>
                <w:szCs w:val="16"/>
                <w:b w:val="1"/>
                <w:bCs w:val="1"/>
                <w:color w:val="auto"/>
              </w:rPr>
              <w:t>Use</w:t>
            </w:r>
          </w:p>
        </w:tc>
        <w:tc>
          <w:tcPr>
            <w:tcW w:w="160" w:type="dxa"/>
            <w:vAlign w:val="bottom"/>
          </w:tcPr>
          <w:p>
            <w:pPr>
              <w:spacing w:after="0"/>
              <w:rPr>
                <w:sz w:val="17"/>
                <w:szCs w:val="17"/>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Lease Expiration Date</w:t>
            </w:r>
          </w:p>
        </w:tc>
      </w:tr>
      <w:tr>
        <w:trPr>
          <w:trHeight w:val="201"/>
        </w:trPr>
        <w:tc>
          <w:tcPr>
            <w:tcW w:w="480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98"/>
              </w:rPr>
              <w:t>Hampton, New Jersey . . . . . . . . . . . . . . . . . . . . . . . . . . . . . . .</w:t>
            </w:r>
          </w:p>
        </w:tc>
        <w:tc>
          <w:tcPr>
            <w:tcW w:w="1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33,400</w:t>
            </w:r>
          </w:p>
        </w:tc>
        <w:tc>
          <w:tcPr>
            <w:tcW w:w="16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Headquarters, Office and Laboratory</w:t>
            </w:r>
          </w:p>
        </w:tc>
        <w:tc>
          <w:tcPr>
            <w:tcW w:w="16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Times New Roman" w:cs="Times New Roman" w:eastAsia="Times New Roman" w:hAnsi="Times New Roman"/>
                <w:sz w:val="19"/>
                <w:szCs w:val="19"/>
                <w:color w:val="auto"/>
              </w:rPr>
              <w:t>July 2027</w:t>
            </w:r>
            <w:r>
              <w:rPr>
                <w:rFonts w:ascii="Times New Roman" w:cs="Times New Roman" w:eastAsia="Times New Roman" w:hAnsi="Times New Roman"/>
                <w:sz w:val="23"/>
                <w:szCs w:val="23"/>
                <w:color w:val="auto"/>
                <w:vertAlign w:val="superscript"/>
              </w:rPr>
              <w:t>(1)</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8"/>
              </w:rPr>
              <w:t>Fall River, Massachusetts .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36,300</w:t>
            </w:r>
          </w:p>
        </w:tc>
        <w:tc>
          <w:tcPr>
            <w:tcW w:w="3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Manufacturing, Office and Laboratory</w:t>
            </w:r>
          </w:p>
        </w:tc>
        <w:tc>
          <w:tcPr>
            <w:tcW w:w="160" w:type="dxa"/>
            <w:vAlign w:val="bottom"/>
          </w:tcPr>
          <w:p>
            <w:pPr>
              <w:spacing w:after="0"/>
              <w:rPr>
                <w:sz w:val="19"/>
                <w:szCs w:val="19"/>
                <w:color w:val="auto"/>
              </w:rPr>
            </w:pPr>
          </w:p>
        </w:tc>
        <w:tc>
          <w:tcPr>
            <w:tcW w:w="15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July 2027</w:t>
            </w:r>
            <w:r>
              <w:rPr>
                <w:rFonts w:ascii="Times New Roman" w:cs="Times New Roman" w:eastAsia="Times New Roman" w:hAnsi="Times New Roman"/>
                <w:sz w:val="25"/>
                <w:szCs w:val="25"/>
                <w:color w:val="auto"/>
                <w:vertAlign w:val="superscript"/>
              </w:rPr>
              <w:t>(2)</w:t>
            </w:r>
          </w:p>
        </w:tc>
      </w:tr>
      <w:tr>
        <w:trPr>
          <w:trHeight w:val="34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w w:val="99"/>
              </w:rPr>
              <w:t>New Haven, Connecticut . . . . . . . . . . . . . . . . . . . . . . . . . . .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17,700</w:t>
            </w:r>
          </w:p>
        </w:tc>
        <w:tc>
          <w:tcPr>
            <w:tcW w:w="32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Office and Laboratory</w:t>
            </w:r>
          </w:p>
        </w:tc>
        <w:tc>
          <w:tcPr>
            <w:tcW w:w="16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October 2026</w:t>
            </w:r>
            <w:r>
              <w:rPr>
                <w:rFonts w:ascii="Times New Roman" w:cs="Times New Roman" w:eastAsia="Times New Roman" w:hAnsi="Times New Roman"/>
                <w:sz w:val="25"/>
                <w:szCs w:val="25"/>
                <w:color w:val="auto"/>
                <w:vertAlign w:val="superscript"/>
              </w:rPr>
              <w:t>(3)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45720</wp:posOffset>
                </wp:positionV>
                <wp:extent cx="171386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9906">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3.6pt" to="134.9pt,3.6pt" o:allowincell="f" strokecolor="#000000" strokeweight="0.78pt"/>
            </w:pict>
          </mc:Fallback>
        </mc:AlternateContent>
      </w:r>
    </w:p>
    <w:p>
      <w:pPr>
        <w:spacing w:after="0" w:line="93" w:lineRule="exact"/>
        <w:rPr>
          <w:sz w:val="20"/>
          <w:szCs w:val="20"/>
          <w:color w:val="auto"/>
        </w:rPr>
      </w:pPr>
    </w:p>
    <w:p>
      <w:pPr>
        <w:ind w:left="360" w:hanging="360"/>
        <w:spacing w:after="0"/>
        <w:tabs>
          <w:tab w:leader="none" w:pos="3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includes two renewal options of two years.</w:t>
      </w:r>
    </w:p>
    <w:p>
      <w:pPr>
        <w:spacing w:after="0" w:line="24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includes one renewal option of three years.</w:t>
      </w:r>
    </w:p>
    <w:p>
      <w:pPr>
        <w:spacing w:after="0" w:line="239" w:lineRule="exact"/>
        <w:rPr>
          <w:rFonts w:ascii="Times New Roman" w:cs="Times New Roman" w:eastAsia="Times New Roman" w:hAnsi="Times New Roman"/>
          <w:sz w:val="20"/>
          <w:szCs w:val="20"/>
          <w:color w:val="auto"/>
        </w:rPr>
      </w:pPr>
    </w:p>
    <w:p>
      <w:pPr>
        <w:ind w:left="360" w:right="580" w:hanging="360"/>
        <w:spacing w:after="0" w:line="259" w:lineRule="auto"/>
        <w:tabs>
          <w:tab w:leader="none" w:pos="3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2025, we signed a new lease in New Haven, Connecticut to which we will relocate our existing New Haven operations to in 2026. The lease covers approximately 40,400 square feet of office and laboratory space and is scheduled to commence in 2026. The initial lease term is 5.5 years with three renewal options of five years each.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not currently a party to any material legal proceedings.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800"/>
          </w:cols>
          <w:pgMar w:left="540" w:top="1347" w:right="540" w:bottom="0" w:gutter="0" w:footer="0" w:header="0"/>
          <w:type w:val="continuous"/>
        </w:sectPr>
      </w:pPr>
    </w:p>
    <w:bookmarkStart w:id="136" w:name="page137"/>
    <w:bookmarkEnd w:id="136"/>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54" w:lineRule="exact"/>
        <w:rPr>
          <w:sz w:val="20"/>
          <w:szCs w:val="20"/>
          <w:color w:val="auto"/>
        </w:rPr>
      </w:pPr>
    </w:p>
    <w:p>
      <w:pPr>
        <w:ind w:right="320" w:firstLine="360"/>
        <w:spacing w:after="0" w:line="252" w:lineRule="auto"/>
        <w:rPr>
          <w:sz w:val="20"/>
          <w:szCs w:val="20"/>
          <w:color w:val="auto"/>
        </w:rPr>
      </w:pPr>
      <w:r>
        <w:rPr>
          <w:rFonts w:ascii="Times New Roman" w:cs="Times New Roman" w:eastAsia="Times New Roman" w:hAnsi="Times New Roman"/>
          <w:sz w:val="20"/>
          <w:szCs w:val="20"/>
          <w:color w:val="auto"/>
        </w:rPr>
        <w:t>Our common stock currently trades on the Nasdaq Capital Market (NASDAQ) under the symbol “CLDX.” As of February 13, 2026, there were approximately 120 shareholders of record of our common stock. On February 13, 2026 the closing price of our common stock, as reported by NASDAQ, was $23.00 per share. We have not paid any dividends on our common stock since our inception and do not intend to pay any dividends in the foreseeable future.</w:t>
      </w:r>
    </w:p>
    <w:p>
      <w:pPr>
        <w:spacing w:after="0" w:line="18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CELLDEX THERAPEUTICS, INC., NASDAQ MARKET INDEX — U.S. AND PEER GROUP INDICES</w:t>
      </w:r>
    </w:p>
    <w:p>
      <w:pPr>
        <w:spacing w:after="0" w:line="243"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The graph below compares the cumulative total stockholder return on the common stock for the period from December 31, 2020 through December 31, 2025, with the cumulative return on (i) NASDAQ U.S. Benchmark TR Index and (ii) NASDAQ Pharmaceutical (Subsector) Index. The comparison assumes investment of $100 on December 31, 2020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131445</wp:posOffset>
            </wp:positionV>
            <wp:extent cx="5348605" cy="39878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71">
                      <a:extLst>
                        <a:ext uri="{28A0092B-C50C-407E-A947-70E740481C1C}"/>
                      </a:extLst>
                    </a:blip>
                    <a:srcRect/>
                    <a:stretch>
                      <a:fillRect/>
                    </a:stretch>
                  </pic:blipFill>
                  <pic:spPr bwMode="auto">
                    <a:xfrm>
                      <a:off x="0" y="0"/>
                      <a:ext cx="534860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vMerge w:val="restart"/>
          </w:tcPr>
          <w:p>
            <w:pPr>
              <w:jc w:val="right"/>
              <w:ind w:right="3440"/>
              <w:spacing w:after="0"/>
              <w:rPr>
                <w:sz w:val="20"/>
                <w:szCs w:val="20"/>
                <w:color w:val="auto"/>
              </w:rPr>
            </w:pPr>
            <w:r>
              <w:rPr>
                <w:rFonts w:ascii="Times New Roman" w:cs="Times New Roman" w:eastAsia="Times New Roman" w:hAnsi="Times New Roman"/>
                <w:sz w:val="20"/>
                <w:szCs w:val="20"/>
                <w:color w:val="auto"/>
                <w:w w:val="98"/>
              </w:rPr>
              <w:t>Celldex Therapeutics, Inc</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1"/>
        </w:trPr>
        <w:tc>
          <w:tcPr>
            <w:tcW w:w="5600" w:type="dxa"/>
            <w:vAlign w:val="bottom"/>
            <w:vMerge w:val="continue"/>
          </w:tcPr>
          <w:p>
            <w:pPr>
              <w:jc w:val="right"/>
              <w:ind w:right="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w:t>
            </w:r>
          </w:p>
        </w:tc>
        <w:tc>
          <w:tcPr>
            <w:tcW w:w="12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221</w:t>
            </w:r>
          </w:p>
        </w:tc>
        <w:tc>
          <w:tcPr>
            <w:tcW w:w="16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254</w:t>
            </w: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226</w:t>
            </w: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144</w:t>
            </w: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29"/>
        </w:trPr>
        <w:tc>
          <w:tcPr>
            <w:tcW w:w="56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NASDAQ U.S. Benchmark TR Index . . . . . .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0" w:type="dxa"/>
            <w:vAlign w:val="bottom"/>
          </w:tcPr>
          <w:p>
            <w:pPr>
              <w:spacing w:after="0"/>
              <w:rPr>
                <w:sz w:val="1"/>
                <w:szCs w:val="1"/>
                <w:color w:val="auto"/>
              </w:rPr>
            </w:pPr>
          </w:p>
        </w:tc>
      </w:tr>
      <w:tr>
        <w:trPr>
          <w:trHeight w:val="267"/>
        </w:trPr>
        <w:tc>
          <w:tcPr>
            <w:tcW w:w="56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NASDAQ Pharmaceutical (Subsector) Index . . . . . . . . . . . . . . . . .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800"/>
          </w:cols>
          <w:pgMar w:left="540" w:top="1347" w:right="540" w:bottom="0" w:gutter="0" w:footer="0" w:header="0"/>
          <w:type w:val="continuous"/>
        </w:sectPr>
      </w:pPr>
    </w:p>
    <w:bookmarkStart w:id="137" w:name="page138"/>
    <w:bookmarkEnd w:id="137"/>
    <w:p>
      <w:pPr>
        <w:ind w:right="114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3"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focusing our efforts and resources on the continued research and development of</w:t>
      </w:r>
    </w:p>
    <w:p>
      <w:pPr>
        <w:spacing w:after="0" w:line="254" w:lineRule="exact"/>
        <w:rPr>
          <w:sz w:val="20"/>
          <w:szCs w:val="20"/>
          <w:color w:val="auto"/>
        </w:rPr>
      </w:pPr>
    </w:p>
    <w:p>
      <w:pPr>
        <w:ind w:left="720" w:right="180" w:hanging="360"/>
        <w:spacing w:after="0" w:line="277" w:lineRule="auto"/>
        <w:tabs>
          <w:tab w:leader="none" w:pos="72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83" w:lineRule="exact"/>
        <w:rPr>
          <w:rFonts w:ascii="Arial" w:cs="Arial" w:eastAsia="Arial" w:hAnsi="Arial"/>
          <w:sz w:val="20"/>
          <w:szCs w:val="20"/>
          <w:color w:val="auto"/>
        </w:rPr>
      </w:pPr>
    </w:p>
    <w:p>
      <w:pPr>
        <w:ind w:left="1440" w:right="20" w:hanging="360"/>
        <w:spacing w:after="0" w:line="244" w:lineRule="auto"/>
        <w:tabs>
          <w:tab w:leader="none" w:pos="1440" w:val="left"/>
        </w:tabs>
        <w:numPr>
          <w:ilvl w:val="1"/>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Chronic Spontaneous Urticaria (CSU): In February 2026, we announced that enrollment is complete in our Phase 3 studies in CSU and that topline data will be available in the fourth quarter of 2026. In November 2023, we announced that our Phase 2 study in CSU achieved the primary efficacy endpoint (statistically significant mean change from baseline to Week 12 of urticaria activity score compared to placebo) and was well tolerated. Patients on study continued to receive barzolvolimab and, in September 2024, we reported data from 52 weeks of treatment— demonstrating sustained and deepening disease efficacy and a well tolerated long term safety profile. In June 2025, Celldex presented longer term follow up data from the study. At 76 weeks, 7 months after the completion of dosing with barzolvolimab, over 40% of patients (150 mg Q4W) continued to experience profound, sustained complete response and improved quality of life;</w:t>
      </w:r>
    </w:p>
    <w:p>
      <w:pPr>
        <w:spacing w:after="0" w:line="219" w:lineRule="exact"/>
        <w:rPr>
          <w:rFonts w:ascii="Arial" w:cs="Arial" w:eastAsia="Arial" w:hAnsi="Arial"/>
          <w:sz w:val="20"/>
          <w:szCs w:val="20"/>
          <w:color w:val="auto"/>
        </w:rPr>
      </w:pPr>
    </w:p>
    <w:p>
      <w:pPr>
        <w:ind w:left="1440" w:right="40" w:hanging="360"/>
        <w:spacing w:after="0" w:line="244" w:lineRule="auto"/>
        <w:tabs>
          <w:tab w:leader="none" w:pos="1440" w:val="left"/>
        </w:tabs>
        <w:numPr>
          <w:ilvl w:val="1"/>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Cold Urticaria (ColdU) and Symptomatic Dermographism (SD): We initiated a Phase 3 study in ColdU and SD in December 2025 and enrollment is ongoing. In July 2024, we announced that our Phase 2 study being conducted in two forms of chronic inducible urticaria (CIndU), ColdU and SD,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and, in November 2025, we reported data from 20 weeks of treatment—demonstrating sustained efficacy and a well tolerated safety profile over the longer treatment period;</w:t>
      </w:r>
    </w:p>
    <w:p>
      <w:pPr>
        <w:spacing w:after="0" w:line="218" w:lineRule="exact"/>
        <w:rPr>
          <w:rFonts w:ascii="Arial" w:cs="Arial" w:eastAsia="Arial" w:hAnsi="Arial"/>
          <w:sz w:val="20"/>
          <w:szCs w:val="20"/>
          <w:color w:val="auto"/>
        </w:rPr>
      </w:pPr>
    </w:p>
    <w:p>
      <w:pPr>
        <w:ind w:left="1440" w:hanging="360"/>
        <w:spacing w:after="0" w:line="259" w:lineRule="auto"/>
        <w:tabs>
          <w:tab w:leader="none" w:pos="1440" w:val="left"/>
        </w:tabs>
        <w:numPr>
          <w:ilvl w:val="1"/>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Prurigo Nodularis (PN): In April 2024, we initiated a Phase 2 study in PN and enrollment was completed in December 2025. Topline data from the study is expected in summer 2026. Positive data from a Phase 1b study in PN was reported in November 2023; and</w:t>
      </w:r>
    </w:p>
    <w:p>
      <w:pPr>
        <w:spacing w:after="0" w:line="198" w:lineRule="exact"/>
        <w:rPr>
          <w:rFonts w:ascii="Arial" w:cs="Arial" w:eastAsia="Arial" w:hAnsi="Arial"/>
          <w:sz w:val="20"/>
          <w:szCs w:val="20"/>
          <w:color w:val="auto"/>
        </w:rPr>
      </w:pPr>
    </w:p>
    <w:p>
      <w:pPr>
        <w:ind w:left="1440" w:right="200" w:hanging="360"/>
        <w:spacing w:after="0" w:line="277" w:lineRule="auto"/>
        <w:tabs>
          <w:tab w:leader="none" w:pos="1440" w:val="left"/>
        </w:tabs>
        <w:numPr>
          <w:ilvl w:val="1"/>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Atopic Dermatitis (AD): A Phase 2 study in AD was initiated in December 2024 and enrollment was completed in January 2026. Topline data from the study is expected in late 2026.</w:t>
      </w:r>
    </w:p>
    <w:p>
      <w:pPr>
        <w:spacing w:after="0" w:line="183" w:lineRule="exact"/>
        <w:rPr>
          <w:rFonts w:ascii="Arial" w:cs="Arial" w:eastAsia="Arial" w:hAnsi="Arial"/>
          <w:sz w:val="20"/>
          <w:szCs w:val="20"/>
          <w:color w:val="auto"/>
        </w:rPr>
      </w:pPr>
    </w:p>
    <w:p>
      <w:pPr>
        <w:ind w:left="720" w:right="180" w:hanging="360"/>
        <w:spacing w:after="0" w:line="252" w:lineRule="auto"/>
        <w:tabs>
          <w:tab w:leader="none" w:pos="720" w:val="left"/>
        </w:tabs>
        <w:numPr>
          <w:ilvl w:val="0"/>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Our next generation bispecific antibody platform to support pipeline expansion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206" w:lineRule="exact"/>
        <w:rPr>
          <w:rFonts w:ascii="Arial" w:cs="Arial" w:eastAsia="Arial" w:hAnsi="Arial"/>
          <w:sz w:val="20"/>
          <w:szCs w:val="20"/>
          <w:color w:val="auto"/>
        </w:rPr>
      </w:pPr>
    </w:p>
    <w:p>
      <w:pPr>
        <w:ind w:left="1440" w:right="60" w:hanging="360"/>
        <w:spacing w:after="0" w:line="245" w:lineRule="auto"/>
        <w:tabs>
          <w:tab w:leader="none" w:pos="1440" w:val="left"/>
        </w:tabs>
        <w:numPr>
          <w:ilvl w:val="1"/>
          <w:numId w:val="106"/>
        </w:numPr>
        <w:rPr>
          <w:rFonts w:ascii="Arial" w:cs="Arial" w:eastAsia="Arial" w:hAnsi="Arial"/>
          <w:sz w:val="20"/>
          <w:szCs w:val="20"/>
          <w:color w:val="auto"/>
        </w:rPr>
      </w:pPr>
      <w:r>
        <w:rPr>
          <w:rFonts w:ascii="Times New Roman" w:cs="Times New Roman" w:eastAsia="Times New Roman" w:hAnsi="Times New Roman"/>
          <w:sz w:val="20"/>
          <w:szCs w:val="20"/>
          <w:color w:val="auto"/>
        </w:rPr>
        <w:t>CDX-622 (TSLP &amp; SCF): Our first bispecific candidate for inflammatory diseases is CDX-622 which targets two complementary pathways that drive chronic inflammation, potently neutralizing the alarmin thymic stromal lymphopoietin (TSLP) and depleting mast cells via stem cell factor (SCF) starvation. In November 2024, a Phase 1a dose-escalation study in healthy volunteers was initiated and enrollment was completed in January 2026. Positive data from the single ascending dose portion of the study was presented in October 2025. Data from the multiple ascending dose portion of the study and subcutaneous administration are anticipated in the third quarter of 2026. In January 2026, we initiated an open-label, single-dose Phase 1 proof of mechanism study in adults with mild to moderate asthma.</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800"/>
          </w:cols>
          <w:pgMar w:left="540" w:top="1345" w:right="540" w:bottom="0" w:gutter="0" w:footer="0" w:header="0"/>
          <w:type w:val="continuous"/>
        </w:sectPr>
      </w:pPr>
    </w:p>
    <w:bookmarkStart w:id="138" w:name="page139"/>
    <w:bookmarkEnd w:id="138"/>
    <w:p>
      <w:pPr>
        <w:ind w:left="360"/>
        <w:spacing w:after="0"/>
        <w:rPr>
          <w:sz w:val="20"/>
          <w:szCs w:val="20"/>
          <w:color w:val="auto"/>
        </w:rPr>
      </w:pPr>
      <w:r>
        <w:rPr>
          <w:rFonts w:ascii="Times New Roman" w:cs="Times New Roman" w:eastAsia="Times New Roman" w:hAnsi="Times New Roman"/>
          <w:sz w:val="20"/>
          <w:szCs w:val="20"/>
          <w:color w:val="auto"/>
        </w:rPr>
        <w:t>More detail on these programs is provided in the Clinical Development Programs section.</w:t>
      </w:r>
    </w:p>
    <w:p>
      <w:pPr>
        <w:spacing w:after="0" w:line="239" w:lineRule="exact"/>
        <w:rPr>
          <w:sz w:val="20"/>
          <w:szCs w:val="20"/>
          <w:color w:val="auto"/>
        </w:rPr>
      </w:pPr>
    </w:p>
    <w:p>
      <w:pPr>
        <w:ind w:right="140" w:firstLine="360"/>
        <w:spacing w:after="0" w:line="249" w:lineRule="auto"/>
        <w:rPr>
          <w:sz w:val="20"/>
          <w:szCs w:val="20"/>
          <w:color w:val="auto"/>
        </w:rPr>
      </w:pPr>
      <w:r>
        <w:rPr>
          <w:rFonts w:ascii="Times New Roman" w:cs="Times New Roman" w:eastAsia="Times New Roman" w:hAnsi="Times New Roman"/>
          <w:sz w:val="20"/>
          <w:szCs w:val="20"/>
          <w:color w:val="auto"/>
        </w:rPr>
        <w:t>Our mission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185"/>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Completion</w:t>
            </w:r>
          </w:p>
        </w:tc>
      </w:tr>
      <w:tr>
        <w:trPr>
          <w:trHeight w:val="203"/>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Clinical Phase</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201"/>
        </w:trPr>
        <w:tc>
          <w:tcPr>
            <w:tcW w:w="924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w w:val="96"/>
              </w:rPr>
              <w:t>Phase 1 . . . . . . . . . . . . . . . . . . . . . . . . . . . . . . . . . . . . . . . . . . . . . . . . . . . . . . . . . . . . . . . . . . . . . . . . . . . . . . . . . . . . . . . . .</w:t>
            </w:r>
          </w:p>
        </w:tc>
        <w:tc>
          <w:tcPr>
            <w:tcW w:w="200" w:type="dxa"/>
            <w:vAlign w:val="bottom"/>
          </w:tcPr>
          <w:p>
            <w:pPr>
              <w:spacing w:after="0"/>
              <w:rPr>
                <w:sz w:val="17"/>
                <w:szCs w:val="17"/>
                <w:color w:val="auto"/>
              </w:rPr>
            </w:pPr>
          </w:p>
        </w:tc>
        <w:tc>
          <w:tcPr>
            <w:tcW w:w="136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rPr>
              <w:t>1 – 2 Years</w:t>
            </w:r>
          </w:p>
        </w:tc>
      </w:tr>
      <w:tr>
        <w:trPr>
          <w:trHeight w:val="229"/>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6"/>
              </w:rPr>
              <w:t>Phase 2 . . . . . . . . . . . . . . . . . . . . . . . . . . . . . . . . . . . . . . . . . . . . . . . . . . . . . . . . . . . . . . . . . . . . . . . . . . . . . . . . . . . . . . . . .</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 5 Years</w:t>
            </w:r>
          </w:p>
        </w:tc>
      </w:tr>
      <w:tr>
        <w:trPr>
          <w:trHeight w:val="267"/>
        </w:trPr>
        <w:tc>
          <w:tcPr>
            <w:tcW w:w="9240" w:type="dxa"/>
            <w:vAlign w:val="bottom"/>
          </w:tcPr>
          <w:p>
            <w:pPr>
              <w:spacing w:after="0"/>
              <w:rPr>
                <w:sz w:val="20"/>
                <w:szCs w:val="20"/>
                <w:color w:val="auto"/>
              </w:rPr>
            </w:pPr>
            <w:r>
              <w:rPr>
                <w:rFonts w:ascii="Times New Roman" w:cs="Times New Roman" w:eastAsia="Times New Roman" w:hAnsi="Times New Roman"/>
                <w:sz w:val="20"/>
                <w:szCs w:val="20"/>
                <w:color w:val="auto"/>
                <w:w w:val="96"/>
              </w:rPr>
              <w:t>Phase 3 . . . . . . . . . . . . . . . . . . . . . . . . . . . . . . . . . . . . . . . . . . . . . . . . . . . . . . . . . . . . . . . . . . . . . . . . . . . . . . . . . . . . . . . . .</w:t>
            </w:r>
          </w:p>
        </w:tc>
        <w:tc>
          <w:tcPr>
            <w:tcW w:w="2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 5 Years</w:t>
            </w:r>
          </w:p>
        </w:tc>
      </w:tr>
    </w:tbl>
    <w:p>
      <w:pPr>
        <w:spacing w:after="0" w:line="194"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The duration and the cost of clinical trials may vary significantly over the life of a project as a result of differences arising during the clinical trial protocol, including, among others, the following:</w:t>
      </w:r>
    </w:p>
    <w:p>
      <w:pPr>
        <w:spacing w:after="0" w:line="181" w:lineRule="exact"/>
        <w:rPr>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that ultimately participate in the trial;</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duration of patient follow-up that seems appropriate in view of results;</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clinical sites included in the trials;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length of time required to enroll suitable patient subjects;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07"/>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profile of the drug candidate.</w:t>
      </w:r>
    </w:p>
    <w:p>
      <w:pPr>
        <w:spacing w:after="0" w:line="238" w:lineRule="exact"/>
        <w:rPr>
          <w:sz w:val="20"/>
          <w:szCs w:val="20"/>
          <w:color w:val="auto"/>
        </w:rPr>
      </w:pPr>
    </w:p>
    <w:p>
      <w:pPr>
        <w:ind w:right="140" w:firstLine="360"/>
        <w:spacing w:after="0" w:line="259" w:lineRule="auto"/>
        <w:rPr>
          <w:sz w:val="20"/>
          <w:szCs w:val="20"/>
          <w:color w:val="auto"/>
        </w:rPr>
      </w:pPr>
      <w:r>
        <w:rPr>
          <w:rFonts w:ascii="Times New Roman" w:cs="Times New Roman" w:eastAsia="Times New Roman" w:hAnsi="Times New Roman"/>
          <w:sz w:val="20"/>
          <w:szCs w:val="20"/>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6"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19"/>
          <w:szCs w:val="19"/>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71"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200"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ectPr>
          <w:pgSz w:w="11880" w:h="15480" w:orient="portrait"/>
          <w:cols w:equalWidth="0" w:num="1">
            <w:col w:w="10800"/>
          </w:cols>
          <w:pgMar w:left="540" w:top="1351" w:right="54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800"/>
          </w:cols>
          <w:pgMar w:left="540" w:top="1351" w:right="540" w:bottom="0" w:gutter="0" w:footer="0" w:header="0"/>
          <w:type w:val="continuous"/>
        </w:sectPr>
      </w:pPr>
    </w:p>
    <w:bookmarkStart w:id="139" w:name="page140"/>
    <w:bookmarkEnd w:id="139"/>
    <w:p>
      <w:pPr>
        <w:ind w:firstLine="361"/>
        <w:spacing w:after="0" w:line="246" w:lineRule="auto"/>
        <w:rPr>
          <w:sz w:val="20"/>
          <w:szCs w:val="20"/>
          <w:color w:val="auto"/>
        </w:rPr>
      </w:pPr>
      <w:r>
        <w:rPr>
          <w:rFonts w:ascii="Times New Roman" w:cs="Times New Roman" w:eastAsia="Times New Roman" w:hAnsi="Times New Roman"/>
          <w:sz w:val="20"/>
          <w:szCs w:val="20"/>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201" w:lineRule="exact"/>
        <w:rPr>
          <w:sz w:val="20"/>
          <w:szCs w:val="20"/>
          <w:color w:val="auto"/>
        </w:rPr>
      </w:pPr>
    </w:p>
    <w:p>
      <w:pPr>
        <w:ind w:right="160" w:firstLine="361"/>
        <w:spacing w:after="0" w:line="249" w:lineRule="auto"/>
        <w:rPr>
          <w:sz w:val="20"/>
          <w:szCs w:val="20"/>
          <w:color w:val="auto"/>
        </w:rPr>
      </w:pPr>
      <w:r>
        <w:rPr>
          <w:rFonts w:ascii="Times New Roman" w:cs="Times New Roman" w:eastAsia="Times New Roman" w:hAnsi="Times New Roman"/>
          <w:sz w:val="20"/>
          <w:szCs w:val="20"/>
          <w:color w:val="auto"/>
        </w:rPr>
        <w:t>During the past five years through December 31, 2025, we incurred an aggregate of $662.2 million in research and development expenses. The following table indicates the amount incurred for each of our significant research programs and for other identified research and development activities during the years ended December 31, 2025, 2024 and 2023. The amounts disclosed in the following table reflect direct research and development costs and an allocation of indirect research and development costs to each program.</w:t>
      </w:r>
    </w:p>
    <w:p>
      <w:pPr>
        <w:spacing w:after="0" w:line="220"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6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155"/>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7"/>
              <w:spacing w:after="0" w:line="155"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229"/>
        </w:trPr>
        <w:tc>
          <w:tcPr>
            <w:tcW w:w="4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Barzolvolimab/Anti-KIT Program . . . . . . . . . . . .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198,329</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123,750</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79,913</w:t>
            </w:r>
          </w:p>
        </w:tc>
      </w:tr>
      <w:tr>
        <w:trPr>
          <w:trHeight w:val="230"/>
        </w:trPr>
        <w:tc>
          <w:tcPr>
            <w:tcW w:w="4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CDX-622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16,299</w:t>
            </w:r>
          </w:p>
        </w:tc>
      </w:tr>
      <w:tr>
        <w:trPr>
          <w:trHeight w:val="250"/>
        </w:trPr>
        <w:tc>
          <w:tcPr>
            <w:tcW w:w="44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Other Programs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27,787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22,459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21,799</w:t>
            </w:r>
          </w:p>
        </w:tc>
      </w:tr>
      <w:tr>
        <w:trPr>
          <w:trHeight w:val="230"/>
        </w:trPr>
        <w:tc>
          <w:tcPr>
            <w:tcW w:w="4420" w:type="dxa"/>
            <w:vAlign w:val="bottom"/>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 . . . . . . . . . . . . . . . . . . . . . . . . .TotalR&amp;DExpense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245,074</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163,550</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118,011</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Development Programs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Barzolvolimab (also referred to as CDX-0159)</w:t>
      </w:r>
    </w:p>
    <w:p>
      <w:pPr>
        <w:spacing w:after="0" w:line="237"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98"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Barzolvolimab was initially studied in chronic spontaneous urticaria (CSU) and chronic inducible urticaria (CIndU), diseases where mast cell degranulation plays a central role in the onset and progression of the disease. In July 2024, we initiated two Phase 3 studies in CSU. In February 2026, we announced that enrollment is complete in the Phase 3 studies and that topline data is expected in the fourth quarter of 2026. In November 2023, we reported that barzolvolimab achieved the primary efficacy endpoint in a Phase 2 study in CSU, with a statistically significant mean change from baseline to Week 12 of UAS7 (weekly urticaria activity score) compared to placebo and was well tolerated. In September 2024, we presented 52 week treatment data from the CSU study, demonstrating sustained and deepening disease efficacy and a well tolerated long term safety profile. In June 2025, we presented follow up data from this study through Week 76, 7 months after the completion of dosing with barzolvolimab, demonstrating ongoing profound, sustained complete response and improved quality of life. The study is complete. In April 2024, we announced enrollment was complete in the ongoing Phase 2 CIndU study. In July 2024, we announced that our Phase 2 study in CIndU achieved the primary efficacy endpoint, (statistically significant difference between the percent of patients with a negative provocation test compared to placebo at Week 12) and was well tolerated. 12 week data from the CIndU study were presented in October of 2024 and all secondary endpoints across the study were also met and were highly statistically significant and clinically meaningful. Patients on study continued to receive barzolvolimab for 20 weeks of treatment and were then followed for up to 24 additional weeks without treatment. In November 2025, data from the 20 week placebo controlled treatment period were presented, demonstrating sustained efficacy and a favorable safety profile. Patients with returning or continuing symptoms were eligible to enroll into an open label extension (OLE). The study is now complete.</w:t>
      </w:r>
    </w:p>
    <w:p>
      <w:pPr>
        <w:spacing w:after="0" w:line="208" w:lineRule="exact"/>
        <w:rPr>
          <w:sz w:val="20"/>
          <w:szCs w:val="20"/>
          <w:color w:val="auto"/>
        </w:rPr>
      </w:pPr>
    </w:p>
    <w:p>
      <w:pPr>
        <w:ind w:right="80" w:firstLine="360"/>
        <w:spacing w:after="0" w:line="252" w:lineRule="auto"/>
        <w:rPr>
          <w:sz w:val="20"/>
          <w:szCs w:val="20"/>
          <w:color w:val="auto"/>
        </w:rPr>
      </w:pPr>
      <w:r>
        <w:rPr>
          <w:rFonts w:ascii="Times New Roman" w:cs="Times New Roman" w:eastAsia="Times New Roman" w:hAnsi="Times New Roman"/>
          <w:sz w:val="20"/>
          <w:szCs w:val="20"/>
          <w:color w:val="auto"/>
        </w:rPr>
        <w:t>Based on the positive results reported in urticaria, we expanded development of barzolvolimab into additional indications where mast cells are believed to play an important role. We are conducting ongoing Phase 2 studies in prurigo nodularis (PN) and atopic dermatitis (AD). We continue to assess potential opportunities for barzolvolimab in other diseases where mast cells play an important role, such as dermatologic, respiratory, allergic, gastrointestinal and ophthalmic conditions.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780"/>
          </w:cols>
          <w:pgMar w:left="540" w:top="1349" w:right="5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i w:val="1"/>
          <w:iCs w:val="1"/>
          <w:color w:val="auto"/>
        </w:rPr>
        <w:t>Chronic Spontaneous Urticaria (CSU) Summary of Phase 1 and Phase 2 Data Presented to Date</w:t>
      </w:r>
    </w:p>
    <w:p>
      <w:pPr>
        <w:spacing w:after="0" w:line="237" w:lineRule="exact"/>
        <w:rPr>
          <w:sz w:val="20"/>
          <w:szCs w:val="20"/>
          <w:color w:val="auto"/>
        </w:rPr>
      </w:pPr>
    </w:p>
    <w:p>
      <w:pPr>
        <w:jc w:val="both"/>
        <w:ind w:right="140" w:firstLine="360"/>
        <w:spacing w:after="0" w:line="249" w:lineRule="auto"/>
        <w:rPr>
          <w:sz w:val="20"/>
          <w:szCs w:val="20"/>
          <w:color w:val="auto"/>
        </w:rPr>
      </w:pPr>
      <w:r>
        <w:rPr>
          <w:rFonts w:ascii="Times New Roman" w:cs="Times New Roman" w:eastAsia="Times New Roman" w:hAnsi="Times New Roman"/>
          <w:sz w:val="20"/>
          <w:szCs w:val="20"/>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w:t>
      </w:r>
    </w:p>
    <w:p>
      <w:pPr>
        <w:spacing w:after="0" w:line="2"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0"/>
          <w:szCs w:val="20"/>
          <w:color w:val="auto"/>
        </w:rPr>
        <w:t>DermNet.Org). 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201"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99"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Phase 1 CSU: Summary of Clinical Activity Assessments at Week 12 &amp; 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85990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9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999pt" to="540.15pt,-10.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-137160</wp:posOffset>
                </wp:positionV>
                <wp:extent cx="0" cy="1627505"/>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75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7999pt" to="0.2pt,117.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6856730</wp:posOffset>
                </wp:positionH>
                <wp:positionV relativeFrom="paragraph">
                  <wp:posOffset>-137160</wp:posOffset>
                </wp:positionV>
                <wp:extent cx="0" cy="1627505"/>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75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9.9pt,-10.7999pt" to="539.9pt,117.35pt" o:allowincell="f" strokecolor="#000000" strokeweight="0.4799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Borders>
              <w:top w:val="single" w:sz="8" w:color="auto"/>
              <w:bottom w:val="single" w:sz="8" w:color="auto"/>
              <w:right w:val="single" w:sz="8" w:color="auto"/>
            </w:tcBorders>
          </w:tcPr>
          <w:p>
            <w:pPr>
              <w:spacing w:after="0"/>
              <w:rPr>
                <w:sz w:val="20"/>
                <w:szCs w:val="20"/>
                <w:color w:val="auto"/>
              </w:rPr>
            </w:pPr>
          </w:p>
        </w:tc>
        <w:tc>
          <w:tcPr>
            <w:tcW w:w="190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0"/>
                <w:szCs w:val="20"/>
                <w:color w:val="auto"/>
              </w:rPr>
              <w:t>4.5 mg/kg Q8</w:t>
            </w:r>
          </w:p>
        </w:tc>
        <w:tc>
          <w:tcPr>
            <w:tcW w:w="198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3.0 mg/kg Q8</w:t>
            </w:r>
          </w:p>
        </w:tc>
        <w:tc>
          <w:tcPr>
            <w:tcW w:w="21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1.5 mg/kg Q4</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Mean Reduction Baseline UAS7; % at Week 12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82% (n=9)</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67% (n=9)</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67% (n=8)</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Mean Reduction Baseline UAS7; % at Week 24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77% (n=7)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70% (n=6)</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80% (n=7)</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UAS7=0 (Complete Control); % at Week 12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r>
      <w:tr>
        <w:trPr>
          <w:trHeight w:val="234"/>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UAS7=0 (Complete Control); % at Week 24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43%</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UAS7</w:t>
            </w:r>
            <w:r>
              <w:rPr>
                <w:rFonts w:ascii="Arial" w:cs="Arial" w:eastAsia="Arial" w:hAnsi="Arial"/>
                <w:sz w:val="20"/>
                <w:szCs w:val="20"/>
                <w:color w:val="auto"/>
              </w:rPr>
              <w:t>≤</w:t>
            </w:r>
            <w:r>
              <w:rPr>
                <w:rFonts w:ascii="Times New Roman" w:cs="Times New Roman" w:eastAsia="Times New Roman" w:hAnsi="Times New Roman"/>
                <w:sz w:val="20"/>
                <w:szCs w:val="20"/>
                <w:color w:val="auto"/>
              </w:rPr>
              <w:t>6 (Well-controlled); % at Week 12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67%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UAS7</w:t>
            </w:r>
            <w:r>
              <w:rPr>
                <w:rFonts w:ascii="Arial" w:cs="Arial" w:eastAsia="Arial" w:hAnsi="Arial"/>
                <w:sz w:val="20"/>
                <w:szCs w:val="20"/>
                <w:color w:val="auto"/>
              </w:rPr>
              <w:t>≤</w:t>
            </w:r>
            <w:r>
              <w:rPr>
                <w:rFonts w:ascii="Times New Roman" w:cs="Times New Roman" w:eastAsia="Times New Roman" w:hAnsi="Times New Roman"/>
                <w:sz w:val="20"/>
                <w:szCs w:val="20"/>
                <w:color w:val="auto"/>
              </w:rPr>
              <w:t>6 (Well-controlled); % at Week 24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57%</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xml:space="preserve">UCT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12 (Well-controlled); % at Week 12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89%</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63%</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75%</w:t>
            </w:r>
          </w:p>
        </w:tc>
      </w:tr>
      <w:tr>
        <w:trPr>
          <w:trHeight w:val="236"/>
        </w:trPr>
        <w:tc>
          <w:tcPr>
            <w:tcW w:w="4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 xml:space="preserve">UCT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12 (Well-controlled); % at Week 24</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67%</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75%</w:t>
            </w:r>
          </w:p>
        </w:tc>
      </w:tr>
    </w:tbl>
    <w:p>
      <w:pPr>
        <w:spacing w:after="0" w:line="210" w:lineRule="exact"/>
        <w:rPr>
          <w:sz w:val="20"/>
          <w:szCs w:val="20"/>
          <w:color w:val="auto"/>
        </w:rPr>
      </w:pPr>
    </w:p>
    <w:p>
      <w:pPr>
        <w:jc w:val="both"/>
        <w:ind w:right="120" w:firstLine="360"/>
        <w:spacing w:after="0" w:line="260" w:lineRule="auto"/>
        <w:rPr>
          <w:sz w:val="20"/>
          <w:szCs w:val="20"/>
          <w:color w:val="auto"/>
        </w:rPr>
      </w:pPr>
      <w:r>
        <w:rPr>
          <w:rFonts w:ascii="Times New Roman" w:cs="Times New Roman" w:eastAsia="Times New Roman" w:hAnsi="Times New Roman"/>
          <w:sz w:val="19"/>
          <w:szCs w:val="19"/>
          <w:color w:val="auto"/>
        </w:rPr>
        <w:t>During post-treatment follow up, 71% (10 of 14) of patients who had been treated with doses greater than or equal to 1.5 mg/kg and had a complete response (UAS7=0) at Week 12, remained urticaria free at Week 24 (patients received last dose of barzolvolimab at Week 8). Profound and durable improvement in angioedema symptoms as measured through the weekly angioedema activity score (AAS7) was achieved across all dose levels evaluated with sustained activity observed with the 1.5 mg/kg and greater dose levels.</w:t>
      </w:r>
    </w:p>
    <w:p>
      <w:pPr>
        <w:spacing w:after="0" w:line="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201"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20"/>
          <w:szCs w:val="20"/>
          <w:color w:val="auto"/>
        </w:rPr>
        <w:t>Tryptase suppression, indicative of mast cell depletion, paralleled symptom improvement, demonstrating the impact of mast cell depletion on CSU disease activity.</w:t>
      </w:r>
    </w:p>
    <w:p>
      <w:pPr>
        <w:spacing w:after="0" w:line="167"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Barzolvolimab was well tolerated. Most adverse events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97" w:lineRule="exact"/>
        <w:rPr>
          <w:sz w:val="20"/>
          <w:szCs w:val="20"/>
          <w:color w:val="auto"/>
        </w:rPr>
      </w:pPr>
    </w:p>
    <w:p>
      <w:pPr>
        <w:jc w:val="both"/>
        <w:ind w:right="320" w:firstLine="360"/>
        <w:spacing w:after="0" w:line="279" w:lineRule="auto"/>
        <w:rPr>
          <w:sz w:val="20"/>
          <w:szCs w:val="20"/>
          <w:color w:val="auto"/>
        </w:rPr>
      </w:pPr>
      <w:r>
        <w:rPr>
          <w:rFonts w:ascii="Times New Roman" w:cs="Times New Roman" w:eastAsia="Times New Roman" w:hAnsi="Times New Roman"/>
          <w:sz w:val="19"/>
          <w:szCs w:val="19"/>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ectPr>
          <w:pgSz w:w="11880" w:h="15480" w:orient="portrait"/>
          <w:cols w:equalWidth="0" w:num="1">
            <w:col w:w="10800"/>
          </w:cols>
          <w:pgMar w:left="540" w:top="1353" w:right="54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800"/>
          </w:cols>
          <w:pgMar w:left="540" w:top="1353" w:right="540" w:bottom="0" w:gutter="0" w:footer="0" w:header="0"/>
          <w:type w:val="continuous"/>
        </w:sectPr>
      </w:pPr>
    </w:p>
    <w:bookmarkStart w:id="141" w:name="page142"/>
    <w:bookmarkEnd w:id="141"/>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We have completed a Phase 2 study in patients with CSU who remained symptomatic despite antihistamine therapy. The study was conducted at approximately 75 sites across 9 countries. The study was a randomized, double-blind, placebo- controlled, parallel group Phase 2 study that evaluated the efficacy and safety profile of multiple dose regimens of barzolvolimab to determine the optimal dosing strategy. 208 patients were randomly assigned on a 1:1:1:1 ratio to receive subcutaneous injections of barzolvolimab at 75 mg every 4 weeks, 150 mg every 4 weeks, 300 mg every 8 weeks or placebo during a 16-week placebo-controlled treatment phase. After 16 weeks, patients then entered a 36-week active treatment period, in which patients receiving placebo or the 75 mg dose were randomized to receive barzolvolimab 150 mg every 4 weeks or 300 mg every 8 weeks; patients already randomized to the 150 mg and 300 mg treatment arms remained on the same regimen as during the placebo- controlled treatment period. After 52 weeks, patients then entered a follow-up period for an additional 24 weeks. The primary endpoint of the study was mean change in baseline to Week 12 in UAS7 (weekly urticaria activity score). Secondary endpoints included safety and other assessments of clinical activity including ISS7 (weekly itch severity score), HSS7 (weekly hive severity score) and AAS7 (weekly angioedema activity score).</w:t>
      </w:r>
    </w:p>
    <w:p>
      <w:pPr>
        <w:spacing w:after="0" w:line="209"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Topline data from this study were presented in November of 2023 and 12 week treatment results were presented at the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w:t>
      </w:r>
      <w:r>
        <w:rPr>
          <w:rFonts w:ascii="Arial" w:cs="Arial" w:eastAsia="Arial" w:hAnsi="Arial"/>
          <w:sz w:val="20"/>
          <w:szCs w:val="20"/>
          <w:color w:val="auto"/>
        </w:rPr>
        <w:t>≥</w:t>
      </w:r>
      <w:r>
        <w:rPr>
          <w:rFonts w:ascii="Times New Roman" w:cs="Times New Roman" w:eastAsia="Times New Roman" w:hAnsi="Times New Roman"/>
          <w:sz w:val="20"/>
          <w:szCs w:val="20"/>
          <w:color w:val="auto"/>
        </w:rPr>
        <w:t>28).</w:t>
      </w: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Phase 2 CSU: Summary of Clinical Activity Assessments at Week 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-134620</wp:posOffset>
                </wp:positionV>
                <wp:extent cx="686371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37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5999pt" to="540.2pt,-10.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-137795</wp:posOffset>
                </wp:positionV>
                <wp:extent cx="0" cy="3618865"/>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88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0.8499pt" to="-0.0499pt,274.1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6858000</wp:posOffset>
                </wp:positionH>
                <wp:positionV relativeFrom="paragraph">
                  <wp:posOffset>-137795</wp:posOffset>
                </wp:positionV>
                <wp:extent cx="0" cy="3618865"/>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61886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0pt,-10.8499pt" to="540pt,274.1pt" o:allowincell="f" strokecolor="#000000" strokeweight="0.4799pt"/>
            </w:pict>
          </mc:Fallback>
        </mc:AlternateConten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80" w:type="dxa"/>
            <w:vAlign w:val="bottom"/>
            <w:tcBorders>
              <w:top w:val="single" w:sz="8" w:color="auto"/>
              <w:right w:val="single" w:sz="8" w:color="auto"/>
            </w:tcBorders>
          </w:tcPr>
          <w:p>
            <w:pPr>
              <w:spacing w:after="0"/>
              <w:rPr>
                <w:sz w:val="17"/>
                <w:szCs w:val="17"/>
                <w:color w:val="auto"/>
              </w:rPr>
            </w:pPr>
          </w:p>
        </w:tc>
        <w:tc>
          <w:tcPr>
            <w:tcW w:w="2040" w:type="dxa"/>
            <w:vAlign w:val="bottom"/>
            <w:tcBorders>
              <w:top w:val="single" w:sz="8" w:color="auto"/>
              <w:right w:val="single" w:sz="8" w:color="auto"/>
            </w:tcBorders>
          </w:tcPr>
          <w:p>
            <w:pPr>
              <w:ind w:left="440"/>
              <w:spacing w:after="0" w:line="201" w:lineRule="exact"/>
              <w:rPr>
                <w:sz w:val="20"/>
                <w:szCs w:val="20"/>
                <w:color w:val="auto"/>
              </w:rPr>
            </w:pPr>
            <w:r>
              <w:rPr>
                <w:rFonts w:ascii="Times New Roman" w:cs="Times New Roman" w:eastAsia="Times New Roman" w:hAnsi="Times New Roman"/>
                <w:sz w:val="20"/>
                <w:szCs w:val="20"/>
                <w:color w:val="auto"/>
              </w:rPr>
              <w:t>300 mg Q8W</w:t>
            </w:r>
          </w:p>
        </w:tc>
        <w:tc>
          <w:tcPr>
            <w:tcW w:w="2480" w:type="dxa"/>
            <w:vAlign w:val="bottom"/>
            <w:tcBorders>
              <w:top w:val="single" w:sz="8" w:color="auto"/>
              <w:right w:val="single" w:sz="8" w:color="auto"/>
            </w:tcBorders>
          </w:tcPr>
          <w:p>
            <w:pPr>
              <w:ind w:left="660"/>
              <w:spacing w:after="0" w:line="201" w:lineRule="exact"/>
              <w:rPr>
                <w:sz w:val="20"/>
                <w:szCs w:val="20"/>
                <w:color w:val="auto"/>
              </w:rPr>
            </w:pPr>
            <w:r>
              <w:rPr>
                <w:rFonts w:ascii="Times New Roman" w:cs="Times New Roman" w:eastAsia="Times New Roman" w:hAnsi="Times New Roman"/>
                <w:sz w:val="20"/>
                <w:szCs w:val="20"/>
                <w:color w:val="auto"/>
              </w:rPr>
              <w:t>150 mg Q4W</w:t>
            </w:r>
          </w:p>
        </w:tc>
        <w:tc>
          <w:tcPr>
            <w:tcW w:w="1800" w:type="dxa"/>
            <w:vAlign w:val="bottom"/>
            <w:tcBorders>
              <w:top w:val="single" w:sz="8" w:color="auto"/>
              <w:right w:val="single" w:sz="8" w:color="auto"/>
            </w:tcBorders>
          </w:tcPr>
          <w:p>
            <w:pPr>
              <w:ind w:left="380"/>
              <w:spacing w:after="0" w:line="201" w:lineRule="exact"/>
              <w:rPr>
                <w:sz w:val="20"/>
                <w:szCs w:val="20"/>
                <w:color w:val="auto"/>
              </w:rPr>
            </w:pPr>
            <w:r>
              <w:rPr>
                <w:rFonts w:ascii="Times New Roman" w:cs="Times New Roman" w:eastAsia="Times New Roman" w:hAnsi="Times New Roman"/>
                <w:sz w:val="20"/>
                <w:szCs w:val="20"/>
                <w:color w:val="auto"/>
              </w:rPr>
              <w:t>75 mg Q4W</w:t>
            </w:r>
          </w:p>
        </w:tc>
        <w:tc>
          <w:tcPr>
            <w:tcW w:w="1700" w:type="dxa"/>
            <w:vAlign w:val="bottom"/>
            <w:tcBorders>
              <w:top w:val="single" w:sz="8" w:color="auto"/>
            </w:tcBorders>
          </w:tcPr>
          <w:p>
            <w:pPr>
              <w:ind w:left="520"/>
              <w:spacing w:after="0" w:line="201" w:lineRule="exact"/>
              <w:rPr>
                <w:sz w:val="20"/>
                <w:szCs w:val="20"/>
                <w:color w:val="auto"/>
              </w:rPr>
            </w:pPr>
            <w:r>
              <w:rPr>
                <w:rFonts w:ascii="Times New Roman" w:cs="Times New Roman" w:eastAsia="Times New Roman" w:hAnsi="Times New Roman"/>
                <w:sz w:val="20"/>
                <w:szCs w:val="20"/>
                <w:color w:val="auto"/>
              </w:rPr>
              <w:t>Placebo</w:t>
            </w:r>
          </w:p>
        </w:tc>
        <w:tc>
          <w:tcPr>
            <w:tcW w:w="0" w:type="dxa"/>
            <w:vAlign w:val="bottom"/>
          </w:tcPr>
          <w:p>
            <w:pPr>
              <w:spacing w:after="0"/>
              <w:rPr>
                <w:sz w:val="1"/>
                <w:szCs w:val="1"/>
                <w:color w:val="auto"/>
              </w:rPr>
            </w:pPr>
          </w:p>
        </w:tc>
      </w:tr>
      <w:tr>
        <w:trPr>
          <w:trHeight w:val="250"/>
        </w:trPr>
        <w:tc>
          <w:tcPr>
            <w:tcW w:w="278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(n=51)</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(n=52)</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(n=53)</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(n=51)</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UAS7 Changes</w:t>
            </w:r>
          </w:p>
        </w:tc>
        <w:tc>
          <w:tcPr>
            <w:tcW w:w="20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Baseline UAS7 (mean)</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7"/>
              </w:rPr>
              <w:t>31.33</w:t>
            </w:r>
          </w:p>
        </w:tc>
        <w:tc>
          <w:tcPr>
            <w:tcW w:w="248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7"/>
              </w:rPr>
              <w:t>30.75</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30.30</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30.09</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LS Mean change at Week 12</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rPr>
              <w:t>-23.87</w:t>
            </w:r>
          </w:p>
        </w:tc>
        <w:tc>
          <w:tcPr>
            <w:tcW w:w="248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rPr>
              <w:t>-23.02</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6"/>
              </w:rPr>
              <w:t>-17.06</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-10.47</w:t>
            </w:r>
          </w:p>
        </w:tc>
        <w:tc>
          <w:tcPr>
            <w:tcW w:w="0" w:type="dxa"/>
            <w:vAlign w:val="bottom"/>
          </w:tcPr>
          <w:p>
            <w:pPr>
              <w:spacing w:after="0"/>
              <w:rPr>
                <w:sz w:val="1"/>
                <w:szCs w:val="1"/>
                <w:color w:val="auto"/>
              </w:rPr>
            </w:pPr>
          </w:p>
        </w:tc>
      </w:tr>
      <w:tr>
        <w:trPr>
          <w:trHeight w:val="199"/>
        </w:trPr>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LS Mean difference from placebo</w:t>
            </w:r>
          </w:p>
        </w:tc>
        <w:tc>
          <w:tcPr>
            <w:tcW w:w="204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-13.41</w:t>
            </w:r>
          </w:p>
        </w:tc>
        <w:tc>
          <w:tcPr>
            <w:tcW w:w="24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-12.55</w:t>
            </w:r>
          </w:p>
        </w:tc>
        <w:tc>
          <w:tcPr>
            <w:tcW w:w="18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-6.60</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ind w:left="260"/>
              <w:spacing w:after="0" w:line="227" w:lineRule="exact"/>
              <w:rPr>
                <w:sz w:val="20"/>
                <w:szCs w:val="20"/>
                <w:color w:val="auto"/>
              </w:rPr>
            </w:pPr>
            <w:r>
              <w:rPr>
                <w:rFonts w:ascii="Times New Roman" w:cs="Times New Roman" w:eastAsia="Times New Roman" w:hAnsi="Times New Roman"/>
                <w:sz w:val="20"/>
                <w:szCs w:val="20"/>
                <w:color w:val="auto"/>
              </w:rPr>
              <w:t>(CI: -17.47, -9.34)</w:t>
            </w:r>
          </w:p>
        </w:tc>
        <w:tc>
          <w:tcPr>
            <w:tcW w:w="2480" w:type="dxa"/>
            <w:vAlign w:val="bottom"/>
            <w:tcBorders>
              <w:right w:val="single" w:sz="8" w:color="auto"/>
            </w:tcBorders>
            <w:vMerge w:val="restart"/>
          </w:tcPr>
          <w:p>
            <w:pPr>
              <w:ind w:left="500"/>
              <w:spacing w:after="0" w:line="227" w:lineRule="exact"/>
              <w:rPr>
                <w:sz w:val="20"/>
                <w:szCs w:val="20"/>
                <w:color w:val="auto"/>
              </w:rPr>
            </w:pPr>
            <w:r>
              <w:rPr>
                <w:rFonts w:ascii="Times New Roman" w:cs="Times New Roman" w:eastAsia="Times New Roman" w:hAnsi="Times New Roman"/>
                <w:sz w:val="20"/>
                <w:szCs w:val="20"/>
                <w:color w:val="auto"/>
              </w:rPr>
              <w:t>(CI:-16.56, -8.55)</w:t>
            </w:r>
          </w:p>
        </w:tc>
        <w:tc>
          <w:tcPr>
            <w:tcW w:w="1800" w:type="dxa"/>
            <w:vAlign w:val="bottom"/>
            <w:tcBorders>
              <w:right w:val="single" w:sz="8" w:color="auto"/>
            </w:tcBorders>
            <w:vMerge w:val="restart"/>
          </w:tcPr>
          <w:p>
            <w:pPr>
              <w:ind w:left="160"/>
              <w:spacing w:after="0" w:line="227" w:lineRule="exact"/>
              <w:rPr>
                <w:sz w:val="20"/>
                <w:szCs w:val="20"/>
                <w:color w:val="auto"/>
              </w:rPr>
            </w:pPr>
            <w:r>
              <w:rPr>
                <w:rFonts w:ascii="Times New Roman" w:cs="Times New Roman" w:eastAsia="Times New Roman" w:hAnsi="Times New Roman"/>
                <w:sz w:val="20"/>
                <w:szCs w:val="20"/>
                <w:color w:val="auto"/>
              </w:rPr>
              <w:t>(CI:-10.71, -2.49)</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(Confidence Interval, p value)</w:t>
            </w:r>
          </w:p>
        </w:tc>
        <w:tc>
          <w:tcPr>
            <w:tcW w:w="20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p=0.0017</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78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HSS7 Changes</w:t>
            </w:r>
          </w:p>
        </w:tc>
        <w:tc>
          <w:tcPr>
            <w:tcW w:w="20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Baseline HSS7 (mean)</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7"/>
              </w:rPr>
              <w:t>14.92</w:t>
            </w:r>
          </w:p>
        </w:tc>
        <w:tc>
          <w:tcPr>
            <w:tcW w:w="248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7"/>
              </w:rPr>
              <w:t>15.05</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14.86</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14.47</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LS Mean change at Week 12</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rPr>
              <w:t>-12.19</w:t>
            </w:r>
          </w:p>
        </w:tc>
        <w:tc>
          <w:tcPr>
            <w:tcW w:w="248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rPr>
              <w:t>-11.19</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-8.25</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-4.95</w:t>
            </w:r>
          </w:p>
        </w:tc>
        <w:tc>
          <w:tcPr>
            <w:tcW w:w="0" w:type="dxa"/>
            <w:vAlign w:val="bottom"/>
          </w:tcPr>
          <w:p>
            <w:pPr>
              <w:spacing w:after="0"/>
              <w:rPr>
                <w:sz w:val="1"/>
                <w:szCs w:val="1"/>
                <w:color w:val="auto"/>
              </w:rPr>
            </w:pPr>
          </w:p>
        </w:tc>
      </w:tr>
      <w:tr>
        <w:trPr>
          <w:trHeight w:val="199"/>
        </w:trPr>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LS Mean difference from placebo</w:t>
            </w:r>
          </w:p>
        </w:tc>
        <w:tc>
          <w:tcPr>
            <w:tcW w:w="2040" w:type="dxa"/>
            <w:vAlign w:val="bottom"/>
            <w:tcBorders>
              <w:right w:val="single" w:sz="8" w:color="auto"/>
            </w:tcBorders>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rPr>
              <w:t>-7.24</w:t>
            </w:r>
          </w:p>
        </w:tc>
        <w:tc>
          <w:tcPr>
            <w:tcW w:w="248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-6.24</w:t>
            </w:r>
          </w:p>
        </w:tc>
        <w:tc>
          <w:tcPr>
            <w:tcW w:w="18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rPr>
              <w:t>-3.31</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ind w:left="300"/>
              <w:spacing w:after="0" w:line="227" w:lineRule="exact"/>
              <w:rPr>
                <w:sz w:val="20"/>
                <w:szCs w:val="20"/>
                <w:color w:val="auto"/>
              </w:rPr>
            </w:pPr>
            <w:r>
              <w:rPr>
                <w:rFonts w:ascii="Times New Roman" w:cs="Times New Roman" w:eastAsia="Times New Roman" w:hAnsi="Times New Roman"/>
                <w:sz w:val="20"/>
                <w:szCs w:val="20"/>
                <w:color w:val="auto"/>
              </w:rPr>
              <w:t>(CI:-9.36, -5.12)</w:t>
            </w:r>
          </w:p>
        </w:tc>
        <w:tc>
          <w:tcPr>
            <w:tcW w:w="2480" w:type="dxa"/>
            <w:vAlign w:val="bottom"/>
            <w:tcBorders>
              <w:right w:val="single" w:sz="8" w:color="auto"/>
            </w:tcBorders>
            <w:vMerge w:val="restart"/>
          </w:tcPr>
          <w:p>
            <w:pPr>
              <w:ind w:left="500"/>
              <w:spacing w:after="0" w:line="227" w:lineRule="exact"/>
              <w:rPr>
                <w:sz w:val="20"/>
                <w:szCs w:val="20"/>
                <w:color w:val="auto"/>
              </w:rPr>
            </w:pPr>
            <w:r>
              <w:rPr>
                <w:rFonts w:ascii="Times New Roman" w:cs="Times New Roman" w:eastAsia="Times New Roman" w:hAnsi="Times New Roman"/>
                <w:sz w:val="20"/>
                <w:szCs w:val="20"/>
                <w:color w:val="auto"/>
              </w:rPr>
              <w:t>(CI:-8.33, -4.16),</w:t>
            </w:r>
          </w:p>
        </w:tc>
        <w:tc>
          <w:tcPr>
            <w:tcW w:w="1800" w:type="dxa"/>
            <w:vAlign w:val="bottom"/>
            <w:tcBorders>
              <w:right w:val="single" w:sz="8" w:color="auto"/>
            </w:tcBorders>
            <w:vMerge w:val="restart"/>
          </w:tcPr>
          <w:p>
            <w:pPr>
              <w:ind w:left="160"/>
              <w:spacing w:after="0" w:line="227" w:lineRule="exact"/>
              <w:rPr>
                <w:sz w:val="20"/>
                <w:szCs w:val="20"/>
                <w:color w:val="auto"/>
              </w:rPr>
            </w:pPr>
            <w:r>
              <w:rPr>
                <w:rFonts w:ascii="Times New Roman" w:cs="Times New Roman" w:eastAsia="Times New Roman" w:hAnsi="Times New Roman"/>
                <w:sz w:val="20"/>
                <w:szCs w:val="20"/>
                <w:color w:val="auto"/>
              </w:rPr>
              <w:t>(CI:-5.40, -1.22),</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(Confidence Interval, p value)</w:t>
            </w:r>
          </w:p>
        </w:tc>
        <w:tc>
          <w:tcPr>
            <w:tcW w:w="20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restart"/>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248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p&lt;0.0001</w:t>
            </w:r>
          </w:p>
        </w:tc>
        <w:tc>
          <w:tcPr>
            <w:tcW w:w="180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p=0.0020</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78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ISS7 Changes</w:t>
            </w:r>
          </w:p>
        </w:tc>
        <w:tc>
          <w:tcPr>
            <w:tcW w:w="20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Baseline ISS7 (mean)</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7"/>
              </w:rPr>
              <w:t>16.42</w:t>
            </w:r>
          </w:p>
        </w:tc>
        <w:tc>
          <w:tcPr>
            <w:tcW w:w="248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w w:val="97"/>
              </w:rPr>
              <w:t>15.70</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15.44</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15.61</w:t>
            </w: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LS Mean change at Week 12</w:t>
            </w:r>
          </w:p>
        </w:tc>
        <w:tc>
          <w:tcPr>
            <w:tcW w:w="204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rPr>
              <w:t>-11.79</w:t>
            </w:r>
          </w:p>
        </w:tc>
        <w:tc>
          <w:tcPr>
            <w:tcW w:w="2480" w:type="dxa"/>
            <w:vAlign w:val="bottom"/>
            <w:tcBorders>
              <w:bottom w:val="single" w:sz="8" w:color="auto"/>
              <w:right w:val="single" w:sz="8" w:color="auto"/>
            </w:tcBorders>
          </w:tcPr>
          <w:p>
            <w:pPr>
              <w:jc w:val="center"/>
              <w:ind w:right="20"/>
              <w:spacing w:after="0" w:line="220" w:lineRule="exact"/>
              <w:rPr>
                <w:sz w:val="20"/>
                <w:szCs w:val="20"/>
                <w:color w:val="auto"/>
              </w:rPr>
            </w:pPr>
            <w:r>
              <w:rPr>
                <w:rFonts w:ascii="Times New Roman" w:cs="Times New Roman" w:eastAsia="Times New Roman" w:hAnsi="Times New Roman"/>
                <w:sz w:val="20"/>
                <w:szCs w:val="20"/>
                <w:color w:val="auto"/>
              </w:rPr>
              <w:t>-11.68</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-8.62</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-5.47</w:t>
            </w:r>
          </w:p>
        </w:tc>
        <w:tc>
          <w:tcPr>
            <w:tcW w:w="0" w:type="dxa"/>
            <w:vAlign w:val="bottom"/>
          </w:tcPr>
          <w:p>
            <w:pPr>
              <w:spacing w:after="0"/>
              <w:rPr>
                <w:sz w:val="1"/>
                <w:szCs w:val="1"/>
                <w:color w:val="auto"/>
              </w:rPr>
            </w:pPr>
          </w:p>
        </w:tc>
      </w:tr>
      <w:tr>
        <w:trPr>
          <w:trHeight w:val="201"/>
        </w:trPr>
        <w:tc>
          <w:tcPr>
            <w:tcW w:w="2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LS Mean difference from placebo</w:t>
            </w:r>
          </w:p>
        </w:tc>
        <w:tc>
          <w:tcPr>
            <w:tcW w:w="2040" w:type="dxa"/>
            <w:vAlign w:val="bottom"/>
            <w:tcBorders>
              <w:right w:val="single" w:sz="8" w:color="auto"/>
            </w:tcBorders>
          </w:tcPr>
          <w:p>
            <w:pPr>
              <w:jc w:val="center"/>
              <w:ind w:right="40"/>
              <w:spacing w:after="0" w:line="201" w:lineRule="exact"/>
              <w:rPr>
                <w:sz w:val="20"/>
                <w:szCs w:val="20"/>
                <w:color w:val="auto"/>
              </w:rPr>
            </w:pPr>
            <w:r>
              <w:rPr>
                <w:rFonts w:ascii="Times New Roman" w:cs="Times New Roman" w:eastAsia="Times New Roman" w:hAnsi="Times New Roman"/>
                <w:sz w:val="20"/>
                <w:szCs w:val="20"/>
                <w:color w:val="auto"/>
              </w:rPr>
              <w:t>-6.32</w:t>
            </w:r>
          </w:p>
        </w:tc>
        <w:tc>
          <w:tcPr>
            <w:tcW w:w="24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-6.21</w:t>
            </w:r>
          </w:p>
        </w:tc>
        <w:tc>
          <w:tcPr>
            <w:tcW w:w="18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rPr>
              <w:t>-3.16</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780" w:type="dxa"/>
            <w:vAlign w:val="bottom"/>
            <w:tcBorders>
              <w:right w:val="single" w:sz="8" w:color="auto"/>
            </w:tcBorders>
            <w:vMerge w:val="continue"/>
          </w:tcPr>
          <w:p>
            <w:pPr>
              <w:spacing w:after="0"/>
              <w:rPr>
                <w:sz w:val="10"/>
                <w:szCs w:val="10"/>
                <w:color w:val="auto"/>
              </w:rPr>
            </w:pPr>
          </w:p>
        </w:tc>
        <w:tc>
          <w:tcPr>
            <w:tcW w:w="2040" w:type="dxa"/>
            <w:vAlign w:val="bottom"/>
            <w:tcBorders>
              <w:right w:val="single" w:sz="8" w:color="auto"/>
            </w:tcBorders>
            <w:vMerge w:val="restart"/>
          </w:tcPr>
          <w:p>
            <w:pPr>
              <w:ind w:left="240"/>
              <w:spacing w:after="0" w:line="226" w:lineRule="exact"/>
              <w:rPr>
                <w:sz w:val="20"/>
                <w:szCs w:val="20"/>
                <w:color w:val="auto"/>
              </w:rPr>
            </w:pPr>
            <w:r>
              <w:rPr>
                <w:rFonts w:ascii="Times New Roman" w:cs="Times New Roman" w:eastAsia="Times New Roman" w:hAnsi="Times New Roman"/>
                <w:sz w:val="20"/>
                <w:szCs w:val="20"/>
                <w:color w:val="auto"/>
              </w:rPr>
              <w:t>(CI: -8.50, -4.13),</w:t>
            </w:r>
          </w:p>
        </w:tc>
        <w:tc>
          <w:tcPr>
            <w:tcW w:w="2480" w:type="dxa"/>
            <w:vAlign w:val="bottom"/>
            <w:tcBorders>
              <w:right w:val="single" w:sz="8" w:color="auto"/>
            </w:tcBorders>
            <w:vMerge w:val="restart"/>
          </w:tcPr>
          <w:p>
            <w:pPr>
              <w:ind w:left="480"/>
              <w:spacing w:after="0" w:line="226" w:lineRule="exact"/>
              <w:rPr>
                <w:sz w:val="20"/>
                <w:szCs w:val="20"/>
                <w:color w:val="auto"/>
              </w:rPr>
            </w:pPr>
            <w:r>
              <w:rPr>
                <w:rFonts w:ascii="Times New Roman" w:cs="Times New Roman" w:eastAsia="Times New Roman" w:hAnsi="Times New Roman"/>
                <w:sz w:val="20"/>
                <w:szCs w:val="20"/>
                <w:color w:val="auto"/>
              </w:rPr>
              <w:t>(CI: -8.38, -4.04),</w:t>
            </w:r>
          </w:p>
        </w:tc>
        <w:tc>
          <w:tcPr>
            <w:tcW w:w="1800" w:type="dxa"/>
            <w:vAlign w:val="bottom"/>
            <w:tcBorders>
              <w:right w:val="single" w:sz="8" w:color="auto"/>
            </w:tcBorders>
            <w:vMerge w:val="restart"/>
          </w:tcPr>
          <w:p>
            <w:pPr>
              <w:ind w:left="140"/>
              <w:spacing w:after="0" w:line="226" w:lineRule="exact"/>
              <w:rPr>
                <w:sz w:val="20"/>
                <w:szCs w:val="20"/>
                <w:color w:val="auto"/>
              </w:rPr>
            </w:pPr>
            <w:r>
              <w:rPr>
                <w:rFonts w:ascii="Times New Roman" w:cs="Times New Roman" w:eastAsia="Times New Roman" w:hAnsi="Times New Roman"/>
                <w:sz w:val="20"/>
                <w:szCs w:val="20"/>
                <w:color w:val="auto"/>
              </w:rPr>
              <w:t>(CI: -5.41, -0.91),</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7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20"/>
                <w:szCs w:val="20"/>
                <w:color w:val="auto"/>
              </w:rPr>
              <w:t>(Confidence Interval, p value)</w:t>
            </w:r>
          </w:p>
        </w:tc>
        <w:tc>
          <w:tcPr>
            <w:tcW w:w="2040" w:type="dxa"/>
            <w:vAlign w:val="bottom"/>
            <w:tcBorders>
              <w:right w:val="single" w:sz="8" w:color="auto"/>
            </w:tcBorders>
            <w:vMerge w:val="continue"/>
          </w:tcPr>
          <w:p>
            <w:pPr>
              <w:spacing w:after="0"/>
              <w:rPr>
                <w:sz w:val="9"/>
                <w:szCs w:val="9"/>
                <w:color w:val="auto"/>
              </w:rPr>
            </w:pPr>
          </w:p>
        </w:tc>
        <w:tc>
          <w:tcPr>
            <w:tcW w:w="24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780" w:type="dxa"/>
            <w:vAlign w:val="bottom"/>
            <w:tcBorders>
              <w:right w:val="single" w:sz="8" w:color="auto"/>
            </w:tcBorders>
            <w:vMerge w:val="continue"/>
          </w:tcPr>
          <w:p>
            <w:pPr>
              <w:spacing w:after="0"/>
              <w:rPr>
                <w:sz w:val="13"/>
                <w:szCs w:val="13"/>
                <w:color w:val="auto"/>
              </w:rPr>
            </w:pPr>
          </w:p>
        </w:tc>
        <w:tc>
          <w:tcPr>
            <w:tcW w:w="2040" w:type="dxa"/>
            <w:vAlign w:val="bottom"/>
            <w:tcBorders>
              <w:right w:val="single" w:sz="8" w:color="auto"/>
            </w:tcBorders>
            <w:vMerge w:val="restart"/>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p&lt;0.0001</w:t>
            </w:r>
          </w:p>
        </w:tc>
        <w:tc>
          <w:tcPr>
            <w:tcW w:w="248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p&lt;0.0001</w:t>
            </w:r>
          </w:p>
        </w:tc>
        <w:tc>
          <w:tcPr>
            <w:tcW w:w="180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9"/>
              </w:rPr>
              <w:t>p=0.0061</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78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vMerge w:val="continue"/>
          </w:tcPr>
          <w:p>
            <w:pPr>
              <w:spacing w:after="0"/>
              <w:rPr>
                <w:sz w:val="8"/>
                <w:szCs w:val="8"/>
                <w:color w:val="auto"/>
              </w:rPr>
            </w:pPr>
          </w:p>
        </w:tc>
        <w:tc>
          <w:tcPr>
            <w:tcW w:w="248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20" w:type="dxa"/>
            <w:vAlign w:val="bottom"/>
            <w:tcBorders>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Responder Analyses/Clinical Responses</w:t>
            </w:r>
          </w:p>
        </w:tc>
        <w:tc>
          <w:tcPr>
            <w:tcW w:w="2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8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UAS7=0 (Complete Control)</w:t>
            </w:r>
          </w:p>
        </w:tc>
        <w:tc>
          <w:tcPr>
            <w:tcW w:w="20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37.5%</w:t>
            </w:r>
          </w:p>
        </w:tc>
        <w:tc>
          <w:tcPr>
            <w:tcW w:w="24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51.1%</w:t>
            </w:r>
          </w:p>
        </w:tc>
        <w:tc>
          <w:tcPr>
            <w:tcW w:w="18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22.9%</w:t>
            </w:r>
          </w:p>
        </w:tc>
        <w:tc>
          <w:tcPr>
            <w:tcW w:w="17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auto"/>
              <w:right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UAS7</w:t>
            </w:r>
            <w:r>
              <w:rPr>
                <w:rFonts w:ascii="Arial" w:cs="Arial" w:eastAsia="Arial" w:hAnsi="Arial"/>
                <w:sz w:val="20"/>
                <w:szCs w:val="20"/>
                <w:color w:val="auto"/>
              </w:rPr>
              <w:t>≤</w:t>
            </w:r>
            <w:r>
              <w:rPr>
                <w:rFonts w:ascii="Times New Roman" w:cs="Times New Roman" w:eastAsia="Times New Roman" w:hAnsi="Times New Roman"/>
                <w:sz w:val="20"/>
                <w:szCs w:val="20"/>
                <w:color w:val="auto"/>
              </w:rPr>
              <w:t>6 (Well-controlled)</w:t>
            </w:r>
          </w:p>
        </w:tc>
        <w:tc>
          <w:tcPr>
            <w:tcW w:w="204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62.5%</w:t>
            </w:r>
          </w:p>
        </w:tc>
        <w:tc>
          <w:tcPr>
            <w:tcW w:w="248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59.6%</w:t>
            </w:r>
          </w:p>
        </w:tc>
        <w:tc>
          <w:tcPr>
            <w:tcW w:w="180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41.7%</w:t>
            </w:r>
          </w:p>
        </w:tc>
        <w:tc>
          <w:tcPr>
            <w:tcW w:w="1700" w:type="dxa"/>
            <w:vAlign w:val="bottom"/>
            <w:tcBorders>
              <w:bottom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UAS7, HSS7 and ISS7 data were analyzed using ANCOVA model and multiple imputation.</w:t>
      </w:r>
    </w:p>
    <w:p>
      <w:pPr>
        <w:spacing w:after="0" w:line="240" w:lineRule="exact"/>
        <w:rPr>
          <w:sz w:val="20"/>
          <w:szCs w:val="20"/>
          <w:color w:val="auto"/>
        </w:rPr>
      </w:pPr>
    </w:p>
    <w:p>
      <w:pPr>
        <w:ind w:right="100" w:firstLine="360"/>
        <w:spacing w:after="0" w:line="252" w:lineRule="auto"/>
        <w:rPr>
          <w:sz w:val="20"/>
          <w:szCs w:val="20"/>
          <w:color w:val="auto"/>
        </w:rPr>
      </w:pPr>
      <w:r>
        <w:rPr>
          <w:rFonts w:ascii="Times New Roman" w:cs="Times New Roman" w:eastAsia="Times New Roman" w:hAnsi="Times New Roman"/>
          <w:sz w:val="20"/>
          <w:szCs w:val="20"/>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800"/>
          </w:cols>
          <w:pgMar w:left="540" w:top="1349" w:right="540" w:bottom="0" w:gutter="0" w:footer="0" w:header="0"/>
          <w:type w:val="continuous"/>
        </w:sectPr>
      </w:pPr>
    </w:p>
    <w:bookmarkStart w:id="142" w:name="page143"/>
    <w:bookmarkEnd w:id="142"/>
    <w:p>
      <w:pPr>
        <w:ind w:right="80" w:firstLine="361"/>
        <w:spacing w:after="0" w:line="253" w:lineRule="auto"/>
        <w:rPr>
          <w:sz w:val="20"/>
          <w:szCs w:val="20"/>
          <w:color w:val="auto"/>
        </w:rPr>
      </w:pPr>
      <w:r>
        <w:rPr>
          <w:rFonts w:ascii="Times New Roman" w:cs="Times New Roman" w:eastAsia="Times New Roman" w:hAnsi="Times New Roman"/>
          <w:sz w:val="20"/>
          <w:szCs w:val="20"/>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191"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In June 2024, 12 week data on a secondary endpoint from the study, angioedema activity, and additional measures of angioedema control, were presented at the EAACI 2024 Congress. Approximately 72% of patients on study had angioedema at baseline. Barzolvolimab demonstrated significant improvements in AAS7 in patients with angioedema across all doses at Week 12. This improvement was rapid (within 2 weeks) and durable (continued through 12 weeks). Barzolvolimab demonstrated strong improvement in AAS7 independent of omalizumab status at Week 12. Patients on barzolvolimab experienced a &gt; 8 point improvement in AAS7 (considered a clinically meaningful result) across all doses compared to placebo (p&lt;0.05). Barzolvolimab increased angioedema free days compared to placebo through 12 weeks. Patients in the 300 mg cohort were angioedema free 77% of the time over the 12 week period.</w:t>
      </w:r>
    </w:p>
    <w:p>
      <w:pPr>
        <w:spacing w:after="0" w:line="202"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Patients on study continued to receive barzolvolimab for up to 52 weeks. Long term treatment data were presented in September at the European Academy of Dermatology &amp; Venereology (EADV) Congress 2024 and quality of life data were presented in March at the AAAAI Annual Meeting 2025. The data demonstrated a sustained and deepening disease efficacy, a well tolerated safety profile, greatly improved urticaria control and reduced disease impact on quality of life over a 52 week treatment period. Key highlights included:</w:t>
      </w:r>
    </w:p>
    <w:p>
      <w:pPr>
        <w:spacing w:after="0" w:line="211" w:lineRule="exact"/>
        <w:rPr>
          <w:sz w:val="20"/>
          <w:szCs w:val="20"/>
          <w:color w:val="auto"/>
        </w:rPr>
      </w:pPr>
    </w:p>
    <w:p>
      <w:pPr>
        <w:ind w:left="720" w:right="500" w:hanging="360"/>
        <w:spacing w:after="0" w:line="277"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Improvements in UAS7 (weekly urticaria activity score), previously shown to be statistically significantly vs placebo at Week 12, were noted as early as Week 1 and were sustained or deepened at Week 52.</w:t>
      </w:r>
    </w:p>
    <w:p>
      <w:pPr>
        <w:spacing w:after="0" w:line="183" w:lineRule="exact"/>
        <w:rPr>
          <w:rFonts w:ascii="Arial" w:cs="Arial" w:eastAsia="Arial" w:hAnsi="Arial"/>
          <w:sz w:val="20"/>
          <w:szCs w:val="20"/>
          <w:color w:val="auto"/>
        </w:rPr>
      </w:pPr>
    </w:p>
    <w:p>
      <w:pPr>
        <w:ind w:left="720" w:right="340" w:hanging="360"/>
        <w:spacing w:after="0" w:line="258"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At Week 16, patients receiving low dose barzolvolimab (75 mg) or placebo were transitioned to barzolvolimab 150 mg or 300 mg; after crossover, these patients experienced similar clinically meaningful disease response as the rest of the study population.</w:t>
      </w:r>
    </w:p>
    <w:p>
      <w:pPr>
        <w:spacing w:after="0" w:line="200" w:lineRule="exact"/>
        <w:rPr>
          <w:rFonts w:ascii="Arial" w:cs="Arial" w:eastAsia="Arial" w:hAnsi="Arial"/>
          <w:sz w:val="20"/>
          <w:szCs w:val="20"/>
          <w:color w:val="auto"/>
        </w:rPr>
      </w:pPr>
    </w:p>
    <w:p>
      <w:pPr>
        <w:ind w:left="720" w:right="440" w:hanging="361"/>
        <w:spacing w:after="0" w:line="305" w:lineRule="auto"/>
        <w:tabs>
          <w:tab w:leader="none" w:pos="720" w:val="left"/>
        </w:tabs>
        <w:numPr>
          <w:ilvl w:val="0"/>
          <w:numId w:val="108"/>
        </w:numPr>
        <w:rPr>
          <w:rFonts w:ascii="Arial" w:cs="Arial" w:eastAsia="Arial" w:hAnsi="Arial"/>
          <w:sz w:val="19"/>
          <w:szCs w:val="19"/>
          <w:color w:val="auto"/>
        </w:rPr>
      </w:pPr>
      <w:r>
        <w:rPr>
          <w:rFonts w:ascii="Times New Roman" w:cs="Times New Roman" w:eastAsia="Times New Roman" w:hAnsi="Times New Roman"/>
          <w:sz w:val="19"/>
          <w:szCs w:val="19"/>
          <w:color w:val="auto"/>
        </w:rPr>
        <w:t>71% of patients treated with barzolvolimab 150 mg Q4W and 52% of patients treated with 300 mg Q8W had a complete response (no itch/hives; UAS7=0) at Week 52. These responses were observed early and sustained through 52 weeks.</w:t>
      </w:r>
    </w:p>
    <w:p>
      <w:pPr>
        <w:spacing w:after="0" w:line="158" w:lineRule="exact"/>
        <w:rPr>
          <w:rFonts w:ascii="Arial" w:cs="Arial" w:eastAsia="Arial" w:hAnsi="Arial"/>
          <w:sz w:val="19"/>
          <w:szCs w:val="19"/>
          <w:color w:val="auto"/>
        </w:rPr>
      </w:pPr>
    </w:p>
    <w:p>
      <w:pPr>
        <w:ind w:left="720" w:right="100" w:hanging="361"/>
        <w:spacing w:after="0" w:line="277"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74% of patients treated with barzolvolimab 150 mg Q4W and 68% of patients treated with 300 mg Q8W had well controlled (UAS7&lt;6) disease at Week 52.</w:t>
      </w:r>
    </w:p>
    <w:p>
      <w:pPr>
        <w:spacing w:after="0" w:line="182" w:lineRule="exact"/>
        <w:rPr>
          <w:rFonts w:ascii="Arial" w:cs="Arial" w:eastAsia="Arial" w:hAnsi="Arial"/>
          <w:sz w:val="20"/>
          <w:szCs w:val="20"/>
          <w:color w:val="auto"/>
        </w:rPr>
      </w:pPr>
    </w:p>
    <w:p>
      <w:pPr>
        <w:ind w:left="720" w:hanging="361"/>
        <w:spacing w:after="0"/>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These robust responses were observed regardless of prior omalizumab experience.</w:t>
      </w:r>
    </w:p>
    <w:p>
      <w:pPr>
        <w:spacing w:after="0" w:line="253" w:lineRule="exact"/>
        <w:rPr>
          <w:rFonts w:ascii="Arial" w:cs="Arial" w:eastAsia="Arial" w:hAnsi="Arial"/>
          <w:sz w:val="20"/>
          <w:szCs w:val="20"/>
          <w:color w:val="auto"/>
        </w:rPr>
      </w:pPr>
    </w:p>
    <w:p>
      <w:pPr>
        <w:ind w:left="720" w:right="20" w:hanging="361"/>
        <w:spacing w:after="0" w:line="247"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with a favorable safety profile through 52 weeks of treatment. Most adverse events were grade 1 (mild), mechanism related (KIT) and expected to be reversible. The most common treatment emergent adverse events occurring in greater than 10% of barzolvolimab treated patients were hair color changes, neutropenia, urticaria, skin hypopigmentation (areas of skin lightening) and nasopharyngitis (common cold). Neutrophil counts did not decline further with continued dosing and there was no association between infections and neutropenia. The hypopigmentation was observed with longer term exposure and did not lead to treatment discontinuation. Adverse events were not dose dependent.</w:t>
      </w:r>
    </w:p>
    <w:p>
      <w:pPr>
        <w:spacing w:after="0" w:line="213" w:lineRule="exact"/>
        <w:rPr>
          <w:rFonts w:ascii="Arial" w:cs="Arial" w:eastAsia="Arial" w:hAnsi="Arial"/>
          <w:sz w:val="20"/>
          <w:szCs w:val="20"/>
          <w:color w:val="auto"/>
        </w:rPr>
      </w:pPr>
    </w:p>
    <w:p>
      <w:pPr>
        <w:ind w:left="720" w:right="20" w:hanging="361"/>
        <w:spacing w:after="0" w:line="249" w:lineRule="auto"/>
        <w:tabs>
          <w:tab w:leader="none" w:pos="720" w:val="left"/>
        </w:tabs>
        <w:numPr>
          <w:ilvl w:val="0"/>
          <w:numId w:val="108"/>
        </w:numPr>
        <w:rPr>
          <w:rFonts w:ascii="Arial" w:cs="Arial" w:eastAsia="Arial" w:hAnsi="Arial"/>
          <w:sz w:val="20"/>
          <w:szCs w:val="20"/>
          <w:color w:val="auto"/>
        </w:rPr>
      </w:pPr>
      <w:r>
        <w:rPr>
          <w:rFonts w:ascii="Times New Roman" w:cs="Times New Roman" w:eastAsia="Times New Roman" w:hAnsi="Times New Roman"/>
          <w:sz w:val="20"/>
          <w:szCs w:val="20"/>
          <w:color w:val="auto"/>
        </w:rPr>
        <w:t>Rapid and sustained improvement in urticaria control (UCT) and quality of life (DLQI) were observed in patients with CSU refractory to antihistamines. Up to 82% of patients reported that CSU symptoms no longer had an impact on their quality of life at Week 52 and up to 95% of patients reported meaningful improvement in quality of life based on DLQI at Week 52. Up to 82% of patients reported well-controlled urticaria based on UCT, and approximately half of patients reported complete control at Week 52.</w:t>
      </w:r>
    </w:p>
    <w:p>
      <w:pPr>
        <w:spacing w:after="0" w:line="196" w:lineRule="exact"/>
        <w:rPr>
          <w:sz w:val="20"/>
          <w:szCs w:val="20"/>
          <w:color w:val="auto"/>
        </w:rPr>
      </w:pPr>
    </w:p>
    <w:p>
      <w:pPr>
        <w:ind w:right="80" w:firstLine="360"/>
        <w:spacing w:after="0" w:line="246" w:lineRule="auto"/>
        <w:rPr>
          <w:sz w:val="20"/>
          <w:szCs w:val="20"/>
          <w:color w:val="auto"/>
        </w:rPr>
      </w:pPr>
      <w:r>
        <w:rPr>
          <w:rFonts w:ascii="Times New Roman" w:cs="Times New Roman" w:eastAsia="Times New Roman" w:hAnsi="Times New Roman"/>
          <w:sz w:val="20"/>
          <w:szCs w:val="20"/>
          <w:color w:val="auto"/>
        </w:rPr>
        <w:t>In June of 2025, 52 week data on angioedema activity and additional measures of angioedema control were presented at the EAACI 2025 Congress. Barzolvolimab continued to demonstrate robust, durable and deepening improvements in angioedema symptoms over the treatment period. At Week 52, an 86% mean reduction from baseline was reported for 150 mg Q4W arm and an 82% reduction was reported for the 300 mg Q8W. Up to 77% of patients treated with barzolvolimab who had angioedema at baseline were angioedema free (AAS7=0) at Week 52, which we subsequently announced remained at up to 64% seven months after last dose. Patients treated with barzolvolimab were angioedema free up to 72% of the time over the 52 week treatment period. Up to 87% of patients reported clinically meaningful improvement (&gt;8 point) in AAS7 at Week 52.</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800"/>
          </w:cols>
          <w:pgMar w:left="540" w:top="1349" w:right="540" w:bottom="0" w:gutter="0" w:footer="0" w:header="0"/>
          <w:type w:val="continuous"/>
        </w:sectPr>
      </w:pPr>
    </w:p>
    <w:bookmarkStart w:id="143" w:name="page144"/>
    <w:bookmarkEnd w:id="143"/>
    <w:p>
      <w:pPr>
        <w:ind w:firstLine="360"/>
        <w:spacing w:after="0" w:line="278" w:lineRule="auto"/>
        <w:rPr>
          <w:sz w:val="20"/>
          <w:szCs w:val="20"/>
          <w:color w:val="auto"/>
        </w:rPr>
      </w:pPr>
      <w:r>
        <w:rPr>
          <w:rFonts w:ascii="Times New Roman" w:cs="Times New Roman" w:eastAsia="Times New Roman" w:hAnsi="Times New Roman"/>
          <w:sz w:val="20"/>
          <w:szCs w:val="20"/>
          <w:color w:val="auto"/>
        </w:rPr>
        <w:t>In June of 2025, long term follow up data from the Phase 2 CSU study were presented at the EAACI 2025 Congress. At Week 76, seven months after completion of dosing, patients continue to experience profound clinical benefit on study. Key highlights included:</w:t>
      </w:r>
    </w:p>
    <w:p>
      <w:pPr>
        <w:spacing w:after="0" w:line="182" w:lineRule="exact"/>
        <w:rPr>
          <w:sz w:val="20"/>
          <w:szCs w:val="20"/>
          <w:color w:val="auto"/>
        </w:rPr>
      </w:pPr>
    </w:p>
    <w:p>
      <w:pPr>
        <w:ind w:left="720" w:right="480" w:hanging="360"/>
        <w:spacing w:after="0" w:line="277" w:lineRule="auto"/>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UAS7 mean change from baseline at Week 76 was -20.42 for patients treated with 150 mg Q4W and -21.10 for patients treated with 300 mg Q8W.</w:t>
      </w:r>
    </w:p>
    <w:p>
      <w:pPr>
        <w:spacing w:after="0" w:line="182" w:lineRule="exact"/>
        <w:rPr>
          <w:rFonts w:ascii="Arial" w:cs="Arial" w:eastAsia="Arial" w:hAnsi="Arial"/>
          <w:sz w:val="20"/>
          <w:szCs w:val="20"/>
          <w:color w:val="auto"/>
        </w:rPr>
      </w:pPr>
    </w:p>
    <w:p>
      <w:pPr>
        <w:ind w:left="720" w:right="420" w:hanging="360"/>
        <w:spacing w:after="0" w:line="277" w:lineRule="auto"/>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41% of patients treated with barzolvolimab 150 mg Q4W and 35% of patients treated with 300 mg Q8W had a complete response (no itch/hives; UAS7=0) at Week 76.</w:t>
      </w:r>
    </w:p>
    <w:p>
      <w:pPr>
        <w:spacing w:after="0" w:line="182" w:lineRule="exact"/>
        <w:rPr>
          <w:rFonts w:ascii="Arial" w:cs="Arial" w:eastAsia="Arial" w:hAnsi="Arial"/>
          <w:sz w:val="20"/>
          <w:szCs w:val="20"/>
          <w:color w:val="auto"/>
        </w:rPr>
      </w:pPr>
    </w:p>
    <w:p>
      <w:pPr>
        <w:ind w:left="720" w:right="80" w:hanging="360"/>
        <w:spacing w:after="0" w:line="276" w:lineRule="auto"/>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56% of patients treated with barzolvolimab 150 mg Q4W and 47% of patients treated with 300 mg Q8W had well controlled disease (UAS7</w:t>
      </w:r>
      <w:r>
        <w:rPr>
          <w:rFonts w:ascii="Arial" w:cs="Arial" w:eastAsia="Arial" w:hAnsi="Arial"/>
          <w:sz w:val="20"/>
          <w:szCs w:val="20"/>
          <w:color w:val="auto"/>
        </w:rPr>
        <w:t>≤</w:t>
      </w:r>
      <w:r>
        <w:rPr>
          <w:rFonts w:ascii="Times New Roman" w:cs="Times New Roman" w:eastAsia="Times New Roman" w:hAnsi="Times New Roman"/>
          <w:sz w:val="20"/>
          <w:szCs w:val="20"/>
          <w:color w:val="auto"/>
        </w:rPr>
        <w:t>6) at Week 76.</w:t>
      </w:r>
    </w:p>
    <w:p>
      <w:pPr>
        <w:spacing w:after="0" w:line="183" w:lineRule="exact"/>
        <w:rPr>
          <w:rFonts w:ascii="Arial" w:cs="Arial" w:eastAsia="Arial" w:hAnsi="Arial"/>
          <w:sz w:val="20"/>
          <w:szCs w:val="20"/>
          <w:color w:val="auto"/>
        </w:rPr>
      </w:pPr>
    </w:p>
    <w:p>
      <w:pPr>
        <w:ind w:left="720" w:right="180" w:hanging="360"/>
        <w:spacing w:after="0" w:line="252" w:lineRule="auto"/>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48% of patients treated with barzolvolimab 150 mg Q4W and 40% of patients treated with 300 mg Q8W reported that CSU had no impact on their quality of life at 76 weeks as measured by the Dermatology Life Quality Index (DLQI). Current clinical guidelines recommend complete response (UAS7=0) as the goal of treatment and achieving complete response is directly correlated to the greatest improvements in quality of life for patients.</w:t>
      </w:r>
    </w:p>
    <w:p>
      <w:pPr>
        <w:spacing w:after="0" w:line="208" w:lineRule="exact"/>
        <w:rPr>
          <w:rFonts w:ascii="Arial" w:cs="Arial" w:eastAsia="Arial" w:hAnsi="Arial"/>
          <w:sz w:val="20"/>
          <w:szCs w:val="20"/>
          <w:color w:val="auto"/>
        </w:rPr>
      </w:pPr>
    </w:p>
    <w:p>
      <w:pPr>
        <w:ind w:left="720" w:hanging="360"/>
        <w:spacing w:after="0"/>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These robust responses and improvements in quality of life were observed regardless of prior omalizumab experience.</w:t>
      </w:r>
    </w:p>
    <w:p>
      <w:pPr>
        <w:spacing w:after="0" w:line="253" w:lineRule="exact"/>
        <w:rPr>
          <w:rFonts w:ascii="Arial" w:cs="Arial" w:eastAsia="Arial" w:hAnsi="Arial"/>
          <w:sz w:val="20"/>
          <w:szCs w:val="20"/>
          <w:color w:val="auto"/>
        </w:rPr>
      </w:pPr>
    </w:p>
    <w:p>
      <w:pPr>
        <w:ind w:left="720" w:right="140" w:hanging="360"/>
        <w:spacing w:after="0" w:line="252" w:lineRule="auto"/>
        <w:tabs>
          <w:tab w:leader="none" w:pos="720" w:val="left"/>
        </w:tabs>
        <w:numPr>
          <w:ilvl w:val="0"/>
          <w:numId w:val="109"/>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with a favorable safety profile through 76 weeks. No new safety signals were identified during the follow-up period. As expected, neutrophil counts returned to baseline following the completion of barzolvolimab treatment and the mild hair color changes and skin hypopigmentation observed on study were demonstrated to be reversible following discontinuation of treatment.</w:t>
      </w:r>
    </w:p>
    <w:p>
      <w:pPr>
        <w:spacing w:after="0" w:line="192"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September at EADV 2025, data were presented demonstrating rapid and strong efficacy regardless of baseline immunoglobulin E (IgE) levels. In November 2025, at the American College of Allergy, Asthma &amp; Immunology’s Annual Scientific (ACAAI) Meeting, data were presented demonstrating that barzolvolimab leads to rapid and profound improvements in UCT7 scores with sustained disease control off treatment.</w:t>
      </w:r>
    </w:p>
    <w:p>
      <w:pPr>
        <w:spacing w:after="0" w:line="195" w:lineRule="exact"/>
        <w:rPr>
          <w:sz w:val="20"/>
          <w:szCs w:val="20"/>
          <w:color w:val="auto"/>
        </w:rPr>
      </w:pPr>
    </w:p>
    <w:p>
      <w:pPr>
        <w:ind w:right="80" w:firstLine="361"/>
        <w:spacing w:after="0" w:line="243" w:lineRule="auto"/>
        <w:rPr>
          <w:sz w:val="20"/>
          <w:szCs w:val="20"/>
          <w:color w:val="auto"/>
        </w:rPr>
      </w:pPr>
      <w:r>
        <w:rPr>
          <w:rFonts w:ascii="Times New Roman" w:cs="Times New Roman" w:eastAsia="Times New Roman" w:hAnsi="Times New Roman"/>
          <w:sz w:val="20"/>
          <w:szCs w:val="20"/>
          <w:color w:val="auto"/>
        </w:rPr>
        <w:t>We believe these results strongly support the further development of barzolvolimab in CSU. In July 2024, we initiated two Phase 3 studies of barzolvolimab in CSU. The studies, EMBARQ-CSU1 and EMBARQ-CSU2, are designed to establish the efficacy and safety of barzolvolimab in adult patients with CSU who remain symptomatic despite H1 antihistamine treatment. Both Phase 3 trials are randomized, double-blind, placebo-controlled, parallel group, global studies (approximately 40 countries; 250 sites per study) where approximately 915 patients per trial will be randomized evenly to barzolvolimab 150 mg every 4 weeks (following 300 mg loading dose), barzolvolimab 300 mg every 8 weeks (following 450 mg loading dose) or placebo for 52 weeks. At 24 weeks, patients on placebo will be re-randomized to active treatment across both dosing groups. After completion of the 52 week treatment period, patients on study will continue to be followed for 16 weeks. The primary endpoint of the studies will evaluate the clinical effect of barzolvolimab in reducing urticaria activity (weekly urticaria activity score; UAS7) at Week 12. The studies are designed to detect a clinically meaningful difference between each of the active arms versus placebo in the overall population as well as in the subpopulation of omalizumab refractory participants. The primary endpoint analysis will be performed when all patients have completed the placebo controlled portion of the study at 24 weeks. Enrollment to the studies was completed in February 2026 and topline data will be available in Q4 2026. 1,939 patients were enrolled—the largest program conducted in antihistamine refractory CSU, including patients with advanced therapy experienced/refractory CSU. The studies included 43 countries and over 500 sites.</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In addition, a global Phase 3b long term extension (LTE) study has been established for patient entry after completion of the</w:t>
      </w:r>
    </w:p>
    <w:p>
      <w:pPr>
        <w:spacing w:after="0" w:line="2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EMBARQ - CSU Phase 3 trials. The study will consist of 2 Groups: Group 1 (Observation Group), containing patients whose disease remains well controlled (UAS7&lt;16) and Group 2 (Barzolvolimab Retreatment Group) containing patients whose disease is currently moderate to severe (UAS7</w:t>
      </w:r>
      <w:r>
        <w:rPr>
          <w:rFonts w:ascii="Arial" w:cs="Arial" w:eastAsia="Arial" w:hAnsi="Arial"/>
          <w:sz w:val="20"/>
          <w:szCs w:val="20"/>
          <w:color w:val="auto"/>
        </w:rPr>
        <w:t>≥</w:t>
      </w:r>
      <w:r>
        <w:rPr>
          <w:rFonts w:ascii="Times New Roman" w:cs="Times New Roman" w:eastAsia="Times New Roman" w:hAnsi="Times New Roman"/>
          <w:sz w:val="20"/>
          <w:szCs w:val="20"/>
          <w:color w:val="auto"/>
        </w:rPr>
        <w:t>16). Patients in Group 2 will receive up to an additional year of treatment with barzolvolimab. Patients in the observation group (Group 1) whose CSU flares to a UAS7&gt;/=16 in the first 6 months of the LTE will also be able to receive treatment.</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780"/>
          </w:cols>
          <w:pgMar w:left="540" w:top="1349" w:right="560"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i w:val="1"/>
          <w:iCs w:val="1"/>
          <w:color w:val="auto"/>
        </w:rPr>
        <w:t>Chronic Inducible Urticaria (CIndU) Summary of Phase 1 and Phase 2 Data Presented to Date</w:t>
      </w:r>
    </w:p>
    <w:p>
      <w:pPr>
        <w:spacing w:after="0" w:line="237"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w:t>
      </w:r>
    </w:p>
    <w:p>
      <w:pPr>
        <w:spacing w:after="0" w:line="197"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201" w:lineRule="exact"/>
        <w:rPr>
          <w:sz w:val="20"/>
          <w:szCs w:val="20"/>
          <w:color w:val="auto"/>
        </w:rPr>
      </w:pPr>
    </w:p>
    <w:p>
      <w:pPr>
        <w:jc w:val="both"/>
        <w:ind w:right="20" w:firstLine="360"/>
        <w:spacing w:after="0" w:line="249" w:lineRule="auto"/>
        <w:rPr>
          <w:sz w:val="20"/>
          <w:szCs w:val="20"/>
          <w:color w:val="auto"/>
        </w:rPr>
      </w:pPr>
      <w:r>
        <w:rPr>
          <w:rFonts w:ascii="Times New Roman" w:cs="Times New Roman" w:eastAsia="Times New Roman" w:hAnsi="Times New Roman"/>
          <w:sz w:val="20"/>
          <w:szCs w:val="20"/>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Rapid (as early as 1 week) and durable responses were observed in patients as assessed by provocation testing.</w:t>
      </w:r>
    </w:p>
    <w:p>
      <w:pPr>
        <w:spacing w:after="0" w:line="255" w:lineRule="exact"/>
        <w:rPr>
          <w:sz w:val="20"/>
          <w:szCs w:val="20"/>
          <w:color w:val="auto"/>
        </w:rPr>
      </w:pPr>
    </w:p>
    <w:p>
      <w:pPr>
        <w:ind w:left="720" w:hanging="360"/>
        <w:spacing w:after="0" w:line="246" w:lineRule="auto"/>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w:t>
      </w:r>
      <w:r>
        <w:rPr>
          <w:rFonts w:ascii="Arial" w:cs="Arial" w:eastAsia="Arial" w:hAnsi="Arial"/>
          <w:sz w:val="20"/>
          <w:szCs w:val="20"/>
          <w:color w:val="auto"/>
        </w:rPr>
        <w:t>≥</w:t>
      </w:r>
      <w:r>
        <w:rPr>
          <w:rFonts w:ascii="Times New Roman" w:cs="Times New Roman" w:eastAsia="Times New Roman" w:hAnsi="Times New Roman"/>
          <w:sz w:val="20"/>
          <w:szCs w:val="20"/>
          <w:color w:val="auto"/>
        </w:rPr>
        <w:t>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212" w:lineRule="exact"/>
        <w:rPr>
          <w:rFonts w:ascii="Arial" w:cs="Arial" w:eastAsia="Arial" w:hAnsi="Arial"/>
          <w:sz w:val="20"/>
          <w:szCs w:val="20"/>
          <w:color w:val="auto"/>
        </w:rPr>
      </w:pPr>
    </w:p>
    <w:p>
      <w:pPr>
        <w:ind w:left="720" w:right="20" w:hanging="360"/>
        <w:spacing w:after="0" w:line="252" w:lineRule="auto"/>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208" w:lineRule="exact"/>
        <w:rPr>
          <w:rFonts w:ascii="Arial" w:cs="Arial" w:eastAsia="Arial" w:hAnsi="Arial"/>
          <w:sz w:val="20"/>
          <w:szCs w:val="20"/>
          <w:color w:val="auto"/>
        </w:rPr>
      </w:pPr>
    </w:p>
    <w:p>
      <w:pPr>
        <w:ind w:left="720" w:hanging="360"/>
        <w:spacing w:after="0" w:line="258" w:lineRule="auto"/>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 complete response was achieved in 56% (n=5 of 9) patients with cholinergic urticaria treated with a single dose at 3 mg/kg. Most responses remained durable through to Week 12. 63% (5/8) patients reported well controlled disease (UCT </w:t>
      </w:r>
      <w:r>
        <w:rPr>
          <w:rFonts w:ascii="Arial" w:cs="Arial" w:eastAsia="Arial" w:hAnsi="Arial"/>
          <w:sz w:val="20"/>
          <w:szCs w:val="20"/>
          <w:color w:val="auto"/>
        </w:rPr>
        <w:t>≥</w:t>
      </w:r>
      <w:r>
        <w:rPr>
          <w:rFonts w:ascii="Times New Roman" w:cs="Times New Roman" w:eastAsia="Times New Roman" w:hAnsi="Times New Roman"/>
          <w:sz w:val="20"/>
          <w:szCs w:val="20"/>
          <w:color w:val="auto"/>
        </w:rPr>
        <w:t>12) at Week 8 and 50% (4/8) at Week 12, respectively.</w:t>
      </w:r>
    </w:p>
    <w:p>
      <w:pPr>
        <w:spacing w:after="0" w:line="200" w:lineRule="exact"/>
        <w:rPr>
          <w:rFonts w:ascii="Arial" w:cs="Arial" w:eastAsia="Arial" w:hAnsi="Arial"/>
          <w:sz w:val="20"/>
          <w:szCs w:val="20"/>
          <w:color w:val="auto"/>
        </w:rPr>
      </w:pPr>
    </w:p>
    <w:p>
      <w:pPr>
        <w:ind w:left="720" w:right="180" w:hanging="360"/>
        <w:spacing w:after="0" w:line="258" w:lineRule="auto"/>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201" w:lineRule="exact"/>
        <w:rPr>
          <w:rFonts w:ascii="Arial" w:cs="Arial" w:eastAsia="Arial" w:hAnsi="Arial"/>
          <w:sz w:val="20"/>
          <w:szCs w:val="20"/>
          <w:color w:val="auto"/>
        </w:rPr>
      </w:pPr>
    </w:p>
    <w:p>
      <w:pPr>
        <w:ind w:left="720" w:right="160" w:hanging="360"/>
        <w:spacing w:after="0" w:line="252" w:lineRule="auto"/>
        <w:tabs>
          <w:tab w:leader="none" w:pos="72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206" w:lineRule="exact"/>
        <w:rPr>
          <w:rFonts w:ascii="Arial" w:cs="Arial" w:eastAsia="Arial" w:hAnsi="Arial"/>
          <w:sz w:val="20"/>
          <w:szCs w:val="20"/>
          <w:color w:val="auto"/>
        </w:rPr>
      </w:pPr>
    </w:p>
    <w:p>
      <w:pPr>
        <w:ind w:left="720" w:right="40" w:hanging="360"/>
        <w:spacing w:after="0" w:line="265" w:lineRule="auto"/>
        <w:tabs>
          <w:tab w:leader="none" w:pos="720" w:val="left"/>
        </w:tabs>
        <w:numPr>
          <w:ilvl w:val="0"/>
          <w:numId w:val="110"/>
        </w:numPr>
        <w:rPr>
          <w:rFonts w:ascii="Arial" w:cs="Arial" w:eastAsia="Arial" w:hAnsi="Arial"/>
          <w:sz w:val="19"/>
          <w:szCs w:val="19"/>
          <w:color w:val="auto"/>
        </w:rPr>
      </w:pPr>
      <w:r>
        <w:rPr>
          <w:rFonts w:ascii="Times New Roman" w:cs="Times New Roman" w:eastAsia="Times New Roman" w:hAnsi="Times New Roman"/>
          <w:sz w:val="19"/>
          <w:szCs w:val="19"/>
          <w:color w:val="auto"/>
        </w:rPr>
        <w:t>Barzolvolimab was well tolerated across all cohorts. In the 3 mg/kg ColdU and SD cohorts, most adverse events were mild, and the most common (</w:t>
      </w:r>
      <w:r>
        <w:rPr>
          <w:rFonts w:ascii="Arial" w:cs="Arial" w:eastAsia="Arial" w:hAnsi="Arial"/>
          <w:sz w:val="19"/>
          <w:szCs w:val="19"/>
          <w:color w:val="auto"/>
        </w:rPr>
        <w:t>≥</w:t>
      </w:r>
      <w:r>
        <w:rPr>
          <w:rFonts w:ascii="Times New Roman" w:cs="Times New Roman" w:eastAsia="Times New Roman" w:hAnsi="Times New Roman"/>
          <w:sz w:val="19"/>
          <w:szCs w:val="19"/>
          <w:color w:val="auto"/>
        </w:rPr>
        <w:t>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w:t>
      </w:r>
    </w:p>
    <w:p>
      <w:pPr>
        <w:sectPr>
          <w:pgSz w:w="11880" w:h="15480" w:orient="portrait"/>
          <w:cols w:equalWidth="0" w:num="1">
            <w:col w:w="10780"/>
          </w:cols>
          <w:pgMar w:left="540" w:top="1353" w:right="5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780"/>
          </w:cols>
          <w:pgMar w:left="540" w:top="1353" w:right="560" w:bottom="0" w:gutter="0" w:footer="0" w:header="0"/>
          <w:type w:val="continuous"/>
        </w:sectPr>
      </w:pPr>
    </w:p>
    <w:bookmarkStart w:id="145" w:name="page146"/>
    <w:bookmarkEnd w:id="145"/>
    <w:p>
      <w:pPr>
        <w:ind w:left="720" w:right="340"/>
        <w:spacing w:after="0" w:line="247" w:lineRule="auto"/>
        <w:rPr>
          <w:sz w:val="20"/>
          <w:szCs w:val="20"/>
          <w:color w:val="auto"/>
        </w:rPr>
      </w:pPr>
      <w:r>
        <w:rPr>
          <w:rFonts w:ascii="Times New Roman" w:cs="Times New Roman" w:eastAsia="Times New Roman" w:hAnsi="Times New Roman"/>
          <w:sz w:val="20"/>
          <w:szCs w:val="20"/>
          <w:color w:val="auto"/>
        </w:rPr>
        <w:t>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 KIT inhibitor. Mild, transient, and asymptomatic decreases in hemoglobin and white blood cell parameters occurred for some patients.</w:t>
      </w:r>
    </w:p>
    <w:p>
      <w:pPr>
        <w:spacing w:after="0" w:line="215" w:lineRule="exact"/>
        <w:rPr>
          <w:sz w:val="20"/>
          <w:szCs w:val="20"/>
          <w:color w:val="auto"/>
        </w:rPr>
      </w:pPr>
    </w:p>
    <w:p>
      <w:pPr>
        <w:ind w:left="720" w:right="100" w:hanging="360"/>
        <w:spacing w:after="0" w:line="244" w:lineRule="auto"/>
        <w:tabs>
          <w:tab w:leader="none" w:pos="720" w:val="left"/>
        </w:tabs>
        <w:numPr>
          <w:ilvl w:val="0"/>
          <w:numId w:val="111"/>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w:t>
      </w:r>
      <w:r>
        <w:rPr>
          <w:rFonts w:ascii="Arial" w:cs="Arial" w:eastAsia="Arial" w:hAnsi="Arial"/>
          <w:sz w:val="20"/>
          <w:szCs w:val="20"/>
          <w:color w:val="auto"/>
        </w:rPr>
        <w:t>≥</w:t>
      </w:r>
      <w:r>
        <w:rPr>
          <w:rFonts w:ascii="Times New Roman" w:cs="Times New Roman" w:eastAsia="Times New Roman" w:hAnsi="Times New Roman"/>
          <w:sz w:val="20"/>
          <w:szCs w:val="20"/>
          <w:color w:val="auto"/>
        </w:rPr>
        <w:t>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204" w:lineRule="exact"/>
        <w:rPr>
          <w:sz w:val="20"/>
          <w:szCs w:val="20"/>
          <w:color w:val="auto"/>
        </w:rPr>
      </w:pPr>
    </w:p>
    <w:p>
      <w:pPr>
        <w:jc w:val="both"/>
        <w:ind w:right="160" w:firstLine="360"/>
        <w:spacing w:after="0" w:line="259" w:lineRule="auto"/>
        <w:rPr>
          <w:sz w:val="20"/>
          <w:szCs w:val="20"/>
          <w:color w:val="auto"/>
        </w:rPr>
      </w:pPr>
      <w:r>
        <w:rPr>
          <w:rFonts w:ascii="Times New Roman" w:cs="Times New Roman" w:eastAsia="Times New Roman" w:hAnsi="Times New Roman"/>
          <w:sz w:val="20"/>
          <w:szCs w:val="20"/>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86"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We recently completed a Phase 2 study in patients with CIndU who remain symptomatic despite antihistamine therapy. The study was conducted at approximately 85 sites across approximately 12 countries. The randomized, double-blind, placebo-controlled, parallel group Phase 2 study evaluated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entered a follow-up phase for an additional 24 weeks. In addition, the study included the option for patients who had symptoms following the treatment phase, including patients who were on placebo, to enroll in an open label extension where all patients received 300 mg of barzolvolimab every 8 weeks. The primary endpoint of the study was the percentage of patients with a negative provocation test at Week 12. Secondary endpoints included safety and other assessments of clinical activity including CTT (Critical Temperature Threshold), CFT (Critical Friction Threshold) and WI-NRS (Worst itch numeric rating scale).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800"/>
          </w:cols>
          <w:pgMar w:left="540" w:top="1349" w:right="540" w:bottom="0" w:gutter="0" w:footer="0" w:header="0"/>
          <w:type w:val="continuous"/>
        </w:sectPr>
      </w:pPr>
    </w:p>
    <w:bookmarkStart w:id="146" w:name="page147"/>
    <w:bookmarkEnd w:id="146"/>
    <w:p>
      <w:pPr>
        <w:ind w:right="40" w:firstLine="361"/>
        <w:spacing w:after="0" w:line="243" w:lineRule="auto"/>
        <w:rPr>
          <w:sz w:val="20"/>
          <w:szCs w:val="20"/>
          <w:color w:val="auto"/>
        </w:rPr>
      </w:pPr>
      <w:r>
        <w:rPr>
          <w:rFonts w:ascii="Times New Roman" w:cs="Times New Roman" w:eastAsia="Times New Roman" w:hAnsi="Times New Roman"/>
          <w:sz w:val="20"/>
          <w:szCs w:val="20"/>
          <w:color w:val="auto"/>
        </w:rPr>
        <w:t>Topline primary endpoint data from this study were reported in July 2024 and 12 week treatment results were presented at the American College of Allergy, Asthma &amp; Immunology’s Annual Scientific Meeting. Data from the 193 patients randomized and treated in the study showed that barzolvolimab achieved the primary efficacy endpoint, a statistically significant difference between the percent of patients with a negative provocation test compared to placebo at Week 12 as assessed by the TempTest® in ColdU and the FricTest® in SD. Secondary and exploratory endpoints in the study were also achieved at Week 12 and strongly support the primary endpoint results, including responder analyses, improvements in Critical Temperature and Critical Friction Thresholds (CFT and CFT), changes in WI-NRSprovo (itch associated with provocation test) and Urticaria Control Test. Demographics and baseline disease characteristics were well balanced across treatment groups. Patients on study had poorly controlled disease on initial provocation testing. In cold urticaria, patients presented with a mean baseline critical temperature threshold of approximately 19°C or 66°F on the TempTest on initial provocation testing. In patients with symptomatic dermographism baseline FricTest thresholds were an average of 3.6 out of 4 pins. UCT scores at baseline also reflected poorly controlled disease.</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Summary of Clinical Assessments at Week 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682625</wp:posOffset>
                </wp:positionH>
                <wp:positionV relativeFrom="paragraph">
                  <wp:posOffset>-107950</wp:posOffset>
                </wp:positionV>
                <wp:extent cx="549211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211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75pt,-8.4999pt" to="486.2pt,-8.4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685800</wp:posOffset>
                </wp:positionH>
                <wp:positionV relativeFrom="paragraph">
                  <wp:posOffset>-111125</wp:posOffset>
                </wp:positionV>
                <wp:extent cx="0" cy="2292985"/>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29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8.7499pt" to="54pt,171.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-111125</wp:posOffset>
                </wp:positionV>
                <wp:extent cx="0" cy="2292985"/>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9298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8.7499pt" to="486pt,171.8pt" o:allowincell="f" strokecolor="#000000" strokeweight="0.4799pt"/>
            </w:pict>
          </mc:Fallback>
        </mc:AlternateContent>
      </w:r>
    </w:p>
    <w:p>
      <w:pPr>
        <w:spacing w:after="0" w:line="11" w:lineRule="exact"/>
        <w:rPr>
          <w:sz w:val="20"/>
          <w:szCs w:val="20"/>
          <w:color w:val="auto"/>
        </w:rPr>
      </w:pPr>
    </w:p>
    <w:tbl>
      <w:tblPr>
        <w:tblLayout w:type="fixed"/>
        <w:tblInd w:w="1080" w:type="dxa"/>
        <w:tblCellMar>
          <w:top w:w="0" w:type="dxa"/>
          <w:left w:w="0" w:type="dxa"/>
          <w:bottom w:w="0" w:type="dxa"/>
          <w:right w:w="0" w:type="dxa"/>
        </w:tblCellMar>
      </w:tblPr>
      <w:tr>
        <w:trPr>
          <w:trHeight w:val="186"/>
        </w:trPr>
        <w:tc>
          <w:tcPr>
            <w:tcW w:w="9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right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Cold Urticaria</w:t>
            </w:r>
          </w:p>
        </w:tc>
        <w:tc>
          <w:tcPr>
            <w:tcW w:w="1080" w:type="dxa"/>
            <w:vAlign w:val="bottom"/>
            <w:tcBorders>
              <w:top w:val="single" w:sz="8" w:color="auto"/>
              <w:bottom w:val="single" w:sz="8" w:color="auto"/>
              <w:right w:val="single" w:sz="8" w:color="auto"/>
            </w:tcBorders>
          </w:tcPr>
          <w:p>
            <w:pPr>
              <w:spacing w:after="0"/>
              <w:rPr>
                <w:sz w:val="16"/>
                <w:szCs w:val="16"/>
                <w:color w:val="auto"/>
              </w:rPr>
            </w:pPr>
          </w:p>
        </w:tc>
        <w:tc>
          <w:tcPr>
            <w:tcW w:w="220" w:type="dxa"/>
            <w:vAlign w:val="bottom"/>
            <w:tcBorders>
              <w:top w:val="single" w:sz="8" w:color="auto"/>
              <w:right w:val="single" w:sz="8" w:color="auto"/>
            </w:tcBorders>
          </w:tcPr>
          <w:p>
            <w:pPr>
              <w:spacing w:after="0"/>
              <w:rPr>
                <w:sz w:val="16"/>
                <w:szCs w:val="16"/>
                <w:color w:val="auto"/>
              </w:rPr>
            </w:pPr>
          </w:p>
        </w:tc>
        <w:tc>
          <w:tcPr>
            <w:tcW w:w="32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Symptomatic Dermographism</w:t>
            </w: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All measurements at</w:t>
            </w: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150 mg</w:t>
            </w: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300 mg</w:t>
            </w:r>
          </w:p>
        </w:tc>
        <w:tc>
          <w:tcPr>
            <w:tcW w:w="108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Placebo</w:t>
            </w: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280"/>
              <w:spacing w:after="0" w:line="172" w:lineRule="exact"/>
              <w:rPr>
                <w:sz w:val="20"/>
                <w:szCs w:val="20"/>
                <w:color w:val="auto"/>
              </w:rPr>
            </w:pPr>
            <w:r>
              <w:rPr>
                <w:rFonts w:ascii="Times New Roman" w:cs="Times New Roman" w:eastAsia="Times New Roman" w:hAnsi="Times New Roman"/>
                <w:sz w:val="16"/>
                <w:szCs w:val="16"/>
                <w:color w:val="auto"/>
              </w:rPr>
              <w:t>150 mg</w:t>
            </w:r>
          </w:p>
        </w:tc>
        <w:tc>
          <w:tcPr>
            <w:tcW w:w="1080" w:type="dxa"/>
            <w:vAlign w:val="bottom"/>
            <w:tcBorders>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300 mg</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Placebo</w:t>
            </w: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gridSpan w:val="3"/>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q4w</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q8w</w:t>
            </w:r>
          </w:p>
        </w:tc>
        <w:tc>
          <w:tcPr>
            <w:tcW w:w="1080" w:type="dxa"/>
            <w:vAlign w:val="bottom"/>
            <w:tcBorders>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q4w</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q8w</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60" w:type="dxa"/>
            <w:vAlign w:val="bottom"/>
            <w:tcBorders>
              <w:right w:val="single" w:sz="8" w:color="auto"/>
            </w:tcBorders>
            <w:gridSpan w:val="3"/>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Week 12</w:t>
            </w: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(n=32)</w:t>
            </w: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(n=31)</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continue"/>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(n=32)</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(n=32)</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(n=33)</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(n=33)</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80" w:type="dxa"/>
            <w:vAlign w:val="bottom"/>
            <w:tcBorders>
              <w:bottom w:val="single" w:sz="8" w:color="auto"/>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80" w:type="dxa"/>
            <w:vAlign w:val="bottom"/>
            <w:tcBorders>
              <w:bottom w:val="single" w:sz="8" w:color="auto"/>
              <w:right w:val="single" w:sz="8" w:color="auto"/>
            </w:tcBorders>
            <w:vMerge w:val="continue"/>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 xml:space="preserve">Primary endpoint: </w:t>
            </w:r>
            <w:r>
              <w:rPr>
                <w:rFonts w:ascii="Times New Roman" w:cs="Times New Roman" w:eastAsia="Times New Roman" w:hAnsi="Times New Roman"/>
                <w:sz w:val="16"/>
                <w:szCs w:val="16"/>
                <w:color w:val="auto"/>
              </w:rPr>
              <w:t>% of</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patients with negative</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46.9%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57.6%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42.4%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3.2%</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auto"/>
              </w:rPr>
              <w:t>provocation test (complete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p=0.0023</w:t>
            </w:r>
          </w:p>
        </w:tc>
        <w:tc>
          <w:tcPr>
            <w:tcW w:w="10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p=0.0011</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p&lt;0.0001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p=0.0003</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gridSpan w:val="3"/>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960" w:type="dxa"/>
            <w:vAlign w:val="bottom"/>
            <w:tcBorders>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response)</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tcPr>
          <w:p>
            <w:pPr>
              <w:spacing w:after="0" w:line="172" w:lineRule="exact"/>
              <w:rPr>
                <w:sz w:val="20"/>
                <w:szCs w:val="20"/>
                <w:color w:val="auto"/>
              </w:rPr>
            </w:pPr>
            <w:r>
              <w:rPr>
                <w:rFonts w:ascii="Times New Roman" w:cs="Times New Roman" w:eastAsia="Times New Roman" w:hAnsi="Times New Roman"/>
                <w:sz w:val="16"/>
                <w:szCs w:val="16"/>
                <w:color w:val="auto"/>
              </w:rPr>
              <w:t>% of patients with complete</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62.5%</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75%</w:t>
            </w:r>
          </w:p>
        </w:tc>
        <w:tc>
          <w:tcPr>
            <w:tcW w:w="10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66.6%</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57.5%</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96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auto"/>
              </w:rPr>
              <w:t>or partial response per</w:t>
            </w: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31.3%</w:t>
            </w: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12.9%</w:t>
            </w:r>
          </w:p>
        </w:tc>
        <w:tc>
          <w:tcPr>
            <w:tcW w:w="0" w:type="dxa"/>
            <w:vAlign w:val="bottom"/>
          </w:tcPr>
          <w:p>
            <w:pPr>
              <w:spacing w:after="0"/>
              <w:rPr>
                <w:sz w:val="1"/>
                <w:szCs w:val="1"/>
                <w:color w:val="auto"/>
              </w:rPr>
            </w:pPr>
          </w:p>
        </w:tc>
      </w:tr>
      <w:tr>
        <w:trPr>
          <w:trHeight w:val="102"/>
        </w:trPr>
        <w:tc>
          <w:tcPr>
            <w:tcW w:w="1960" w:type="dxa"/>
            <w:vAlign w:val="bottom"/>
            <w:tcBorders>
              <w:right w:val="single" w:sz="8" w:color="auto"/>
            </w:tcBorders>
            <w:gridSpan w:val="3"/>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p=0.0118</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p=0.0006</w:t>
            </w:r>
          </w:p>
        </w:tc>
        <w:tc>
          <w:tcPr>
            <w:tcW w:w="1080" w:type="dxa"/>
            <w:vAlign w:val="bottom"/>
            <w:tcBorders>
              <w:right w:val="single" w:sz="8" w:color="auto"/>
            </w:tcBorders>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p&lt;0.0001</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p=0.0002</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auto"/>
              </w:rPr>
              <w:t>provocation test</w:t>
            </w: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right w:val="single" w:sz="8" w:color="auto"/>
            </w:tcBorders>
            <w:gridSpan w:val="3"/>
            <w:vMerge w:val="continue"/>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960" w:type="dxa"/>
            <w:vAlign w:val="bottom"/>
            <w:tcBorders>
              <w:right w:val="single" w:sz="8" w:color="auto"/>
            </w:tcBorders>
            <w:gridSpan w:val="3"/>
          </w:tcPr>
          <w:p>
            <w:pPr>
              <w:spacing w:after="0" w:line="172" w:lineRule="exact"/>
              <w:rPr>
                <w:sz w:val="20"/>
                <w:szCs w:val="20"/>
                <w:color w:val="auto"/>
              </w:rPr>
            </w:pPr>
            <w:r>
              <w:rPr>
                <w:rFonts w:ascii="Times New Roman" w:cs="Times New Roman" w:eastAsia="Times New Roman" w:hAnsi="Times New Roman"/>
                <w:sz w:val="16"/>
                <w:szCs w:val="16"/>
                <w:color w:val="auto"/>
              </w:rPr>
              <w:t>Improvement in Critical</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Temperature (CTT) and</w:t>
            </w:r>
          </w:p>
        </w:tc>
        <w:tc>
          <w:tcPr>
            <w:tcW w:w="10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color w:val="auto"/>
                <w:w w:val="99"/>
              </w:rPr>
              <w:t>-8.82°C</w:t>
            </w:r>
          </w:p>
        </w:tc>
        <w:tc>
          <w:tcPr>
            <w:tcW w:w="10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-9.61°C</w:t>
            </w:r>
          </w:p>
        </w:tc>
        <w:tc>
          <w:tcPr>
            <w:tcW w:w="10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-0.30°C</w:t>
            </w:r>
          </w:p>
        </w:tc>
        <w:tc>
          <w:tcPr>
            <w:tcW w:w="22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-2.46 pins</w:t>
            </w:r>
          </w:p>
        </w:tc>
        <w:tc>
          <w:tcPr>
            <w:tcW w:w="10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-2.27 pins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-0.82 pins</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auto"/>
              </w:rPr>
              <w:t>Critical Friction (CFT)</w:t>
            </w:r>
          </w:p>
        </w:tc>
        <w:tc>
          <w:tcPr>
            <w:tcW w:w="108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p&lt;0.0001</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p&lt;0.0001</w:t>
            </w:r>
          </w:p>
        </w:tc>
        <w:tc>
          <w:tcPr>
            <w:tcW w:w="1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p=0.0002</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960" w:type="dxa"/>
            <w:vAlign w:val="bottom"/>
            <w:tcBorders>
              <w:right w:val="single" w:sz="8" w:color="auto"/>
            </w:tcBorders>
            <w:gridSpan w:val="3"/>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960" w:type="dxa"/>
            <w:vAlign w:val="bottom"/>
            <w:tcBorders>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Thresholds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960" w:type="dxa"/>
            <w:vAlign w:val="bottom"/>
            <w:tcBorders>
              <w:right w:val="single" w:sz="8" w:color="auto"/>
            </w:tcBorders>
            <w:gridSpan w:val="3"/>
          </w:tcPr>
          <w:p>
            <w:pPr>
              <w:spacing w:after="0" w:line="168" w:lineRule="exact"/>
              <w:rPr>
                <w:sz w:val="20"/>
                <w:szCs w:val="20"/>
                <w:color w:val="auto"/>
              </w:rPr>
            </w:pPr>
            <w:r>
              <w:rPr>
                <w:rFonts w:ascii="Times New Roman" w:cs="Times New Roman" w:eastAsia="Times New Roman" w:hAnsi="Times New Roman"/>
                <w:sz w:val="16"/>
                <w:szCs w:val="16"/>
                <w:color w:val="auto"/>
              </w:rPr>
              <w:t>% of patients with Urticaria</w:t>
            </w: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58.6%</w:t>
            </w: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68.8%</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54.8%</w:t>
            </w:r>
          </w:p>
        </w:tc>
        <w:tc>
          <w:tcPr>
            <w:tcW w:w="10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65.5%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32.0%</w:t>
            </w:r>
          </w:p>
        </w:tc>
        <w:tc>
          <w:tcPr>
            <w:tcW w:w="0" w:type="dxa"/>
            <w:vAlign w:val="bottom"/>
          </w:tcPr>
          <w:p>
            <w:pPr>
              <w:spacing w:after="0"/>
              <w:rPr>
                <w:sz w:val="1"/>
                <w:szCs w:val="1"/>
                <w:color w:val="auto"/>
              </w:rPr>
            </w:pPr>
          </w:p>
        </w:tc>
      </w:tr>
      <w:tr>
        <w:trPr>
          <w:trHeight w:val="118"/>
        </w:trPr>
        <w:tc>
          <w:tcPr>
            <w:tcW w:w="1960" w:type="dxa"/>
            <w:vAlign w:val="bottom"/>
            <w:tcBorders>
              <w:right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6"/>
                <w:szCs w:val="16"/>
                <w:color w:val="auto"/>
              </w:rPr>
              <w:t>Control Test &gt;12</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p=0.0048</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p&lt;0.0001</w:t>
            </w:r>
          </w:p>
        </w:tc>
        <w:tc>
          <w:tcPr>
            <w:tcW w:w="108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p=0.0015</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p&lt;0.0001</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960" w:type="dxa"/>
            <w:vAlign w:val="bottom"/>
            <w:tcBorders>
              <w:right w:val="single" w:sz="8" w:color="auto"/>
            </w:tcBorders>
            <w:gridSpan w:val="3"/>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80" w:type="dxa"/>
            <w:vAlign w:val="bottom"/>
            <w:tcBorders>
              <w:right w:val="single" w:sz="8" w:color="auto"/>
            </w:tcBorders>
            <w:vMerge w:val="continue"/>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20"/>
          <w:szCs w:val="20"/>
          <w:color w:val="auto"/>
        </w:rPr>
        <w:t>Patients experienced rapid disease improvement as early as two weeks (the first assessment) after receiving the initial dose of barzolvolimab as demonstrated by reductions in critical temperature and friction thresholds resulting in hives and rapid reduction in itch at the time of provocation testing (WI-NRSprovo).</w:t>
      </w:r>
    </w:p>
    <w:p>
      <w:pPr>
        <w:spacing w:after="0" w:line="188"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Barzolvolimab was well tolerated with a favorable safety profile consistent with prior studies. Most adverse events were grade 1 (mild). Through 12 weeks, the most common treatment emergent adverse events in barzolvolimab treated patients were hair color changes (13%; Grade 1, n=15 / Grade 2, n=2) and neutropenia (10%; Grade 1, n=7 / Grade 2, n=6), which are mechanism related (KIT) and expected to be reversible. The rate of infections was similar between barzolvolimab-treated patients and placebo with no association between neutropenia and infections.</w:t>
      </w:r>
    </w:p>
    <w:p>
      <w:pPr>
        <w:spacing w:after="0" w:line="19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March 2025, quality of life data were presented at the AAAAI Annual Meeting 2025. A marked and rapid improvement in urticaria control (UCT) and quality of life (DLQI) was observed and sustained through the 12-week period in patients with ColdU and SD. Up to 60% of patients reported that CIndU symptoms no longer had an impact on their quality of life at Week 12 and up to 69% of patients reported well-controlled urticaria based on UCT at Week 12.</w:t>
      </w:r>
    </w:p>
    <w:p>
      <w:pPr>
        <w:spacing w:after="0" w:line="193" w:lineRule="exact"/>
        <w:rPr>
          <w:sz w:val="20"/>
          <w:szCs w:val="20"/>
          <w:color w:val="auto"/>
        </w:rPr>
      </w:pPr>
    </w:p>
    <w:p>
      <w:pPr>
        <w:ind w:right="380" w:firstLine="360"/>
        <w:spacing w:after="0" w:line="259" w:lineRule="auto"/>
        <w:rPr>
          <w:sz w:val="20"/>
          <w:szCs w:val="20"/>
          <w:color w:val="auto"/>
        </w:rPr>
      </w:pPr>
      <w:r>
        <w:rPr>
          <w:rFonts w:ascii="Times New Roman" w:cs="Times New Roman" w:eastAsia="Times New Roman" w:hAnsi="Times New Roman"/>
          <w:sz w:val="20"/>
          <w:szCs w:val="20"/>
          <w:color w:val="auto"/>
        </w:rPr>
        <w:t>Patients on study continued to receive barzolvolimab for up to 20 weeks. Data from this longer term treatment period were presented in November 2025 at the ACAAI Annual Scientific Meeting. The data demonstrated sustained efficacy and a favorable safety profile over the 20 week placebo controlled treatment period. Key highlights at 20 weeks included:</w:t>
      </w:r>
    </w:p>
    <w:p>
      <w:pPr>
        <w:spacing w:after="0" w:line="200" w:lineRule="exact"/>
        <w:rPr>
          <w:sz w:val="20"/>
          <w:szCs w:val="20"/>
          <w:color w:val="auto"/>
        </w:rPr>
      </w:pPr>
    </w:p>
    <w:p>
      <w:pPr>
        <w:ind w:left="720" w:right="80" w:hanging="360"/>
        <w:spacing w:after="0" w:line="277" w:lineRule="auto"/>
        <w:tabs>
          <w:tab w:leader="none" w:pos="720" w:val="left"/>
        </w:tabs>
        <w:numPr>
          <w:ilvl w:val="0"/>
          <w:numId w:val="112"/>
        </w:numPr>
        <w:rPr>
          <w:rFonts w:ascii="Arial" w:cs="Arial" w:eastAsia="Arial" w:hAnsi="Arial"/>
          <w:sz w:val="20"/>
          <w:szCs w:val="20"/>
          <w:color w:val="auto"/>
        </w:rPr>
      </w:pPr>
      <w:r>
        <w:rPr>
          <w:rFonts w:ascii="Times New Roman" w:cs="Times New Roman" w:eastAsia="Times New Roman" w:hAnsi="Times New Roman"/>
          <w:sz w:val="20"/>
          <w:szCs w:val="20"/>
          <w:color w:val="auto"/>
        </w:rPr>
        <w:t>Up to 66% of patients with ColdU and 49% of patients with SD obtained a complete response compared to 16% and 10% of patients on placebo, respectively.</w:t>
      </w:r>
    </w:p>
    <w:p>
      <w:pPr>
        <w:spacing w:after="0" w:line="183" w:lineRule="exact"/>
        <w:rPr>
          <w:rFonts w:ascii="Arial" w:cs="Arial" w:eastAsia="Arial" w:hAnsi="Arial"/>
          <w:sz w:val="20"/>
          <w:szCs w:val="20"/>
          <w:color w:val="auto"/>
        </w:rPr>
      </w:pPr>
    </w:p>
    <w:p>
      <w:pPr>
        <w:ind w:left="720" w:right="280" w:hanging="360"/>
        <w:spacing w:after="0" w:line="277" w:lineRule="auto"/>
        <w:tabs>
          <w:tab w:leader="none" w:pos="720" w:val="left"/>
        </w:tabs>
        <w:numPr>
          <w:ilvl w:val="0"/>
          <w:numId w:val="112"/>
        </w:numPr>
        <w:rPr>
          <w:rFonts w:ascii="Arial" w:cs="Arial" w:eastAsia="Arial" w:hAnsi="Arial"/>
          <w:sz w:val="20"/>
          <w:szCs w:val="20"/>
          <w:color w:val="auto"/>
        </w:rPr>
      </w:pPr>
      <w:r>
        <w:rPr>
          <w:rFonts w:ascii="Times New Roman" w:cs="Times New Roman" w:eastAsia="Times New Roman" w:hAnsi="Times New Roman"/>
          <w:sz w:val="20"/>
          <w:szCs w:val="20"/>
          <w:color w:val="auto"/>
        </w:rPr>
        <w:t>Up to 78% of patients with ColdU and 58% of patients with SD obtained a partial or complete response compared to 25% and 16% of patients on placebo, respectively.</w:t>
      </w:r>
    </w:p>
    <w:p>
      <w:pPr>
        <w:sectPr>
          <w:pgSz w:w="11880" w:h="15480" w:orient="portrait"/>
          <w:cols w:equalWidth="0" w:num="1">
            <w:col w:w="10740"/>
          </w:cols>
          <w:pgMar w:left="540" w:top="134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740"/>
          </w:cols>
          <w:pgMar w:left="540" w:top="1349" w:right="600" w:bottom="0" w:gutter="0" w:footer="0" w:header="0"/>
          <w:type w:val="continuous"/>
        </w:sectPr>
      </w:pPr>
    </w:p>
    <w:bookmarkStart w:id="147" w:name="page148"/>
    <w:bookmarkEnd w:id="147"/>
    <w:p>
      <w:pPr>
        <w:ind w:left="720" w:hanging="360"/>
        <w:spacing w:after="0"/>
        <w:tabs>
          <w:tab w:leader="none" w:pos="72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Marked improvement in critical temperature threshold (from baseline values of 18.7°C and 20.7°C to Week 20 values of</w:t>
      </w:r>
    </w:p>
    <w:p>
      <w:pPr>
        <w:spacing w:after="0" w:line="27" w:lineRule="exact"/>
        <w:rPr>
          <w:rFonts w:ascii="Arial" w:cs="Arial" w:eastAsia="Arial" w:hAnsi="Arial"/>
          <w:sz w:val="20"/>
          <w:szCs w:val="20"/>
          <w:color w:val="auto"/>
        </w:rPr>
      </w:pPr>
    </w:p>
    <w:p>
      <w:pPr>
        <w:ind w:left="720"/>
        <w:spacing w:after="0" w:line="242" w:lineRule="auto"/>
        <w:rPr>
          <w:rFonts w:ascii="Arial" w:cs="Arial" w:eastAsia="Arial" w:hAnsi="Arial"/>
          <w:sz w:val="20"/>
          <w:szCs w:val="20"/>
          <w:color w:val="auto"/>
        </w:rPr>
      </w:pPr>
      <w:r>
        <w:rPr>
          <w:rFonts w:ascii="Times New Roman" w:cs="Times New Roman" w:eastAsia="Times New Roman" w:hAnsi="Times New Roman"/>
          <w:sz w:val="20"/>
          <w:szCs w:val="20"/>
          <w:color w:val="auto"/>
        </w:rPr>
        <w:t>10.7°C and 9.2°C for barzolvolimab 150 mg Q4W and 300 mg Q8W, respectively compared to baseline values of 18.6°C to Week 20 values of 18.2°C for placebo) and friction thresholds (from baseline values of 3.6 and 3.6 pins to 1.5 and 1.4 pins for barzolvolimab 150 mg Q4W and 300 mg Q8W, respectively compared to baseline values of 3.6 pins to 2.9 pins for placebo) were observed over the course of the 20 week treatment period. Sustained improvement in itch reduction at the time of provocation testing (WI-NRSprovo) was also observed at Week 20.</w:t>
      </w:r>
    </w:p>
    <w:p>
      <w:pPr>
        <w:spacing w:after="0" w:line="216" w:lineRule="exact"/>
        <w:rPr>
          <w:rFonts w:ascii="Arial" w:cs="Arial" w:eastAsia="Arial" w:hAnsi="Arial"/>
          <w:sz w:val="20"/>
          <w:szCs w:val="20"/>
          <w:color w:val="auto"/>
        </w:rPr>
      </w:pPr>
    </w:p>
    <w:p>
      <w:pPr>
        <w:ind w:left="720" w:right="400" w:hanging="360"/>
        <w:spacing w:after="0" w:line="259" w:lineRule="auto"/>
        <w:tabs>
          <w:tab w:leader="none" w:pos="72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After completing the treatment period, patients were eligible to enter a 24 week open label extension (OLE) upon resumption/continuation of symptoms. Consistent with the clinical endpoint results at Week 20, placebo-treated patients entered the OLE at a faster rate compared to barzolvolimab-treated patients.</w:t>
      </w:r>
    </w:p>
    <w:p>
      <w:pPr>
        <w:spacing w:after="0" w:line="198" w:lineRule="exact"/>
        <w:rPr>
          <w:rFonts w:ascii="Arial" w:cs="Arial" w:eastAsia="Arial" w:hAnsi="Arial"/>
          <w:sz w:val="20"/>
          <w:szCs w:val="20"/>
          <w:color w:val="auto"/>
        </w:rPr>
      </w:pPr>
    </w:p>
    <w:p>
      <w:pPr>
        <w:ind w:left="720" w:right="40" w:hanging="360"/>
        <w:spacing w:after="0" w:line="247" w:lineRule="auto"/>
        <w:tabs>
          <w:tab w:leader="none" w:pos="720" w:val="left"/>
        </w:tabs>
        <w:numPr>
          <w:ilvl w:val="0"/>
          <w:numId w:val="113"/>
        </w:numPr>
        <w:rPr>
          <w:rFonts w:ascii="Arial" w:cs="Arial" w:eastAsia="Arial" w:hAnsi="Arial"/>
          <w:sz w:val="20"/>
          <w:szCs w:val="20"/>
          <w:color w:val="auto"/>
        </w:rPr>
      </w:pPr>
      <w:r>
        <w:rPr>
          <w:rFonts w:ascii="Times New Roman" w:cs="Times New Roman" w:eastAsia="Times New Roman" w:hAnsi="Times New Roman"/>
          <w:sz w:val="20"/>
          <w:szCs w:val="20"/>
          <w:color w:val="auto"/>
        </w:rPr>
        <w:t>Barzolvolimab was well tolerated with a favorable safety profile over the 20 week treatment period consistent with previous studies. There was no difference between active treatment (2%) and placebo groups (3%) in rate of discontinuations due to adverse events. Most adverse events for patients on study drug were grade 1 (mild), mechanism related (KIT) and, as demonstrated in previous studies, expected to be reversible. The most common adverse events occurring in greater than 10% of patients in any treatment group through Week 20 were hair color changes (18%; Grade 1, n=22 / Grade 2, n=2) and neutropenia (12%; Grade 1, n=9 / Grade 2, n=6). Neutropenia was transient and there was no association with infections.</w:t>
      </w:r>
    </w:p>
    <w:p>
      <w:pPr>
        <w:spacing w:after="0" w:line="199" w:lineRule="exact"/>
        <w:rPr>
          <w:sz w:val="20"/>
          <w:szCs w:val="20"/>
          <w:color w:val="auto"/>
        </w:rPr>
      </w:pPr>
    </w:p>
    <w:p>
      <w:pPr>
        <w:ind w:right="100" w:firstLine="361"/>
        <w:spacing w:after="0" w:line="244" w:lineRule="auto"/>
        <w:rPr>
          <w:sz w:val="20"/>
          <w:szCs w:val="20"/>
          <w:color w:val="auto"/>
        </w:rPr>
      </w:pPr>
      <w:r>
        <w:rPr>
          <w:rFonts w:ascii="Times New Roman" w:cs="Times New Roman" w:eastAsia="Times New Roman" w:hAnsi="Times New Roman"/>
          <w:sz w:val="20"/>
          <w:szCs w:val="20"/>
          <w:color w:val="auto"/>
        </w:rPr>
        <w:t>We believe these results strongly support the further development of barzolvolimab in CIndU. In December 2025, we initiated a Phase 3 study of barzolvolimab in adult patients with ColdU and SD who remain symptomatic despite H1 antihistamine treatment. The Phase 3 trial (EMBARQ-ColdU and SD) is a randomized, double-blind, placebo-controlled, parallel group, global Phase 3 study (approximately 75 clinical trial sites across 7 countries) where approximately 240 participants will be enrolled to 2 separate cohorts (differentiated by subtype) to include approximately 120 participants with ColdU and 120 participants with SD. Participants in each cohort will be randomized in a 1:1 ratio to one of two treatment arms: cohort 1: barzolvolimab 150 mg every 4 weeks (Q4W) following a loading dose of 450 mg on Day 1 or cohort 2: matching placebo for 24 weeks. The primary endpoint of the study will evaluate the percentage of patients with complete response (negative provocation test) at Week 12 as assessed by the TempTest® in ColdU and the FricTest® in SD. After completing the treatment period, participants will continue to be followed for 16 weeks.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Prurigo Nodularis (PN)</w:t>
      </w:r>
    </w:p>
    <w:p>
      <w:pPr>
        <w:spacing w:after="0" w:line="237" w:lineRule="exact"/>
        <w:rPr>
          <w:sz w:val="20"/>
          <w:szCs w:val="20"/>
          <w:color w:val="auto"/>
        </w:rPr>
      </w:pPr>
    </w:p>
    <w:p>
      <w:pPr>
        <w:ind w:right="20" w:firstLine="360"/>
        <w:spacing w:after="0" w:line="247" w:lineRule="auto"/>
        <w:rPr>
          <w:sz w:val="20"/>
          <w:szCs w:val="20"/>
          <w:color w:val="auto"/>
        </w:rPr>
      </w:pPr>
      <w:r>
        <w:rPr>
          <w:rFonts w:ascii="Times New Roman" w:cs="Times New Roman" w:eastAsia="Times New Roman" w:hAnsi="Times New Roman"/>
          <w:sz w:val="20"/>
          <w:szCs w:val="20"/>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200"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ectPr>
          <w:pgSz w:w="11880" w:h="15480" w:orient="portrait"/>
          <w:cols w:equalWidth="0" w:num="1">
            <w:col w:w="10740"/>
          </w:cols>
          <w:pgMar w:left="540" w:top="136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740"/>
          </w:cols>
          <w:pgMar w:left="540" w:top="1364" w:right="600" w:bottom="0" w:gutter="0" w:footer="0" w:header="0"/>
          <w:type w:val="continuous"/>
        </w:sectPr>
      </w:pPr>
    </w:p>
    <w:bookmarkStart w:id="148" w:name="page149"/>
    <w:bookmarkEnd w:id="148"/>
    <w:p>
      <w:pPr>
        <w:ind w:right="640" w:firstLine="360"/>
        <w:spacing w:after="0" w:line="278" w:lineRule="auto"/>
        <w:rPr>
          <w:sz w:val="20"/>
          <w:szCs w:val="20"/>
          <w:color w:val="auto"/>
        </w:rPr>
      </w:pPr>
      <w:r>
        <w:rPr>
          <w:rFonts w:ascii="Times New Roman" w:cs="Times New Roman" w:eastAsia="Times New Roman" w:hAnsi="Times New Roman"/>
          <w:sz w:val="20"/>
          <w:szCs w:val="20"/>
          <w:color w:val="auto"/>
        </w:rPr>
        <w:t>A single IV dose of 3.0 mg/kg barzolvolimab resulted in rapid and durable reductions in itch and healing of skin lesions in patients with moderate to severe PN and that barzolvolimab was generally well tolerated.</w:t>
      </w:r>
    </w:p>
    <w:p>
      <w:pPr>
        <w:spacing w:after="0" w:line="182" w:lineRule="exact"/>
        <w:rPr>
          <w:sz w:val="20"/>
          <w:szCs w:val="20"/>
          <w:color w:val="auto"/>
        </w:rPr>
      </w:pPr>
    </w:p>
    <w:p>
      <w:pPr>
        <w:ind w:left="720" w:right="60" w:hanging="360"/>
        <w:spacing w:after="0" w:line="252" w:lineRule="auto"/>
        <w:tabs>
          <w:tab w:leader="none" w:pos="720" w:val="left"/>
        </w:tabs>
        <w:numPr>
          <w:ilvl w:val="0"/>
          <w:numId w:val="114"/>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At Week 8, the percentage of patients with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4-point decrease in WI-NRS was 57% and 43% for the single dose 3.0 or 1.5 mg/kg barzolvolimab arms, respectively, and 25% for the placebo arm; this level of response generally persisted out to Week 16. In the 3.0 mg/kg arm, a </w:t>
      </w:r>
      <w:r>
        <w:rPr>
          <w:rFonts w:ascii="Arial" w:cs="Arial" w:eastAsia="Arial" w:hAnsi="Arial"/>
          <w:sz w:val="20"/>
          <w:szCs w:val="20"/>
          <w:color w:val="auto"/>
        </w:rPr>
        <w:t>≥</w:t>
      </w:r>
      <w:r>
        <w:rPr>
          <w:rFonts w:ascii="Times New Roman" w:cs="Times New Roman" w:eastAsia="Times New Roman" w:hAnsi="Times New Roman"/>
          <w:sz w:val="20"/>
          <w:szCs w:val="20"/>
          <w:color w:val="auto"/>
        </w:rPr>
        <w:t>4-point decrease in WI-NRS reduction was seen as early as the first week and reached a high of 71% of patients at Week 6 which was distinct from both the 1.5 mg/kg barzolvolimab and placebo arms.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 of Subjects with </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color w:val="auto"/>
        </w:rPr>
        <w:t>4-point decrease in WI-NRS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-134620</wp:posOffset>
                </wp:positionV>
                <wp:extent cx="549275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275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0.5999pt" to="486.5pt,-10.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688340</wp:posOffset>
                </wp:positionH>
                <wp:positionV relativeFrom="paragraph">
                  <wp:posOffset>-137795</wp:posOffset>
                </wp:positionV>
                <wp:extent cx="0" cy="818515"/>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2pt,-10.8499pt" to="54.2pt,53.6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-137795</wp:posOffset>
                </wp:positionV>
                <wp:extent cx="0" cy="818515"/>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10.8499pt" to="486.3pt,53.6pt" o:allowincell="f" strokecolor="#000000" strokeweight="0.4799pt"/>
            </w:pict>
          </mc:Fallback>
        </mc:AlternateContent>
      </w:r>
    </w:p>
    <w:p>
      <w:pPr>
        <w:spacing w:after="0" w:line="17"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19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Dose</w:t>
            </w:r>
          </w:p>
        </w:tc>
        <w:tc>
          <w:tcPr>
            <w:tcW w:w="8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Week 1</w:t>
            </w:r>
          </w:p>
        </w:tc>
        <w:tc>
          <w:tcPr>
            <w:tcW w:w="8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Week 2</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3</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4</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5</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6</w:t>
            </w:r>
          </w:p>
        </w:tc>
        <w:tc>
          <w:tcPr>
            <w:tcW w:w="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Week 7</w:t>
            </w: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Week 8</w:t>
            </w:r>
          </w:p>
        </w:tc>
      </w:tr>
      <w:tr>
        <w:trPr>
          <w:trHeight w:val="236"/>
        </w:trPr>
        <w:tc>
          <w:tcPr>
            <w:tcW w:w="1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1.5 mg/kg</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43</w:t>
            </w:r>
          </w:p>
        </w:tc>
      </w:tr>
      <w:tr>
        <w:trPr>
          <w:trHeight w:val="237"/>
        </w:trPr>
        <w:tc>
          <w:tcPr>
            <w:tcW w:w="1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3.0 mg/kg</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29</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57</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71</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57</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57</w:t>
            </w:r>
          </w:p>
        </w:tc>
      </w:tr>
      <w:tr>
        <w:trPr>
          <w:trHeight w:val="237"/>
        </w:trPr>
        <w:tc>
          <w:tcPr>
            <w:tcW w:w="19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placebo</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38</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38</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r>
    </w:tbl>
    <w:p>
      <w:pPr>
        <w:spacing w:after="0" w:line="224" w:lineRule="exact"/>
        <w:rPr>
          <w:sz w:val="20"/>
          <w:szCs w:val="20"/>
          <w:color w:val="auto"/>
        </w:rPr>
      </w:pPr>
    </w:p>
    <w:p>
      <w:pPr>
        <w:ind w:left="720" w:hanging="360"/>
        <w:spacing w:after="0"/>
        <w:tabs>
          <w:tab w:leader="none" w:pos="720" w:val="left"/>
        </w:tabs>
        <w:numPr>
          <w:ilvl w:val="0"/>
          <w:numId w:val="115"/>
        </w:numPr>
        <w:rPr>
          <w:rFonts w:ascii="Arial" w:cs="Arial" w:eastAsia="Arial" w:hAnsi="Arial"/>
          <w:sz w:val="20"/>
          <w:szCs w:val="20"/>
          <w:color w:val="auto"/>
        </w:rPr>
      </w:pPr>
      <w:r>
        <w:rPr>
          <w:rFonts w:ascii="Times New Roman" w:cs="Times New Roman" w:eastAsia="Times New Roman" w:hAnsi="Times New Roman"/>
          <w:sz w:val="20"/>
          <w:szCs w:val="20"/>
          <w:color w:val="auto"/>
        </w:rPr>
        <w:t>At Week 8, 29% of patients achieved clear or almost clear skin according to IGA following a single dose of barzolvolimab</w:t>
      </w:r>
    </w:p>
    <w:p>
      <w:pPr>
        <w:spacing w:after="0" w:line="27" w:lineRule="exact"/>
        <w:rPr>
          <w:rFonts w:ascii="Arial" w:cs="Arial" w:eastAsia="Arial" w:hAnsi="Arial"/>
          <w:sz w:val="20"/>
          <w:szCs w:val="20"/>
          <w:color w:val="auto"/>
        </w:rPr>
      </w:pPr>
    </w:p>
    <w:p>
      <w:pPr>
        <w:ind w:left="720" w:right="60"/>
        <w:spacing w:after="0" w:line="243" w:lineRule="auto"/>
        <w:rPr>
          <w:rFonts w:ascii="Arial" w:cs="Arial" w:eastAsia="Arial" w:hAnsi="Arial"/>
          <w:sz w:val="20"/>
          <w:szCs w:val="20"/>
          <w:color w:val="auto"/>
        </w:rPr>
      </w:pPr>
      <w:r>
        <w:rPr>
          <w:rFonts w:ascii="Times New Roman" w:cs="Times New Roman" w:eastAsia="Times New Roman" w:hAnsi="Times New Roman"/>
          <w:sz w:val="20"/>
          <w:szCs w:val="20"/>
          <w:color w:val="auto"/>
        </w:rPr>
        <w:t>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of Subjects with IGA 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685800</wp:posOffset>
                </wp:positionH>
                <wp:positionV relativeFrom="paragraph">
                  <wp:posOffset>-133985</wp:posOffset>
                </wp:positionV>
                <wp:extent cx="549275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927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pt,-10.5499pt" to="486.5pt,-10.5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688340</wp:posOffset>
                </wp:positionH>
                <wp:positionV relativeFrom="paragraph">
                  <wp:posOffset>-137160</wp:posOffset>
                </wp:positionV>
                <wp:extent cx="0" cy="81851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2pt,-10.7999pt" to="54.2pt,53.6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-137160</wp:posOffset>
                </wp:positionV>
                <wp:extent cx="0" cy="81851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85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10.7999pt" to="486.3pt,53.65pt" o:allowincell="f" strokecolor="#000000" strokeweight="0.4799pt"/>
            </w:pict>
          </mc:Fallback>
        </mc:AlternateContent>
      </w:r>
    </w:p>
    <w:p>
      <w:pPr>
        <w:spacing w:after="0" w:line="18"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272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Dose</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Baseline</w:t>
            </w:r>
          </w:p>
        </w:tc>
        <w:tc>
          <w:tcPr>
            <w:tcW w:w="14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Week 2</w:t>
            </w:r>
          </w:p>
        </w:tc>
        <w:tc>
          <w:tcPr>
            <w:tcW w:w="142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Week 4</w:t>
            </w:r>
          </w:p>
        </w:tc>
        <w:tc>
          <w:tcPr>
            <w:tcW w:w="14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20"/>
                <w:szCs w:val="20"/>
                <w:color w:val="auto"/>
              </w:rPr>
              <w:t>Week 8</w:t>
            </w:r>
          </w:p>
        </w:tc>
      </w:tr>
      <w:tr>
        <w:trPr>
          <w:trHeight w:val="237"/>
        </w:trPr>
        <w:tc>
          <w:tcPr>
            <w:tcW w:w="2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1.5 mg/kg</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r>
        <w:trPr>
          <w:trHeight w:val="236"/>
        </w:trPr>
        <w:tc>
          <w:tcPr>
            <w:tcW w:w="2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3.0 mg/kg</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14</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29</w:t>
            </w:r>
          </w:p>
        </w:tc>
      </w:tr>
      <w:tr>
        <w:trPr>
          <w:trHeight w:val="237"/>
        </w:trPr>
        <w:tc>
          <w:tcPr>
            <w:tcW w:w="2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Placebo</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0</w:t>
            </w:r>
          </w:p>
        </w:tc>
      </w:tr>
    </w:tbl>
    <w:p>
      <w:pPr>
        <w:spacing w:after="0" w:line="224" w:lineRule="exact"/>
        <w:rPr>
          <w:sz w:val="20"/>
          <w:szCs w:val="20"/>
          <w:color w:val="auto"/>
        </w:rPr>
      </w:pPr>
    </w:p>
    <w:p>
      <w:pPr>
        <w:ind w:left="720" w:right="60" w:hanging="360"/>
        <w:spacing w:after="0" w:line="259" w:lineRule="auto"/>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98" w:lineRule="exact"/>
        <w:rPr>
          <w:rFonts w:ascii="Arial" w:cs="Arial" w:eastAsia="Arial" w:hAnsi="Arial"/>
          <w:sz w:val="20"/>
          <w:szCs w:val="20"/>
          <w:color w:val="auto"/>
        </w:rPr>
      </w:pPr>
    </w:p>
    <w:p>
      <w:pPr>
        <w:ind w:left="720" w:right="20" w:hanging="360"/>
        <w:spacing w:after="0" w:line="252" w:lineRule="auto"/>
        <w:tabs>
          <w:tab w:leader="none" w:pos="720" w:val="left"/>
        </w:tabs>
        <w:numPr>
          <w:ilvl w:val="0"/>
          <w:numId w:val="116"/>
        </w:numPr>
        <w:rPr>
          <w:rFonts w:ascii="Arial" w:cs="Arial" w:eastAsia="Arial" w:hAnsi="Arial"/>
          <w:sz w:val="20"/>
          <w:szCs w:val="20"/>
          <w:color w:val="auto"/>
        </w:rPr>
      </w:pPr>
      <w:r>
        <w:rPr>
          <w:rFonts w:ascii="Times New Roman" w:cs="Times New Roman" w:eastAsia="Times New Roman" w:hAnsi="Times New Roman"/>
          <w:sz w:val="20"/>
          <w:szCs w:val="20"/>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adverse events seen during the 24-week follow-up period were consistent with comorbidities commonly observed in the PN population.</w:t>
      </w:r>
    </w:p>
    <w:p>
      <w:pPr>
        <w:spacing w:after="0" w:line="19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In April 2024, we initiated a Phase 2 subcutaneous study in PN. This randomized, double-blind, placebo-controlled, parallel</w:t>
      </w:r>
    </w:p>
    <w:p>
      <w:pPr>
        <w:spacing w:after="0" w:line="27"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20"/>
          <w:szCs w:val="20"/>
          <w:color w:val="auto"/>
        </w:rPr>
        <w:t>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week Treatment Phase. Participants then enter a follow -up phase with no study treatment for an additional 16 weeks through Week 40. The primary objective of this study is to evaluate the clinical effect of barzolvolimab, compared to placebo, on itch response as measured by the proportion of participants with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includes approximately 75 clinical trial centers worldwide, including the United States. Enrollment was completed in December 2025. Topline data from the study is expected in summer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Atopic Dermatitis (AD)</w:t>
      </w:r>
    </w:p>
    <w:p>
      <w:pPr>
        <w:spacing w:after="0" w:line="237" w:lineRule="exact"/>
        <w:rPr>
          <w:sz w:val="20"/>
          <w:szCs w:val="20"/>
          <w:color w:val="auto"/>
        </w:rPr>
      </w:pPr>
    </w:p>
    <w:p>
      <w:pPr>
        <w:jc w:val="both"/>
        <w:ind w:right="100" w:firstLine="360"/>
        <w:spacing w:after="0" w:line="252" w:lineRule="auto"/>
        <w:rPr>
          <w:sz w:val="20"/>
          <w:szCs w:val="20"/>
          <w:color w:val="auto"/>
        </w:rPr>
      </w:pPr>
      <w:r>
        <w:rPr>
          <w:rFonts w:ascii="Times New Roman" w:cs="Times New Roman" w:eastAsia="Times New Roman" w:hAnsi="Times New Roman"/>
          <w:sz w:val="20"/>
          <w:szCs w:val="20"/>
          <w:color w:val="auto"/>
        </w:rPr>
        <w:t>In December of 2024, we announced the initiation of a Phase 2 study in atopic dermatitis (AD). AD is one of the most common chronic inflammatory skin diseases, with a lifetime prevalence of up to 20% of the US population and a substantial impact on quality of life (Kawakami, et al. 2009). Mast cells are strongly implicated in all facets of AD pathophysiology and the fundamental processes that characterize AD, including epithelial barrier dysfunction, immune cell recruitment, neuroinflammation (Keith, et al. 2023) and</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800"/>
          </w:cols>
          <w:pgMar w:left="540" w:top="1349" w:right="540" w:bottom="0" w:gutter="0" w:footer="0" w:header="0"/>
          <w:type w:val="continuous"/>
        </w:sectPr>
      </w:pPr>
    </w:p>
    <w:bookmarkStart w:id="149" w:name="page150"/>
    <w:bookmarkEnd w:id="149"/>
    <w:p>
      <w:pPr>
        <w:ind w:right="40"/>
        <w:spacing w:after="0" w:line="249" w:lineRule="auto"/>
        <w:rPr>
          <w:sz w:val="20"/>
          <w:szCs w:val="20"/>
          <w:color w:val="auto"/>
        </w:rPr>
      </w:pPr>
      <w:r>
        <w:rPr>
          <w:rFonts w:ascii="Times New Roman" w:cs="Times New Roman" w:eastAsia="Times New Roman" w:hAnsi="Times New Roman"/>
          <w:sz w:val="20"/>
          <w:szCs w:val="20"/>
          <w:color w:val="auto"/>
        </w:rPr>
        <w:t>multiple other mast cell-associated factors that correlate with disease severity. Activated mast cells are also found in increased numbers in lesional biopsies. Two-thirds of patients treated with first line systemic therapy (1.7 million patients in the US) do not achieve complete control of their atopic dermatitis (Simpson, Bieber, Guttman-Yassky, et al. 2016) and new therapies that offer rapid, meaningful relief from the severe itching and breakdown of the skin associated with AD are needed. Given barzolvolimab’s potential as a mast cell depleting agent, we believe AD is an important indication for future study.</w:t>
      </w:r>
    </w:p>
    <w:p>
      <w:pPr>
        <w:spacing w:after="0" w:line="198" w:lineRule="exact"/>
        <w:rPr>
          <w:sz w:val="20"/>
          <w:szCs w:val="20"/>
          <w:color w:val="auto"/>
        </w:rPr>
      </w:pPr>
    </w:p>
    <w:p>
      <w:pPr>
        <w:ind w:right="200" w:firstLine="360"/>
        <w:spacing w:after="0" w:line="233" w:lineRule="exact"/>
        <w:rPr>
          <w:sz w:val="20"/>
          <w:szCs w:val="20"/>
          <w:color w:val="auto"/>
        </w:rPr>
      </w:pPr>
      <w:r>
        <w:rPr>
          <w:rFonts w:ascii="Times New Roman" w:cs="Times New Roman" w:eastAsia="Times New Roman" w:hAnsi="Times New Roman"/>
          <w:sz w:val="20"/>
          <w:szCs w:val="20"/>
          <w:color w:val="auto"/>
        </w:rPr>
        <w:t>The randomized, double-blind, placebo- controlled, parallel group Phase 2 study is evaluating the efficacy and safety profile of subcutaneous barzolvolimab in patients with moderate to severe AD. Approximately 120 patients will be randomly assigned on a 1:1:1 ratio to receive subcutaneous injections of barzolvolimab at either 150 or 300 mg or placebo every 4 weeks after an initial loading dose of 450 mg or placebo during a 16-week placebo-controlled treatment phase. Participants randomized into the placebo arm will be re-randomized at Week 16 into 1 of the 2 active treatment arms. Patients then enter a 16-week active treatment phase, in which all patients will receive barzolvolimab every 4 weeks. The primary endpoint of the study is to evaluate the clinical efficacy of the two dose levels compared to placebo using the Peak Pruritus Numerical Rating Scale (PP-NRS) at Week 16, a well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defined, reliable, sensitive and valid scale for evaluating worst itch intensity in adults with moderate</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to</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severe AD. Secondary endpoints include the evaluation of the clinical efficacy of barzolvolimab, compared to placebo across multiple patient-reported outcomes, including assessing impressions of disease change and severity and improvements in quality of life. When all clinical trial sites are open, the study includes approximately 40 clinical trial centers in the United States. Enrollment was completed in January 2026. Topline data from the study is expected in late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Eosinophilic Esophagitis (EoE)</w:t>
      </w:r>
    </w:p>
    <w:p>
      <w:pPr>
        <w:spacing w:after="0" w:line="237" w:lineRule="exact"/>
        <w:rPr>
          <w:sz w:val="20"/>
          <w:szCs w:val="20"/>
          <w:color w:val="auto"/>
        </w:rPr>
      </w:pPr>
    </w:p>
    <w:p>
      <w:pPr>
        <w:ind w:right="160" w:firstLine="361"/>
        <w:spacing w:after="0" w:line="259" w:lineRule="auto"/>
        <w:rPr>
          <w:sz w:val="20"/>
          <w:szCs w:val="20"/>
          <w:color w:val="auto"/>
        </w:rPr>
      </w:pPr>
      <w:r>
        <w:rPr>
          <w:rFonts w:ascii="Times New Roman" w:cs="Times New Roman" w:eastAsia="Times New Roman" w:hAnsi="Times New Roman"/>
          <w:sz w:val="19"/>
          <w:szCs w:val="19"/>
          <w:color w:val="auto"/>
        </w:rPr>
        <w:t>In August 2025, we announced the discontinuation of development in eosinophilic esophagitis (EoE), a chronic inflammatory disease of the esophagus, based on interim results from a Phase 2 study. Identifying the key drivers of EoE has challenged the field and research has suggested that mast cells could play an important role in the disease pathogenesis. We designed this study to determine if barzolvolimab could deplete mucosal (intraepithelial) mast cells and, in turn, improve clinical outcomes in EoE. The primary endpoint of the study, absolute change from baseline to Week 12 in peak esophageal intraepithelial mast cell count was met, but the profound mast cell depletion observed did not result in improvement in EoE symptoms or endoscopic assessment of disease activity compared to placebo. Consistent with previously reported studies, barzolvolimab demonstrated a favorable safety and tolerability profile. Based on these results, further development in EoE was discontinued. The results do support future development with KIT- or SCF-targeted therapies in other GI indications where mucosal mast cells are believed to play an important role.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Additional Barzolvolimab Development Activities</w:t>
      </w:r>
    </w:p>
    <w:p>
      <w:pPr>
        <w:spacing w:after="0" w:line="238"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The barzolvolimab manufacturing process has been successfully transferred and scaled up to produce larger cGMP batches at both Drug Substance (DS) and Drug Product (DP) commercial Contract Development and Manufacturing Organizations in support of late-stage trials and to prepare for potential commercialization. Drug product manufacturing into 1 mL pre-filled syringes has been completed and pre-filled syringes are actively being used in Phase 3 trials. In 2025, we initiated the Process Performance Qualification (PPQ) manufacturing runs for DS and anticipate the completion of those activities in 2026. We are currently preparing for the DP PPQ activities and expect to complete these activities in 2026.</w:t>
      </w:r>
    </w:p>
    <w:p>
      <w:pPr>
        <w:spacing w:after="0" w:line="199"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780"/>
          </w:cols>
          <w:pgMar w:left="540" w:top="1349" w:right="56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i w:val="1"/>
          <w:iCs w:val="1"/>
          <w:color w:val="auto"/>
        </w:rPr>
        <w:t>Bispecific Platform</w:t>
      </w:r>
    </w:p>
    <w:p>
      <w:pPr>
        <w:spacing w:after="0" w:line="237"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Our next generation bispecific antibody platform is supporting the expansion of our pipeline with additional candidates for inflammatory diseases. Targets are being selected based on new science as well as their compatibility to be used in bispecific antibody formats with our existing antibody programs. Development is focused on emerging, important pathways controlling inflammatory diseases.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CDX-622</w:t>
      </w:r>
    </w:p>
    <w:p>
      <w:pPr>
        <w:spacing w:after="0" w:line="237"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 xml:space="preserve">CDX-622 is a bispecific antibody that targets two complementary pathways that drive chronic inflammation, potently neutralizing the alarmin thymic stromal lymphopoietin (TSLP) and depleting mast cells via stem cell factor (SCF) starvation. TSLP has been directly implicated in several respiratory and dermatological disorders, such as asthma, chronic obstructive pulmonary disease (COPD), eosinophilic esophagitis, atopic dermatitis and chronic spontaneous urticaria, and in fibrotic diseases such as systemic sclerosis and idiopathic pulmonary fibrosis. In these disorders, TSLP is often upregulated and associated with disease severity. Similarly, mast cells drive or contribute to the pathophysiology of allergic, inflammatory, autoimmune and fibrotic disorders and CDX-622 contains a unique SCF neutralizing function that is expected to inhibit and deplete mast cells. Combined neutralization of SCF and TSLP with CDX-622 is expected to simultaneously reduce tissue mast cells and inhibit Type 2 inflammatory responses to potentially offer enhanced therapeutic benefit in inflammatory and fibrotic disorders. CDX-622 has been engineered to disable effector function (AQQ) and reduce clearance (YTE). In preclinical studies, CDX-622 inhibits TSLP and SCF with similar potency to both its respective parental mAbs and comparator mAbs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preferentially inhibits the soluble over the membrane form of SCF, which may lead to differential impact on KIT-dependent processes. CDX-622 was well tolerated in a multi-dose 8 week toxicology study in non-human primates and led to a profound mast cell depletion in several tissues. The No Adverse Event Level (NOAEL) was established to be 75 mg/kg, the highest dose level tested.</w:t>
      </w:r>
    </w:p>
    <w:p>
      <w:pPr>
        <w:spacing w:after="0" w:line="200"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In November 2024, we initiated a Phase 1 study of CDX-622 in healthy volunteers and enrollment was completed in January 2026. The Phase 1a clinical trial is a three-part, randomized, double-blind, placebo-controlled, dose escalation study designed to assess the safety, pharmacokinetics, and pharmacodynamics of CDX-622 in up to 80 healthy participants. A single dose of CDX-622 or placebo was administered intravenously (IV) once during Part 1. In Part 2, CDX- 622 or placebo was administered IV every 2 weeks (Q2W) for up to 6 weeks following the first dose, for a total of 4 doses. In Part 3, a single dose of CDX-622 or placebo was administered subcutaneously once. Participants are followed for 12 weeks in all Parts following the last dose of study drug. The pharmacodynamic biomarkers from blood and skin will be highly informative on the ability of CDX-622 to engage and neutralize SCF and TSLP.</w:t>
      </w:r>
    </w:p>
    <w:p>
      <w:pPr>
        <w:spacing w:after="0" w:line="203" w:lineRule="exact"/>
        <w:rPr>
          <w:sz w:val="20"/>
          <w:szCs w:val="20"/>
          <w:color w:val="auto"/>
        </w:rPr>
      </w:pPr>
    </w:p>
    <w:p>
      <w:pPr>
        <w:ind w:right="80" w:firstLine="360"/>
        <w:spacing w:after="0" w:line="249" w:lineRule="auto"/>
        <w:rPr>
          <w:sz w:val="20"/>
          <w:szCs w:val="20"/>
          <w:color w:val="auto"/>
        </w:rPr>
      </w:pPr>
      <w:r>
        <w:rPr>
          <w:rFonts w:ascii="Times New Roman" w:cs="Times New Roman" w:eastAsia="Times New Roman" w:hAnsi="Times New Roman"/>
          <w:sz w:val="20"/>
          <w:szCs w:val="20"/>
          <w:color w:val="auto"/>
        </w:rPr>
        <w:t>We presented positive data from the Phase 1 single ascending dose portion of the study (Part 1) at the CIA (Collegium Internationale Allergologicum) Biennial Symposium in October 2025. CDX-622 was well tolerated with no dose limiting toxicities and no emergent events related to systemic KIT inhibition. CDX-622 exhibited a good pharmacokinetic profile and induced rapid and sustained dose dependent reductions in serum tryptase, indicative of mast cell inhibition and depletion. The multiple ascending doses portion of the study (Part 2) and subcutaneous administration (Part 3) are ongoing with data expected in the third quarter of 2026.</w:t>
      </w:r>
    </w:p>
    <w:p>
      <w:pPr>
        <w:spacing w:after="0" w:line="197" w:lineRule="exact"/>
        <w:rPr>
          <w:sz w:val="20"/>
          <w:szCs w:val="20"/>
          <w:color w:val="auto"/>
        </w:rPr>
      </w:pPr>
    </w:p>
    <w:p>
      <w:pPr>
        <w:ind w:right="200" w:firstLine="360"/>
        <w:spacing w:after="0" w:line="252" w:lineRule="auto"/>
        <w:rPr>
          <w:sz w:val="20"/>
          <w:szCs w:val="20"/>
          <w:color w:val="auto"/>
        </w:rPr>
      </w:pPr>
      <w:r>
        <w:rPr>
          <w:rFonts w:ascii="Times New Roman" w:cs="Times New Roman" w:eastAsia="Times New Roman" w:hAnsi="Times New Roman"/>
          <w:sz w:val="20"/>
          <w:szCs w:val="20"/>
          <w:color w:val="auto"/>
        </w:rPr>
        <w:t>In January 2026, we initiated an open-label, single-dose Phase 1 proof of mechanism study to assess the safety, pharmacodynamics, and pharmacokinetics of CDX-622 in adults with mild to moderate asthma. Participants will receive a single IV infusion of CDX -622 and be followed for 12 weeks. PD effects of CDX-622 on fractional exhaled nitric oxide (FeNO), absolute eosinophil count (AEC) and serum biomarkers, including TSLP- and SCF-related biomarkers, will be evaluated.</w:t>
      </w:r>
    </w:p>
    <w:p>
      <w:pPr>
        <w:sectPr>
          <w:pgSz w:w="11880" w:h="15480" w:orient="portrait"/>
          <w:cols w:equalWidth="0" w:num="1">
            <w:col w:w="10800"/>
          </w:cols>
          <w:pgMar w:left="540" w:top="13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800"/>
          </w:cols>
          <w:pgMar w:left="540" w:top="1353" w:right="540" w:bottom="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3" w:lineRule="exact"/>
        <w:rPr>
          <w:sz w:val="20"/>
          <w:szCs w:val="20"/>
          <w:color w:val="auto"/>
        </w:rPr>
      </w:pPr>
    </w:p>
    <w:p>
      <w:pPr>
        <w:ind w:right="140" w:firstLine="360"/>
        <w:spacing w:after="0" w:line="259" w:lineRule="auto"/>
        <w:rPr>
          <w:sz w:val="20"/>
          <w:szCs w:val="20"/>
          <w:color w:val="auto"/>
        </w:rPr>
      </w:pPr>
      <w:r>
        <w:rPr>
          <w:rFonts w:ascii="Times New Roman" w:cs="Times New Roman" w:eastAsia="Times New Roman" w:hAnsi="Times New Roman"/>
          <w:sz w:val="20"/>
          <w:szCs w:val="20"/>
          <w:color w:val="auto"/>
        </w:rPr>
        <w:t>Our significant accounting policies are described in Note 2 to the financial statements included in Item 8 of this Form 10 -K. We believe our most critical accounting policies include accounting for contingent consideration, revenue recognition, intangible and long-lived assets, research and development expenses and stock-based compensation expense.</w:t>
      </w:r>
    </w:p>
    <w:p>
      <w:pPr>
        <w:spacing w:after="0" w:line="186"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Consideration</w:t>
      </w:r>
    </w:p>
    <w:p>
      <w:pPr>
        <w:spacing w:after="0" w:line="238"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We record contingent consideration resulting from a business combination at its fair value on the acquisition date. We determine the fair value of the contingent consideration based primarily on the following factors:</w:t>
      </w:r>
    </w:p>
    <w:p>
      <w:pPr>
        <w:spacing w:after="0" w:line="181" w:lineRule="exact"/>
        <w:rPr>
          <w:sz w:val="20"/>
          <w:szCs w:val="20"/>
          <w:color w:val="auto"/>
        </w:rPr>
      </w:pPr>
    </w:p>
    <w:p>
      <w:pPr>
        <w:ind w:left="720" w:hanging="360"/>
        <w:spacing w:after="0"/>
        <w:tabs>
          <w:tab w:leader="none" w:pos="72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timing and probability of success of clinical events or regulatory approvals;</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timing and probability of success of meeting clinical and commercial milestones;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17"/>
        </w:numPr>
        <w:rPr>
          <w:rFonts w:ascii="Arial" w:cs="Arial" w:eastAsia="Arial" w:hAnsi="Arial"/>
          <w:sz w:val="20"/>
          <w:szCs w:val="20"/>
          <w:color w:val="auto"/>
        </w:rPr>
      </w:pPr>
      <w:r>
        <w:rPr>
          <w:rFonts w:ascii="Times New Roman" w:cs="Times New Roman" w:eastAsia="Times New Roman" w:hAnsi="Times New Roman"/>
          <w:sz w:val="20"/>
          <w:szCs w:val="20"/>
          <w:color w:val="auto"/>
        </w:rPr>
        <w:t>discount rates.</w:t>
      </w:r>
    </w:p>
    <w:p>
      <w:pPr>
        <w:spacing w:after="0" w:line="238"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Our contingent consideration arose in connection with our acquisition of Kolltan. On a quarterly basis, we revalue these obligations and record increases or decreases in their fair value as an adjustment to operating earnings. As of December 31, 2025, the fair value of our contingent consideration was $0.0 million.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200" w:lineRule="exact"/>
        <w:rPr>
          <w:sz w:val="20"/>
          <w:szCs w:val="20"/>
          <w:color w:val="auto"/>
        </w:rPr>
      </w:pPr>
    </w:p>
    <w:p>
      <w:pPr>
        <w:jc w:val="both"/>
        <w:ind w:right="120" w:firstLine="360"/>
        <w:spacing w:after="0" w:line="258" w:lineRule="auto"/>
        <w:rPr>
          <w:sz w:val="20"/>
          <w:szCs w:val="20"/>
          <w:color w:val="auto"/>
        </w:rPr>
      </w:pPr>
      <w:r>
        <w:rPr>
          <w:rFonts w:ascii="Times New Roman" w:cs="Times New Roman" w:eastAsia="Times New Roman" w:hAnsi="Times New Roman"/>
          <w:sz w:val="20"/>
          <w:szCs w:val="20"/>
          <w:color w:val="auto"/>
        </w:rPr>
        <w:t>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7"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Revenues are recognized when performance obligations under agreements or contracts are satisfied, in an amount that reflects the consideration the Company expects to be entitled to in exchange for those services.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determines revenue recognition through the following steps:</w:t>
      </w:r>
    </w:p>
    <w:p>
      <w:pPr>
        <w:spacing w:after="0" w:line="214" w:lineRule="exact"/>
        <w:rPr>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214"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Determination of the transaction price;</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213" w:lineRule="exact"/>
        <w:rPr>
          <w:rFonts w:ascii="Arial" w:cs="Arial" w:eastAsia="Arial" w:hAnsi="Arial"/>
          <w:sz w:val="20"/>
          <w:szCs w:val="20"/>
          <w:color w:val="auto"/>
        </w:rPr>
      </w:pPr>
    </w:p>
    <w:p>
      <w:pPr>
        <w:ind w:left="720" w:hanging="360"/>
        <w:spacing w:after="0"/>
        <w:tabs>
          <w:tab w:leader="none" w:pos="720" w:val="left"/>
        </w:tabs>
        <w:numPr>
          <w:ilvl w:val="0"/>
          <w:numId w:val="118"/>
        </w:numPr>
        <w:rPr>
          <w:rFonts w:ascii="Arial" w:cs="Arial" w:eastAsia="Arial" w:hAnsi="Arial"/>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ectPr>
          <w:pgSz w:w="11880" w:h="15480" w:orient="portrait"/>
          <w:cols w:equalWidth="0" w:num="1">
            <w:col w:w="10740"/>
          </w:cols>
          <w:pgMar w:left="540" w:top="134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740"/>
          </w:cols>
          <w:pgMar w:left="540" w:top="1347" w:right="600" w:bottom="0" w:gutter="0" w:footer="0" w:header="0"/>
          <w:type w:val="continuous"/>
        </w:sectPr>
      </w:pPr>
    </w:p>
    <w:bookmarkStart w:id="152" w:name="page153"/>
    <w:bookmarkEnd w:id="152"/>
    <w:p>
      <w:pPr>
        <w:ind w:right="60" w:firstLine="361"/>
        <w:spacing w:after="0" w:line="243" w:lineRule="auto"/>
        <w:rPr>
          <w:sz w:val="20"/>
          <w:szCs w:val="20"/>
          <w:color w:val="auto"/>
        </w:rPr>
      </w:pPr>
      <w:r>
        <w:rPr>
          <w:rFonts w:ascii="Times New Roman" w:cs="Times New Roman" w:eastAsia="Times New Roman" w:hAnsi="Times New Roman"/>
          <w:sz w:val="20"/>
          <w:szCs w:val="20"/>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167"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Revenue for the Company is also derived from manufacturing and research and development arrangements. The Company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Intangible and Long-Lived Assets</w:t>
      </w:r>
    </w:p>
    <w:p>
      <w:pPr>
        <w:spacing w:after="0" w:line="198" w:lineRule="exact"/>
        <w:rPr>
          <w:sz w:val="20"/>
          <w:szCs w:val="20"/>
          <w:color w:val="auto"/>
        </w:rPr>
      </w:pPr>
    </w:p>
    <w:p>
      <w:pPr>
        <w:jc w:val="both"/>
        <w:ind w:right="300" w:firstLine="360"/>
        <w:spacing w:after="0" w:line="253" w:lineRule="auto"/>
        <w:rPr>
          <w:sz w:val="20"/>
          <w:szCs w:val="20"/>
          <w:color w:val="auto"/>
        </w:rPr>
      </w:pPr>
      <w:r>
        <w:rPr>
          <w:rFonts w:ascii="Times New Roman" w:cs="Times New Roman" w:eastAsia="Times New Roman" w:hAnsi="Times New Roman"/>
          <w:sz w:val="20"/>
          <w:szCs w:val="20"/>
          <w:color w:val="auto"/>
        </w:rPr>
        <w:t>We evaluate the recoverability of our long-lived assets, including property and equipment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w:t>
      </w:r>
    </w:p>
    <w:p>
      <w:pPr>
        <w:spacing w:after="0" w:line="151"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Discounted cash flow models are typically used in these tests, and the models require the use of significant estimates and assumptions including but not limited to:</w:t>
      </w:r>
    </w:p>
    <w:p>
      <w:pPr>
        <w:spacing w:after="0" w:line="174" w:lineRule="exact"/>
        <w:rPr>
          <w:sz w:val="20"/>
          <w:szCs w:val="20"/>
          <w:color w:val="auto"/>
        </w:rPr>
      </w:pPr>
    </w:p>
    <w:p>
      <w:pPr>
        <w:ind w:left="720" w:hanging="361"/>
        <w:spacing w:after="0"/>
        <w:tabs>
          <w:tab w:leader="none" w:pos="720" w:val="left"/>
        </w:tabs>
        <w:numPr>
          <w:ilvl w:val="0"/>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timing and costs to complete the in-process projects;</w:t>
      </w:r>
    </w:p>
    <w:p>
      <w:pPr>
        <w:spacing w:after="0" w:line="213" w:lineRule="exact"/>
        <w:rPr>
          <w:rFonts w:ascii="Arial" w:cs="Arial" w:eastAsia="Arial" w:hAnsi="Arial"/>
          <w:sz w:val="20"/>
          <w:szCs w:val="20"/>
          <w:color w:val="auto"/>
        </w:rPr>
      </w:pPr>
    </w:p>
    <w:p>
      <w:pPr>
        <w:ind w:left="720" w:hanging="361"/>
        <w:spacing w:after="0"/>
        <w:tabs>
          <w:tab w:leader="none" w:pos="720" w:val="left"/>
        </w:tabs>
        <w:numPr>
          <w:ilvl w:val="0"/>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timing and probability of success of clinical events or regulatory approvals;</w:t>
      </w:r>
    </w:p>
    <w:p>
      <w:pPr>
        <w:spacing w:after="0" w:line="214" w:lineRule="exact"/>
        <w:rPr>
          <w:rFonts w:ascii="Arial" w:cs="Arial" w:eastAsia="Arial" w:hAnsi="Arial"/>
          <w:sz w:val="20"/>
          <w:szCs w:val="20"/>
          <w:color w:val="auto"/>
        </w:rPr>
      </w:pPr>
    </w:p>
    <w:p>
      <w:pPr>
        <w:ind w:left="720" w:hanging="361"/>
        <w:spacing w:after="0"/>
        <w:tabs>
          <w:tab w:leader="none" w:pos="720" w:val="left"/>
        </w:tabs>
        <w:numPr>
          <w:ilvl w:val="0"/>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estimated future cash flows from product sales resulting from completed products and in-process projects; and</w:t>
      </w:r>
    </w:p>
    <w:p>
      <w:pPr>
        <w:spacing w:after="0" w:line="213" w:lineRule="exact"/>
        <w:rPr>
          <w:rFonts w:ascii="Arial" w:cs="Arial" w:eastAsia="Arial" w:hAnsi="Arial"/>
          <w:sz w:val="20"/>
          <w:szCs w:val="20"/>
          <w:color w:val="auto"/>
        </w:rPr>
      </w:pPr>
    </w:p>
    <w:p>
      <w:pPr>
        <w:ind w:left="720" w:hanging="361"/>
        <w:spacing w:after="0"/>
        <w:tabs>
          <w:tab w:leader="none" w:pos="720" w:val="left"/>
        </w:tabs>
        <w:numPr>
          <w:ilvl w:val="0"/>
          <w:numId w:val="119"/>
        </w:numPr>
        <w:rPr>
          <w:rFonts w:ascii="Arial" w:cs="Arial" w:eastAsia="Arial" w:hAnsi="Arial"/>
          <w:sz w:val="20"/>
          <w:szCs w:val="20"/>
          <w:color w:val="auto"/>
        </w:rPr>
      </w:pPr>
      <w:r>
        <w:rPr>
          <w:rFonts w:ascii="Times New Roman" w:cs="Times New Roman" w:eastAsia="Times New Roman" w:hAnsi="Times New Roman"/>
          <w:sz w:val="20"/>
          <w:szCs w:val="20"/>
          <w:color w:val="auto"/>
        </w:rPr>
        <w:t>discount rates</w:t>
      </w:r>
    </w:p>
    <w:p>
      <w:pPr>
        <w:spacing w:after="0" w:line="238"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20"/>
          <w:szCs w:val="20"/>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780"/>
          </w:cols>
          <w:pgMar w:left="540" w:top="1349" w:right="56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7" w:lineRule="exact"/>
        <w:rPr>
          <w:sz w:val="20"/>
          <w:szCs w:val="20"/>
          <w:color w:val="auto"/>
        </w:rPr>
      </w:pPr>
    </w:p>
    <w:p>
      <w:pPr>
        <w:ind w:right="640" w:firstLine="360"/>
        <w:spacing w:after="0" w:line="259" w:lineRule="auto"/>
        <w:rPr>
          <w:sz w:val="20"/>
          <w:szCs w:val="20"/>
          <w:color w:val="auto"/>
        </w:rPr>
      </w:pPr>
      <w:r>
        <w:rPr>
          <w:rFonts w:ascii="Times New Roman" w:cs="Times New Roman" w:eastAsia="Times New Roman" w:hAnsi="Times New Roman"/>
          <w:sz w:val="20"/>
          <w:szCs w:val="20"/>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86" w:lineRule="exact"/>
        <w:rPr>
          <w:sz w:val="20"/>
          <w:szCs w:val="20"/>
          <w:color w:val="auto"/>
        </w:rPr>
      </w:pPr>
    </w:p>
    <w:p>
      <w:pPr>
        <w:ind w:right="100" w:firstLine="360"/>
        <w:spacing w:after="0" w:line="247" w:lineRule="auto"/>
        <w:rPr>
          <w:sz w:val="20"/>
          <w:szCs w:val="20"/>
          <w:color w:val="auto"/>
        </w:rPr>
      </w:pPr>
      <w:r>
        <w:rPr>
          <w:rFonts w:ascii="Times New Roman" w:cs="Times New Roman" w:eastAsia="Times New Roman" w:hAnsi="Times New Roman"/>
          <w:sz w:val="20"/>
          <w:szCs w:val="20"/>
          <w:color w:val="auto"/>
        </w:rPr>
        <w:t>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We accrue the cost of services rendered in connection with CRO and CDMO activities based on our estimate of costs incurred. We maintain regular communication with our CROs and CDMOs to assess the reasonableness of our estimates. Differences between actual expenses and estimated expenses recorded have not been material and are adjusted for in the period in which they become known.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 Expense</w:t>
      </w:r>
    </w:p>
    <w:p>
      <w:pPr>
        <w:spacing w:after="0" w:line="237"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We record stock-based compensation expense for all stock-based awards made to employees, consultants and non-employee directors based on the estimated fair values of the stock-based awards expected to vest at the grant date and adjust, if necessary, to reflect actual forfeitures. Our estimates of employee, consultant and non-employee director stock option values rely on estimates of future uncertain events. Significant assumptions include the use of historical volatility to estimate the expected stock price volatility. We also estimate expected term based on historical exercise patterns. For consultant and non- employee director grants, we may elect to use the contractual term as the expected term in the option-pricing model. Actual volatility and lives of options may be significantly different from our estimates. Compensation expense for all stock-based awards is recognized using the straight-line method over the term of vesting or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with Year Ended December 31,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0" w:type="dxa"/>
            <w:vAlign w:val="bottom"/>
          </w:tcPr>
          <w:p>
            <w:pPr>
              <w:spacing w:after="0"/>
              <w:rPr>
                <w:sz w:val="1"/>
                <w:szCs w:val="1"/>
                <w:color w:val="auto"/>
              </w:rPr>
            </w:pPr>
          </w:p>
        </w:tc>
      </w:tr>
      <w:tr>
        <w:trPr>
          <w:trHeight w:val="204"/>
        </w:trPr>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5"/>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2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5"/>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04"/>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center"/>
              <w:ind w:right="24"/>
              <w:spacing w:after="0" w:line="17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2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4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Product development and licensing agreements . . .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646 %</w:t>
            </w:r>
          </w:p>
        </w:tc>
        <w:tc>
          <w:tcPr>
            <w:tcW w:w="0" w:type="dxa"/>
            <w:vAlign w:val="bottom"/>
          </w:tcPr>
          <w:p>
            <w:pPr>
              <w:spacing w:after="0"/>
              <w:rPr>
                <w:sz w:val="1"/>
                <w:szCs w:val="1"/>
                <w:color w:val="auto"/>
              </w:rPr>
            </w:pPr>
          </w:p>
        </w:tc>
      </w:tr>
      <w:tr>
        <w:trPr>
          <w:trHeight w:val="250"/>
        </w:trPr>
        <w:tc>
          <w:tcPr>
            <w:tcW w:w="6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Contracts and grants . . .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29"/>
        </w:trPr>
        <w:tc>
          <w:tcPr>
            <w:tcW w:w="648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.Totalrevenues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7,020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(5,475)</w:t>
            </w:r>
          </w:p>
        </w:tc>
        <w:tc>
          <w:tcPr>
            <w:tcW w:w="11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11"/>
        </w:trPr>
        <w:tc>
          <w:tcPr>
            <w:tcW w:w="64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81,524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0" w:type="dxa"/>
            <w:vAlign w:val="bottom"/>
          </w:tcPr>
          <w:p>
            <w:pPr>
              <w:spacing w:after="0"/>
              <w:rPr>
                <w:sz w:val="1"/>
                <w:szCs w:val="1"/>
                <w:color w:val="auto"/>
              </w:rPr>
            </w:pPr>
          </w:p>
        </w:tc>
      </w:tr>
      <w:tr>
        <w:trPr>
          <w:trHeight w:val="250"/>
        </w:trPr>
        <w:tc>
          <w:tcPr>
            <w:tcW w:w="6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43,838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38,548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220"/>
        </w:trPr>
        <w:tc>
          <w:tcPr>
            <w:tcW w:w="6480" w:type="dxa"/>
            <w:vAlign w:val="bottom"/>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.Totaloperatingexpenses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288,912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202,098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86,814</w:t>
            </w:r>
          </w:p>
        </w:tc>
        <w:tc>
          <w:tcPr>
            <w:tcW w:w="11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43 %</w:t>
            </w:r>
          </w:p>
        </w:tc>
        <w:tc>
          <w:tcPr>
            <w:tcW w:w="0" w:type="dxa"/>
            <w:vAlign w:val="bottom"/>
          </w:tcPr>
          <w:p>
            <w:pPr>
              <w:spacing w:after="0"/>
              <w:rPr>
                <w:sz w:val="1"/>
                <w:szCs w:val="1"/>
                <w:color w:val="auto"/>
              </w:rPr>
            </w:pPr>
          </w:p>
        </w:tc>
      </w:tr>
      <w:tr>
        <w:trPr>
          <w:trHeight w:val="201"/>
        </w:trPr>
        <w:tc>
          <w:tcPr>
            <w:tcW w:w="6480" w:type="dxa"/>
            <w:vAlign w:val="bottom"/>
          </w:tcPr>
          <w:p>
            <w:pPr>
              <w:jc w:val="right"/>
              <w:ind w:right="14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.Operatingloss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(287,367)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99"/>
              </w:rPr>
              <w:t>(195,078)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92,289</w:t>
            </w:r>
          </w:p>
        </w:tc>
        <w:tc>
          <w:tcPr>
            <w:tcW w:w="11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rPr>
              <w:t>47 %</w:t>
            </w:r>
          </w:p>
        </w:tc>
        <w:tc>
          <w:tcPr>
            <w:tcW w:w="0" w:type="dxa"/>
            <w:vAlign w:val="bottom"/>
          </w:tcPr>
          <w:p>
            <w:pPr>
              <w:spacing w:after="0"/>
              <w:rPr>
                <w:sz w:val="1"/>
                <w:szCs w:val="1"/>
                <w:color w:val="auto"/>
              </w:rPr>
            </w:pPr>
          </w:p>
        </w:tc>
      </w:tr>
      <w:tr>
        <w:trPr>
          <w:trHeight w:val="250"/>
        </w:trPr>
        <w:tc>
          <w:tcPr>
            <w:tcW w:w="64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Investment and other income, net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28,610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37,215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(8,605)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30"/>
        </w:trPr>
        <w:tc>
          <w:tcPr>
            <w:tcW w:w="6480" w:type="dxa"/>
            <w:vAlign w:val="bottom"/>
          </w:tcPr>
          <w:p>
            <w:pPr>
              <w:jc w:val="right"/>
              <w:ind w:right="140"/>
              <w:spacing w:after="0" w:line="221"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 .Netloss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(258,757)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(157,863)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$ 100,894</w:t>
            </w:r>
          </w:p>
        </w:tc>
        <w:tc>
          <w:tcPr>
            <w:tcW w:w="114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auto"/>
              </w:rPr>
              <w:t>64 %</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23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$100.9 million increase in net loss for the year ended December 31, 2025, as compared to the year ended December 31, 2024, was primarily due to an increase in research and development expenses related to barzolvolimab and a decrease in investment and other income,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7" w:lineRule="exact"/>
        <w:rPr>
          <w:sz w:val="20"/>
          <w:szCs w:val="20"/>
          <w:color w:val="auto"/>
        </w:rPr>
      </w:pPr>
    </w:p>
    <w:p>
      <w:pPr>
        <w:ind w:right="180" w:firstLine="360"/>
        <w:spacing w:after="0" w:line="278" w:lineRule="auto"/>
        <w:rPr>
          <w:sz w:val="20"/>
          <w:szCs w:val="20"/>
          <w:color w:val="auto"/>
        </w:rPr>
      </w:pPr>
      <w:r>
        <w:rPr>
          <w:rFonts w:ascii="Times New Roman" w:cs="Times New Roman" w:eastAsia="Times New Roman" w:hAnsi="Times New Roman"/>
          <w:sz w:val="19"/>
          <w:szCs w:val="19"/>
          <w:color w:val="auto"/>
        </w:rPr>
        <w:t>The $5.6 million decrease in contracts and grants revenue for the year ended December 31, 2025, as compared to the year ended December 31, 2024, was primarily due to a decrease in services performed under our manufacturing and research and development agreements with Rockefeller University. We expect revenue to decrease over the next twelve months as a result of a decrease in</w:t>
      </w:r>
    </w:p>
    <w:p>
      <w:pPr>
        <w:sectPr>
          <w:pgSz w:w="11880" w:h="15480" w:orient="portrait"/>
          <w:cols w:equalWidth="0" w:num="1">
            <w:col w:w="10800"/>
          </w:cols>
          <w:pgMar w:left="540" w:top="1353" w:right="54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800"/>
          </w:cols>
          <w:pgMar w:left="540" w:top="1353" w:right="540" w:bottom="0" w:gutter="0" w:footer="0" w:header="0"/>
          <w:type w:val="continuous"/>
        </w:sectPr>
      </w:pPr>
    </w:p>
    <w:bookmarkStart w:id="154" w:name="page155"/>
    <w:bookmarkEnd w:id="154"/>
    <w:p>
      <w:pPr>
        <w:ind w:right="500"/>
        <w:spacing w:after="0" w:line="278" w:lineRule="auto"/>
        <w:rPr>
          <w:sz w:val="20"/>
          <w:szCs w:val="20"/>
          <w:color w:val="auto"/>
        </w:rPr>
      </w:pPr>
      <w:r>
        <w:rPr>
          <w:rFonts w:ascii="Times New Roman" w:cs="Times New Roman" w:eastAsia="Times New Roman" w:hAnsi="Times New Roman"/>
          <w:sz w:val="20"/>
          <w:szCs w:val="20"/>
          <w:color w:val="auto"/>
        </w:rPr>
        <w:t>services expected to be performed under our contract manufacturing and research and development agreements with Rockefeller University, although there may be fluctuations on a quarterly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37"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 w:type="dxa"/>
            <w:vAlign w:val="bottom"/>
          </w:tcPr>
          <w:p>
            <w:pPr>
              <w:spacing w:after="0"/>
              <w:rPr>
                <w:sz w:val="16"/>
                <w:szCs w:val="16"/>
                <w:color w:val="auto"/>
              </w:rPr>
            </w:pPr>
          </w:p>
        </w:tc>
        <w:tc>
          <w:tcPr>
            <w:tcW w:w="1040" w:type="dxa"/>
            <w:vAlign w:val="bottom"/>
            <w:gridSpan w:val="3"/>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1040" w:type="dxa"/>
            <w:vAlign w:val="bottom"/>
            <w:tcBorders>
              <w:bottom w:val="single" w:sz="8" w:color="auto"/>
            </w:tcBorders>
            <w:gridSpan w:val="3"/>
          </w:tcPr>
          <w:p>
            <w:pPr>
              <w:jc w:val="center"/>
              <w:ind w:left="20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74"/>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ind w:right="26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44"/>
              <w:spacing w:after="0" w:line="175"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Pr>
          <w:p>
            <w:pPr>
              <w:spacing w:after="0"/>
              <w:rPr>
                <w:sz w:val="15"/>
                <w:szCs w:val="15"/>
                <w:color w:val="auto"/>
              </w:rPr>
            </w:pPr>
          </w:p>
        </w:tc>
      </w:tr>
      <w:tr>
        <w:trPr>
          <w:trHeight w:val="154"/>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3"/>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w w:val="97"/>
              </w:rPr>
              <w:t>Personnel . . . . . . . . . . . . . . . . . . . . . . . . . . . . . . . . . . . . . . . . . .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57,204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$ 51,906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w w:val="99"/>
              </w:rPr>
              <w:t>Laboratory supplies . . . . . . . . . . . . . . . . . . . . . . . . . . . . . . . . .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5,611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w w:val="98"/>
              </w:rPr>
              <w:t>Facility . . . . . . . . . . . . . . . . . . . . . . . . . . . . . . . . . . . . . . . . . . .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67"/>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w w:val="99"/>
              </w:rPr>
              <w:t>Product development . . . . . . . . . . . . . . . . . . . . . . . . . . . . . . . .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161,096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90,604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70,492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78 %</w:t>
            </w:r>
          </w:p>
        </w:tc>
      </w:tr>
    </w:tbl>
    <w:p>
      <w:pPr>
        <w:spacing w:after="0" w:line="193"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Personnel expenses primarily include salary, benefits, stock-based compensation and payroll taxes. The $5.3 million increase in personnel expenses for the year ended December 31, 2025, as compared to the year ended December 31, 2024,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191"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Laboratory supplies expenses include laboratory materials and supplies, services and other related expenses incurred in the development of our technology. The $0.4 million increase in laboratory supply expenses for the year ended December 31, 2025, as compared to the year ended December 31, 2024, was primarily due to higher laboratory materials and supplies purchases. We expect laboratory supplies expenses to remain relatively consistent over the next twelve months, although there may be fluctuations on a quarterly basis.</w:t>
      </w:r>
    </w:p>
    <w:p>
      <w:pPr>
        <w:spacing w:after="0" w:line="197"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Facility expenses include depreciation, amortization, utilities, rent, maintenance and other related expenses incurred at our facilities. Facility expenses for the year ended December 31, 2025 were relatively consistent with the year ended December 31, 2024. In September 2025, we signed a new lease in New Haven, Connecticut to which we will relocate our existing New Haven operations to in 2026. We expect facility expenses to increase over the next twelve months, although there may be fluctuations on a quarterly basis.</w:t>
      </w:r>
    </w:p>
    <w:p>
      <w:pPr>
        <w:spacing w:after="0" w:line="197"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Product development expenses include clinical investigator site fees, external trial monitoring costs, data accumulation costs, contracted research and outside clinical drug product manufacturing. The $70.5 million increase in product development expenses for the year ended December 31, 2025, as compared to the year ended December 31, 2024, was primarily due to increases in barzolvolimab clinical trial and contract manufacturing expenses. We expect product development expenses to increase over the next twelve months as a result of the expanded development of barzolvolimab, although there may be fluctuations on a quarterly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w:t>
      </w:r>
    </w:p>
    <w:p>
      <w:pPr>
        <w:spacing w:after="0" w:line="23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$5.3 million increase in general and administrative expenses for the year ended December 31, 2025, as compared to the year ended December 31, 2024, was primarily due to an increase in employee headcount and barzolvolimab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and Other Income, Net</w:t>
      </w:r>
    </w:p>
    <w:p>
      <w:pPr>
        <w:spacing w:after="0" w:line="237" w:lineRule="exact"/>
        <w:rPr>
          <w:sz w:val="20"/>
          <w:szCs w:val="20"/>
          <w:color w:val="auto"/>
        </w:rPr>
      </w:pPr>
    </w:p>
    <w:p>
      <w:pPr>
        <w:ind w:right="320" w:firstLine="360"/>
        <w:spacing w:after="0" w:line="253" w:lineRule="auto"/>
        <w:rPr>
          <w:sz w:val="20"/>
          <w:szCs w:val="20"/>
          <w:color w:val="auto"/>
        </w:rPr>
      </w:pPr>
      <w:r>
        <w:rPr>
          <w:rFonts w:ascii="Times New Roman" w:cs="Times New Roman" w:eastAsia="Times New Roman" w:hAnsi="Times New Roman"/>
          <w:sz w:val="20"/>
          <w:szCs w:val="20"/>
          <w:color w:val="auto"/>
        </w:rPr>
        <w:t>The $8.6 million decrease in investment and other income, net for the year ended December 31, 2025, as compared to the year ended December 31, 2024, was primarily due to lower levels of cash and investment balances. We expect investment and other income to decrease over the next twelve months due to lower levels of cash and investment balances, although there may be fluctuations on a quarterly basis.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800"/>
          </w:cols>
          <w:pgMar w:left="540" w:top="1349" w:right="54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with Year Ended December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18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0" w:type="dxa"/>
            <w:vAlign w:val="bottom"/>
          </w:tcPr>
          <w:p>
            <w:pPr>
              <w:spacing w:after="0"/>
              <w:rPr>
                <w:sz w:val="1"/>
                <w:szCs w:val="1"/>
                <w:color w:val="auto"/>
              </w:rPr>
            </w:pPr>
          </w:p>
        </w:tc>
      </w:tr>
      <w:tr>
        <w:trPr>
          <w:trHeight w:val="204"/>
        </w:trPr>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5"/>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1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43"/>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center"/>
              <w:ind w:right="25"/>
              <w:spacing w:after="0" w:line="173"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(In</w:t>
            </w:r>
          </w:p>
        </w:tc>
        <w:tc>
          <w:tcPr>
            <w:tcW w:w="1180" w:type="dxa"/>
            <w:vAlign w:val="bottom"/>
            <w:gridSpan w:val="4"/>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Product development and licensing agreements . . . . . . . . . . . . . . . . . . . .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50"/>
        </w:trPr>
        <w:tc>
          <w:tcPr>
            <w:tcW w:w="6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Contracts and grants . . . . . . . . .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29"/>
        </w:trPr>
        <w:tc>
          <w:tcPr>
            <w:tcW w:w="6180" w:type="dxa"/>
            <w:vAlign w:val="bottom"/>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.Totalrevenues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137</w:t>
            </w:r>
          </w:p>
        </w:tc>
        <w:tc>
          <w:tcPr>
            <w:tcW w:w="12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2 %</w:t>
            </w:r>
          </w:p>
        </w:tc>
        <w:tc>
          <w:tcPr>
            <w:tcW w:w="0" w:type="dxa"/>
            <w:vAlign w:val="bottom"/>
          </w:tcPr>
          <w:p>
            <w:pPr>
              <w:spacing w:after="0"/>
              <w:rPr>
                <w:sz w:val="1"/>
                <w:szCs w:val="1"/>
                <w:color w:val="auto"/>
              </w:rPr>
            </w:pPr>
          </w:p>
        </w:tc>
      </w:tr>
      <w:tr>
        <w:trPr>
          <w:trHeight w:val="211"/>
        </w:trPr>
        <w:tc>
          <w:tcPr>
            <w:tcW w:w="61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163,550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45,539</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0" w:type="dxa"/>
            <w:vAlign w:val="bottom"/>
          </w:tcPr>
          <w:p>
            <w:pPr>
              <w:spacing w:after="0"/>
              <w:rPr>
                <w:sz w:val="1"/>
                <w:szCs w:val="1"/>
                <w:color w:val="auto"/>
              </w:rPr>
            </w:pPr>
          </w:p>
        </w:tc>
      </w:tr>
      <w:tr>
        <w:trPr>
          <w:trHeight w:val="230"/>
        </w:trPr>
        <w:tc>
          <w:tcPr>
            <w:tcW w:w="6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50"/>
        </w:trPr>
        <w:tc>
          <w:tcPr>
            <w:tcW w:w="6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Litigation settlement related loss.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20"/>
        </w:trPr>
        <w:tc>
          <w:tcPr>
            <w:tcW w:w="6180" w:type="dxa"/>
            <w:vAlign w:val="bottom"/>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.Totaloperatingexpenses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202,098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161,425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40,673</w:t>
            </w:r>
          </w:p>
        </w:tc>
        <w:tc>
          <w:tcPr>
            <w:tcW w:w="124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199"/>
        </w:trPr>
        <w:tc>
          <w:tcPr>
            <w:tcW w:w="618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.Operatingloss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(195,078)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(154,542)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40,536</w:t>
            </w:r>
          </w:p>
        </w:tc>
        <w:tc>
          <w:tcPr>
            <w:tcW w:w="124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26 %</w:t>
            </w:r>
          </w:p>
        </w:tc>
        <w:tc>
          <w:tcPr>
            <w:tcW w:w="0" w:type="dxa"/>
            <w:vAlign w:val="bottom"/>
          </w:tcPr>
          <w:p>
            <w:pPr>
              <w:spacing w:after="0"/>
              <w:rPr>
                <w:sz w:val="1"/>
                <w:szCs w:val="1"/>
                <w:color w:val="auto"/>
              </w:rPr>
            </w:pPr>
          </w:p>
        </w:tc>
      </w:tr>
      <w:tr>
        <w:trPr>
          <w:trHeight w:val="250"/>
        </w:trPr>
        <w:tc>
          <w:tcPr>
            <w:tcW w:w="61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Investment and other income, net . . . . . . . . . . . . . . . . . . . . . . . . . . . . . . . . . .</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37,215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13,113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24,102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184 %</w:t>
            </w:r>
          </w:p>
        </w:tc>
        <w:tc>
          <w:tcPr>
            <w:tcW w:w="0" w:type="dxa"/>
            <w:vAlign w:val="bottom"/>
          </w:tcPr>
          <w:p>
            <w:pPr>
              <w:spacing w:after="0"/>
              <w:rPr>
                <w:sz w:val="1"/>
                <w:szCs w:val="1"/>
                <w:color w:val="auto"/>
              </w:rPr>
            </w:pPr>
          </w:p>
        </w:tc>
      </w:tr>
      <w:tr>
        <w:trPr>
          <w:trHeight w:val="230"/>
        </w:trPr>
        <w:tc>
          <w:tcPr>
            <w:tcW w:w="6180" w:type="dxa"/>
            <w:vAlign w:val="bottom"/>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.Netloss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(157,863)</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(141,429)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16,434</w:t>
            </w:r>
          </w:p>
        </w:tc>
        <w:tc>
          <w:tcPr>
            <w:tcW w:w="1240" w:type="dxa"/>
            <w:vAlign w:val="bottom"/>
            <w:gridSpan w:val="3"/>
          </w:tcPr>
          <w:p>
            <w:pPr>
              <w:jc w:val="right"/>
              <w:spacing w:after="0" w:line="221" w:lineRule="exact"/>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237"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20"/>
          <w:szCs w:val="20"/>
          <w:color w:val="auto"/>
        </w:rPr>
        <w:t>The $16.4 million increase in net loss for the year ended December 31, 2024, as compared to the year ended December 31, 2023, was primarily due to increases in research and development and general and administrative expenses, partially offset by the $12.5 million litigation settlement related loss recorded in 2023 and an increase in investment and other income, net.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8" w:lineRule="exact"/>
        <w:rPr>
          <w:sz w:val="20"/>
          <w:szCs w:val="20"/>
          <w:color w:val="auto"/>
        </w:rPr>
      </w:pPr>
    </w:p>
    <w:p>
      <w:pPr>
        <w:jc w:val="both"/>
        <w:ind w:right="200" w:firstLine="360"/>
        <w:spacing w:after="0" w:line="258" w:lineRule="auto"/>
        <w:rPr>
          <w:sz w:val="20"/>
          <w:szCs w:val="20"/>
          <w:color w:val="auto"/>
        </w:rPr>
      </w:pPr>
      <w:r>
        <w:rPr>
          <w:rFonts w:ascii="Times New Roman" w:cs="Times New Roman" w:eastAsia="Times New Roman" w:hAnsi="Times New Roman"/>
          <w:sz w:val="20"/>
          <w:szCs w:val="20"/>
          <w:color w:val="auto"/>
        </w:rPr>
        <w:t>The $0.4 million increase in contracts and grants revenue for the year ended December 31, 2024, as compared to the year ended December 31, 2023, was primarily due to an increase in services performed under our manufacturing and research and development agreements with Rockefeller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37"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209"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60" w:type="dxa"/>
            <w:vAlign w:val="bottom"/>
          </w:tcPr>
          <w:p>
            <w:pPr>
              <w:spacing w:after="0"/>
              <w:rPr>
                <w:sz w:val="16"/>
                <w:szCs w:val="16"/>
                <w:color w:val="auto"/>
              </w:rPr>
            </w:pPr>
          </w:p>
        </w:tc>
        <w:tc>
          <w:tcPr>
            <w:tcW w:w="1200" w:type="dxa"/>
            <w:vAlign w:val="bottom"/>
            <w:gridSpan w:val="3"/>
          </w:tcPr>
          <w:p>
            <w:pPr>
              <w:jc w:val="center"/>
              <w:ind w:left="340"/>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3"/>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9"/>
                <w:szCs w:val="19"/>
                <w:color w:val="auto"/>
              </w:rPr>
            </w:pPr>
          </w:p>
        </w:tc>
        <w:tc>
          <w:tcPr>
            <w:tcW w:w="120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54"/>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ind w:right="140"/>
              <w:spacing w:after="0" w:line="155"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160"/>
              <w:spacing w:after="0" w:line="15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84"/>
              <w:spacing w:after="0" w:line="155"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160" w:type="dxa"/>
            <w:vAlign w:val="bottom"/>
          </w:tcPr>
          <w:p>
            <w:pPr>
              <w:spacing w:after="0"/>
              <w:rPr>
                <w:sz w:val="13"/>
                <w:szCs w:val="13"/>
                <w:color w:val="auto"/>
              </w:rPr>
            </w:pPr>
          </w:p>
        </w:tc>
      </w:tr>
      <w:tr>
        <w:trPr>
          <w:trHeight w:val="154"/>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20"/>
              <w:spacing w:after="0" w:line="154" w:lineRule="exact"/>
              <w:rPr>
                <w:sz w:val="20"/>
                <w:szCs w:val="20"/>
                <w:color w:val="auto"/>
              </w:rPr>
            </w:pPr>
            <w:r>
              <w:rPr>
                <w:rFonts w:ascii="Times New Roman" w:cs="Times New Roman" w:eastAsia="Times New Roman" w:hAnsi="Times New Roman"/>
                <w:sz w:val="16"/>
                <w:szCs w:val="16"/>
                <w:b w:val="1"/>
                <w:bCs w:val="1"/>
                <w:color w:val="auto"/>
              </w:rPr>
              <w:t>(In</w:t>
            </w:r>
          </w:p>
        </w:tc>
        <w:tc>
          <w:tcPr>
            <w:tcW w:w="960" w:type="dxa"/>
            <w:vAlign w:val="bottom"/>
            <w:gridSpan w:val="2"/>
          </w:tcPr>
          <w:p>
            <w:pPr>
              <w:jc w:val="right"/>
              <w:ind w:right="300"/>
              <w:spacing w:after="0" w:line="154" w:lineRule="exact"/>
              <w:rPr>
                <w:sz w:val="20"/>
                <w:szCs w:val="20"/>
                <w:color w:val="auto"/>
              </w:rPr>
            </w:pPr>
            <w:r>
              <w:rPr>
                <w:rFonts w:ascii="Times New Roman" w:cs="Times New Roman" w:eastAsia="Times New Roman" w:hAnsi="Times New Roman"/>
                <w:sz w:val="16"/>
                <w:szCs w:val="16"/>
                <w:b w:val="1"/>
                <w:bCs w:val="1"/>
                <w:color w:val="auto"/>
                <w:w w:val="74"/>
              </w:rPr>
              <w:t>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w w:val="98"/>
              </w:rPr>
              <w:t>Personnel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$ 51,906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$ 40,121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$ 11,785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29 %</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Laboratory supplies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5,611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w w:val="99"/>
              </w:rPr>
              <w:t>Facility . . . . . . . . . . .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67"/>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w w:val="99"/>
              </w:rPr>
              <w:t>Product development . . . . . . . . . . . . . .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90,604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59,319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31,285</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53 %</w:t>
            </w:r>
          </w:p>
        </w:tc>
      </w:tr>
    </w:tbl>
    <w:p>
      <w:pPr>
        <w:spacing w:after="0" w:line="194"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Personnel expenses primarily include salary, benefits, stock-based compensation and payroll taxes. The $11.8 million increase in personnel expenses for the year ended December 31, 2024, as compared to the year ended December 31, 2023, was primarily due to higher stock-based compensation expense and an increase in employee headcount.</w:t>
      </w:r>
    </w:p>
    <w:p>
      <w:pPr>
        <w:spacing w:after="0" w:line="188" w:lineRule="exact"/>
        <w:rPr>
          <w:sz w:val="20"/>
          <w:szCs w:val="20"/>
          <w:color w:val="auto"/>
        </w:rPr>
      </w:pPr>
    </w:p>
    <w:p>
      <w:pPr>
        <w:ind w:right="320" w:firstLine="360"/>
        <w:spacing w:after="0" w:line="258" w:lineRule="auto"/>
        <w:rPr>
          <w:sz w:val="20"/>
          <w:szCs w:val="20"/>
          <w:color w:val="auto"/>
        </w:rPr>
      </w:pPr>
      <w:r>
        <w:rPr>
          <w:rFonts w:ascii="Times New Roman" w:cs="Times New Roman" w:eastAsia="Times New Roman" w:hAnsi="Times New Roman"/>
          <w:sz w:val="20"/>
          <w:szCs w:val="20"/>
          <w:color w:val="auto"/>
        </w:rPr>
        <w:t>Laboratory supplies expenses include laboratory materials and supplies, services and other related expenses incurred in the development of our technology. The $0.3 million increase in laboratory supply expenses for the year ended December 31, 2024, as compared to the year ended December 31, 2023, was primarily due to higher laboratory services, materials and supplies purchases.</w:t>
      </w:r>
    </w:p>
    <w:p>
      <w:pPr>
        <w:spacing w:after="0" w:line="188" w:lineRule="exact"/>
        <w:rPr>
          <w:sz w:val="20"/>
          <w:szCs w:val="20"/>
          <w:color w:val="auto"/>
        </w:rPr>
      </w:pPr>
    </w:p>
    <w:p>
      <w:pPr>
        <w:ind w:right="120" w:firstLine="360"/>
        <w:spacing w:after="0" w:line="305" w:lineRule="auto"/>
        <w:rPr>
          <w:sz w:val="20"/>
          <w:szCs w:val="20"/>
          <w:color w:val="auto"/>
        </w:rPr>
      </w:pPr>
      <w:r>
        <w:rPr>
          <w:rFonts w:ascii="Times New Roman" w:cs="Times New Roman" w:eastAsia="Times New Roman" w:hAnsi="Times New Roman"/>
          <w:sz w:val="19"/>
          <w:szCs w:val="19"/>
          <w:color w:val="auto"/>
        </w:rPr>
        <w:t>Facility expenses include depreciation, amortization, utilities, rent, maintenance and other related expenses incurred at our facilities. Facility expenses for the year ended December 31, 2024 were relatively consistent with the year ended December 31, 2023.</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800"/>
          </w:cols>
          <w:pgMar w:left="540" w:top="1349" w:right="540" w:bottom="0" w:gutter="0" w:footer="0" w:header="0"/>
          <w:type w:val="continuous"/>
        </w:sectPr>
      </w:pPr>
    </w:p>
    <w:bookmarkStart w:id="156" w:name="page157"/>
    <w:bookmarkEnd w:id="156"/>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Product development expenses include clinical investigator site fees, external trial monitoring costs, data accumulation costs, contracted research and outside clinical drug product manufacturing. The $31.3 million increase in product development expenses for the year ended December 31, 2024, as compared to the year ended December 31, 2023, was primarily due to an increase in barzolvolimab clinical trial expenses, partially offset by a decrease in barzolvolimab contract manufacturing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w:t>
      </w:r>
    </w:p>
    <w:p>
      <w:pPr>
        <w:spacing w:after="0" w:line="238" w:lineRule="exact"/>
        <w:rPr>
          <w:sz w:val="20"/>
          <w:szCs w:val="20"/>
          <w:color w:val="auto"/>
        </w:rPr>
      </w:pPr>
    </w:p>
    <w:p>
      <w:pPr>
        <w:jc w:val="both"/>
        <w:ind w:right="80" w:firstLine="360"/>
        <w:spacing w:after="0" w:line="278" w:lineRule="auto"/>
        <w:rPr>
          <w:sz w:val="20"/>
          <w:szCs w:val="20"/>
          <w:color w:val="auto"/>
        </w:rPr>
      </w:pPr>
      <w:r>
        <w:rPr>
          <w:rFonts w:ascii="Times New Roman" w:cs="Times New Roman" w:eastAsia="Times New Roman" w:hAnsi="Times New Roman"/>
          <w:sz w:val="20"/>
          <w:szCs w:val="20"/>
          <w:color w:val="auto"/>
        </w:rPr>
        <w:t>The $7.6 million increase in general and administrative expenses for the year ended December 31, 2024, as compared to the year ended December 31, 2023, was primarily due to higher stock-based compensation and barzolvolimab commercial planning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Settlement Related Loss</w:t>
      </w:r>
    </w:p>
    <w:p>
      <w:pPr>
        <w:spacing w:after="0" w:line="238"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During the fourth quarter of 2023, we announced positive topline results from our Phase 2 clinical trial of barzolvolimab in patients with moderate to severe CSU, which satisfied the requirement of “successful completion” of a Phase 2 Clinical Trial of barzolvolimab such that we were obligated to make the applicable milestone payment under the Settlement Agreement with SRS in the amount of $12.5 million. During the fourth quarter of 2023, we paid the $12.5 million milestone in cash and recorded a litigation settlement related loss of $12.5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and Other Income, Net</w:t>
      </w:r>
    </w:p>
    <w:p>
      <w:pPr>
        <w:spacing w:after="0" w:line="237"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The $24.1 million increase in investment and other income, net for the year ended December 31, 2024, as compared to the year ended December 31, 2023, was primarily due to higher levels of cash as a result of our November 2023 and March 2024 underwritten public offerings.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 - grade corporate bonds that meet high credit quality standards, as specified in our investment policy. Our investment policy seeks to manage these assets to achieve our goals of preserving principal and maintaining adequate liquidity.</w:t>
      </w:r>
    </w:p>
    <w:p>
      <w:pPr>
        <w:spacing w:after="0" w:line="200" w:lineRule="exact"/>
        <w:rPr>
          <w:sz w:val="20"/>
          <w:szCs w:val="20"/>
          <w:color w:val="auto"/>
        </w:rPr>
      </w:pPr>
    </w:p>
    <w:p>
      <w:pPr>
        <w:ind w:right="100" w:firstLine="361"/>
        <w:spacing w:after="0" w:line="244" w:lineRule="auto"/>
        <w:rPr>
          <w:sz w:val="20"/>
          <w:szCs w:val="20"/>
          <w:color w:val="auto"/>
        </w:rPr>
      </w:pPr>
      <w:r>
        <w:rPr>
          <w:rFonts w:ascii="Times New Roman" w:cs="Times New Roman" w:eastAsia="Times New Roman" w:hAnsi="Times New Roman"/>
          <w:sz w:val="20"/>
          <w:szCs w:val="20"/>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commercial planning;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206" w:lineRule="exact"/>
        <w:rPr>
          <w:sz w:val="20"/>
          <w:szCs w:val="20"/>
          <w:color w:val="auto"/>
        </w:rPr>
      </w:pPr>
    </w:p>
    <w:p>
      <w:pPr>
        <w:ind w:right="20" w:firstLine="361"/>
        <w:spacing w:after="0" w:line="247" w:lineRule="auto"/>
        <w:rPr>
          <w:sz w:val="20"/>
          <w:szCs w:val="20"/>
          <w:color w:val="auto"/>
        </w:rPr>
      </w:pPr>
      <w:r>
        <w:rPr>
          <w:rFonts w:ascii="Times New Roman" w:cs="Times New Roman" w:eastAsia="Times New Roman" w:hAnsi="Times New Roman"/>
          <w:sz w:val="20"/>
          <w:szCs w:val="20"/>
          <w:color w:val="auto"/>
        </w:rPr>
        <w:t>At December 31, 2025, our principal sources of liquidity consisted of cash, cash equivalents and marketable securities of $518.6 million. We have had recurring losses and incurred a loss of $258.8 million for the year ended December 31, 2025. Net cash used in operations for the year ended December 31, 2025 was $210.9 million. We believe that the cash, cash equivalents and marketable securities at December 31, 2025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spacing w:after="0" w:line="200"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760"/>
          </w:cols>
          <w:pgMar w:left="540" w:top="1349" w:right="580" w:bottom="0" w:gutter="0" w:footer="0" w:header="0"/>
          <w:type w:val="continuous"/>
        </w:sectPr>
      </w:pPr>
    </w:p>
    <w:bookmarkStart w:id="157" w:name="page158"/>
    <w:bookmarkEnd w:id="157"/>
    <w:p>
      <w:pPr>
        <w:ind w:firstLine="1"/>
        <w:spacing w:after="0" w:line="243" w:lineRule="auto"/>
        <w:rPr>
          <w:sz w:val="20"/>
          <w:szCs w:val="20"/>
          <w:color w:val="auto"/>
        </w:rPr>
      </w:pPr>
      <w:r>
        <w:rPr>
          <w:rFonts w:ascii="Times New Roman" w:cs="Times New Roman" w:eastAsia="Times New Roman" w:hAnsi="Times New Roman"/>
          <w:sz w:val="20"/>
          <w:szCs w:val="20"/>
          <w:color w:val="auto"/>
        </w:rPr>
        <w:t>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 -term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our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7" w:lineRule="exact"/>
        <w:rPr>
          <w:sz w:val="20"/>
          <w:szCs w:val="20"/>
          <w:color w:val="auto"/>
        </w:rPr>
      </w:pPr>
    </w:p>
    <w:p>
      <w:pPr>
        <w:ind w:right="220" w:firstLine="361"/>
        <w:spacing w:after="0" w:line="249" w:lineRule="auto"/>
        <w:rPr>
          <w:sz w:val="20"/>
          <w:szCs w:val="20"/>
          <w:color w:val="auto"/>
        </w:rPr>
      </w:pPr>
      <w:r>
        <w:rPr>
          <w:rFonts w:ascii="Times New Roman" w:cs="Times New Roman" w:eastAsia="Times New Roman" w:hAnsi="Times New Roman"/>
          <w:sz w:val="20"/>
          <w:szCs w:val="20"/>
          <w:color w:val="auto"/>
        </w:rPr>
        <w:t>Net cash used in operating activities was $210.9 million for the year ended December 31, 2025 compared to $157.8 million for the year ended December 31, 2024. The increase in net cash used in operating activities was primarily due to an increase in research and development expenses and a decrease in investment income as a result of lower levels of cash, partially offset by a decrease in prepayments to clinical research and contract manufacturing organizations. We expect that cash used in operating activities will increase over the next twelve months as a result of the expanded development of barzolvolimab.</w:t>
      </w:r>
    </w:p>
    <w:p>
      <w:pPr>
        <w:spacing w:after="0" w:line="19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Net cash used in operating activities was $157.8 million for the year ended December 31, 2024 compared to $107.3 million for the year ended December 31, 2023. The increase in net cash used in operating activities was primarily due to increases in research and development and general and administrative expenses and an increase in advance payments to clinical research and contract manufacturing organizations, partially offset by an increase in investment income as a result of higher levels of cash and a decrease in payments made under the Settlement Agreement with SRS.</w:t>
      </w:r>
    </w:p>
    <w:p>
      <w:pPr>
        <w:spacing w:after="0" w:line="198" w:lineRule="exact"/>
        <w:rPr>
          <w:sz w:val="20"/>
          <w:szCs w:val="20"/>
          <w:color w:val="auto"/>
        </w:rPr>
      </w:pPr>
    </w:p>
    <w:p>
      <w:pPr>
        <w:ind w:right="160" w:firstLine="361"/>
        <w:spacing w:after="0" w:line="249" w:lineRule="auto"/>
        <w:rPr>
          <w:sz w:val="20"/>
          <w:szCs w:val="20"/>
          <w:color w:val="auto"/>
        </w:rPr>
      </w:pPr>
      <w:r>
        <w:rPr>
          <w:rFonts w:ascii="Times New Roman" w:cs="Times New Roman" w:eastAsia="Times New Roman" w:hAnsi="Times New Roman"/>
          <w:sz w:val="20"/>
          <w:szCs w:val="20"/>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processes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8"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Net cash provided by investing activities was $209.1 million for the year ended December 31, 2025 compared to net cash used in investing activities of $290.1 million for the year ended December 31, 2024. The increase in net cash provided by investing activities was primarily due to net sales and maturities of marketable securities of $211.8 million for the year ended December 31, 2025 as compared to net purchases of marketable securities of $288.2 million for the year ended December 31, 2024. We expect that cash provided by investing activities will increase over the next twelve months as we fund our operations through the combination of net proceeds from the sales and maturities of marketable securities, cash provided by financing activities and/or new partnerships, although there may be significant fluctuations on a quarterly basis based on the amount of cash provided by financing activities and/or new partnerships.</w:t>
      </w:r>
    </w:p>
    <w:p>
      <w:pPr>
        <w:spacing w:after="0" w:line="202"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Net cash used in investing activities was $290.1 million for the year ended December 31, 2024 compared to $105.8 million for the year ended December 31, 2023. The increase in net cash used in investing activities was primarily due to net purchases of marketable securities of $288.2 million for the year ended December 31, 2024 as compared to $104.0 million for the year ended December 31,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7"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20"/>
          <w:szCs w:val="20"/>
          <w:color w:val="auto"/>
        </w:rPr>
        <w:t>Net cash provided by financing activities was $2.4 million for the year ended December 31, 2025 compared to $441.4 million for the year ended December 31, 2024. The decrease in net cash provided by financing activities was primarily due to a decrease in net proceeds from stock issuances.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800"/>
          </w:cols>
          <w:pgMar w:left="540" w:top="1349" w:right="540" w:bottom="0" w:gutter="0" w:footer="0" w:header="0"/>
          <w:type w:val="continuous"/>
        </w:sectPr>
      </w:pPr>
    </w:p>
    <w:bookmarkStart w:id="158" w:name="page159"/>
    <w:bookmarkEnd w:id="158"/>
    <w:p>
      <w:pPr>
        <w:jc w:val="both"/>
        <w:ind w:right="180" w:firstLine="360"/>
        <w:spacing w:after="0" w:line="259" w:lineRule="auto"/>
        <w:rPr>
          <w:sz w:val="20"/>
          <w:szCs w:val="20"/>
          <w:color w:val="auto"/>
        </w:rPr>
      </w:pPr>
      <w:r>
        <w:rPr>
          <w:rFonts w:ascii="Times New Roman" w:cs="Times New Roman" w:eastAsia="Times New Roman" w:hAnsi="Times New Roman"/>
          <w:sz w:val="20"/>
          <w:szCs w:val="20"/>
          <w:color w:val="auto"/>
        </w:rPr>
        <w:t>Net cash provided by financing activities was $441.4 million for the year ended December 31, 2024 compared to $218.5 million for the year ended December 31, 2023. The increase in net cash provided by financing activities was primarily due to an increase in net proceeds from stock issuances.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Offerings</w:t>
      </w:r>
    </w:p>
    <w:p>
      <w:pPr>
        <w:spacing w:after="0" w:line="237" w:lineRule="exact"/>
        <w:rPr>
          <w:sz w:val="20"/>
          <w:szCs w:val="20"/>
          <w:color w:val="auto"/>
        </w:rPr>
      </w:pPr>
    </w:p>
    <w:p>
      <w:pPr>
        <w:ind w:right="300" w:firstLine="360"/>
        <w:spacing w:after="0" w:line="252" w:lineRule="auto"/>
        <w:rPr>
          <w:sz w:val="20"/>
          <w:szCs w:val="20"/>
          <w:color w:val="auto"/>
        </w:rPr>
      </w:pPr>
      <w:r>
        <w:rPr>
          <w:rFonts w:ascii="Times New Roman" w:cs="Times New Roman" w:eastAsia="Times New Roman" w:hAnsi="Times New Roman"/>
          <w:sz w:val="20"/>
          <w:szCs w:val="20"/>
          <w:color w:val="auto"/>
        </w:rPr>
        <w:t>In November 2023, we filed an automatic shelf registration statement with the SEC to register for sale any combination of the types of securities described in the shelf registration statement, including shares of our common stock. Also in November 2023, we issued 8,538,750 shares of our common stock in an underwritten public offering resulting in net proceeds of $216.2 million, after deducting underwriting fees and offering expenses.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On February 26, 2024, we entered into a controlled equity offering sales agreement (“ATM Agreement”) with Cantor Fitzgerald</w:t>
      </w:r>
    </w:p>
    <w:p>
      <w:pPr>
        <w:spacing w:after="0" w:line="27" w:lineRule="exact"/>
        <w:rPr>
          <w:sz w:val="20"/>
          <w:szCs w:val="20"/>
          <w:color w:val="auto"/>
        </w:rPr>
      </w:pPr>
    </w:p>
    <w:p>
      <w:pPr>
        <w:ind w:right="180"/>
        <w:spacing w:after="0" w:line="244" w:lineRule="auto"/>
        <w:tabs>
          <w:tab w:leader="none" w:pos="20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 (“Cantor”) to allow us to issue and sell shares of our common stock from time to time through Cantor, acting as agent. At December 31, 2025, we had registered $300.0 million of our common stock to be sold pursuant to the ATM Agreement, all of which remained unsold as of that date.</w:t>
      </w:r>
    </w:p>
    <w:p>
      <w:pPr>
        <w:spacing w:after="0" w:line="201" w:lineRule="exact"/>
        <w:rPr>
          <w:sz w:val="20"/>
          <w:szCs w:val="20"/>
          <w:color w:val="auto"/>
        </w:rPr>
      </w:pPr>
    </w:p>
    <w:p>
      <w:pPr>
        <w:ind w:right="220" w:firstLine="360"/>
        <w:spacing w:after="0" w:line="278" w:lineRule="auto"/>
        <w:rPr>
          <w:sz w:val="20"/>
          <w:szCs w:val="20"/>
          <w:color w:val="auto"/>
        </w:rPr>
      </w:pPr>
      <w:r>
        <w:rPr>
          <w:rFonts w:ascii="Times New Roman" w:cs="Times New Roman" w:eastAsia="Times New Roman" w:hAnsi="Times New Roman"/>
          <w:sz w:val="20"/>
          <w:szCs w:val="20"/>
          <w:color w:val="auto"/>
        </w:rPr>
        <w:t>In March 2024, we issued 9,798,000 shares of our common stock in an underwritten public offering resulting in net proceeds of $432.3 million, after deducting underwriting fees and offering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changes in interest rates is not material.</w:t>
      </w:r>
    </w:p>
    <w:p>
      <w:pPr>
        <w:spacing w:after="0" w:line="206"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We do not utilize derivative financial instruments. The carrying amounts reflected in the balance sheet of cash and cash equivalents, accounts receivables and accounts payable approximates fair value at December 31, 2025 due to the short-term maturities of these instruments.</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800"/>
          </w:cols>
          <w:pgMar w:left="540" w:top="1349" w:right="540"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To the Board of Directors and Stockholders of Celldex Therapeutics,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Celldex Therapeutics, Inc. and its subsidiary (the “Company”) as of December 31, 2025 and 2024, and the related consolidated statements of operations and comprehensive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0"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40"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ind w:right="180" w:firstLine="360"/>
        <w:spacing w:after="0" w:line="25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6"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40"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w:t>
      </w:r>
    </w:p>
    <w:p>
      <w:pPr>
        <w:sectPr>
          <w:pgSz w:w="11880" w:h="15480" w:orient="portrait"/>
          <w:cols w:equalWidth="0" w:num="1">
            <w:col w:w="10780"/>
          </w:cols>
          <w:pgMar w:left="540" w:top="134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780"/>
          </w:cols>
          <w:pgMar w:left="540" w:top="1347" w:right="560" w:bottom="0" w:gutter="0" w:footer="0" w:header="0"/>
          <w:type w:val="continuous"/>
        </w:sectPr>
      </w:pPr>
    </w:p>
    <w:bookmarkStart w:id="160" w:name="page161"/>
    <w:bookmarkEnd w:id="160"/>
    <w:p>
      <w:pPr>
        <w:ind w:right="300"/>
        <w:spacing w:after="0" w:line="278" w:lineRule="auto"/>
        <w:rPr>
          <w:sz w:val="20"/>
          <w:szCs w:val="20"/>
          <w:color w:val="auto"/>
        </w:rPr>
      </w:pPr>
      <w:r>
        <w:rPr>
          <w:rFonts w:ascii="Times New Roman" w:cs="Times New Roman" w:eastAsia="Times New Roman" w:hAnsi="Times New Roman"/>
          <w:sz w:val="20"/>
          <w:szCs w:val="20"/>
          <w:color w:val="auto"/>
        </w:rPr>
        <w:t>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9" w:lineRule="exact"/>
        <w:rPr>
          <w:sz w:val="20"/>
          <w:szCs w:val="20"/>
          <w:color w:val="auto"/>
        </w:rPr>
      </w:pPr>
    </w:p>
    <w:p>
      <w:pPr>
        <w:ind w:right="120" w:firstLine="361"/>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2"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20"/>
          <w:szCs w:val="20"/>
          <w:i w:val="1"/>
          <w:iCs w:val="1"/>
          <w:color w:val="auto"/>
        </w:rPr>
        <w:t>Research and Development Expenses and Accruals Related to Clinical Research Organization and Contract Development and Manufacturing Organization Activities</w:t>
      </w:r>
    </w:p>
    <w:p>
      <w:pPr>
        <w:spacing w:after="0" w:line="169" w:lineRule="exact"/>
        <w:rPr>
          <w:sz w:val="20"/>
          <w:szCs w:val="20"/>
          <w:color w:val="auto"/>
        </w:rPr>
      </w:pPr>
    </w:p>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As described in Notes 2 and 10 to the consolidated financial statements, 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 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Management accrues the cost of services rendered in connection with CRO and CDMO activities based on their estimate of costs incurred. Management maintains regular communication with their CROs and CDMOs to assess the reasonableness of its estimates. Research and development expenses for the year ended December 31, 2025 were $245.1 million, the majority of which related to CRO and CDMO activities. Within accrued expenses, total accrued research and development contract costs as of December 31, 2025 amounted to $33.3 million, a majority of which related to CRO and CDMO activities.</w:t>
      </w:r>
    </w:p>
    <w:p>
      <w:pPr>
        <w:spacing w:after="0" w:line="21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research and development expenses and accruals related to CRO and CDMO activities is a critical audit matter is a high degree of auditor effort in performing procedures related to the Company’s research and development expenses and accruals.</w:t>
      </w:r>
    </w:p>
    <w:p>
      <w:pPr>
        <w:spacing w:after="0" w:line="188" w:lineRule="exact"/>
        <w:rPr>
          <w:sz w:val="20"/>
          <w:szCs w:val="20"/>
          <w:color w:val="auto"/>
        </w:rPr>
      </w:pPr>
    </w:p>
    <w:p>
      <w:pPr>
        <w:ind w:right="20" w:firstLine="361"/>
        <w:spacing w:after="0" w:line="259"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estimated research and development accruals, including those related to CRO and CDMO activities. These procedures also included, among others, (i) testing management’s process for developing the estimate of research and development accruals related to CROs and CDMOs, (ii) evaluating the appropriateness of the methods used by management to develop the estimate, (iii) testing, on a sample basis, the completeness and accuracy of costs incurred for services that have been performed and for which the Company has been invoiced by comparing amounts to CRO and CDMO contracts and invoices, and evaluating the reasonableness of the cost incurred for the services for which the Company has not yet been invoiced by comparing estimated amounts to information received from the CROs and CDMOs, and (iv) testing, on a sample basis, classification of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2008.</w:t>
      </w:r>
    </w:p>
    <w:p>
      <w:pPr>
        <w:sectPr>
          <w:pgSz w:w="11880" w:h="15480" w:orient="portrait"/>
          <w:cols w:equalWidth="0" w:num="1">
            <w:col w:w="10700"/>
          </w:cols>
          <w:pgMar w:left="540" w:top="1349"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700"/>
          </w:cols>
          <w:pgMar w:left="540" w:top="1349" w:right="640" w:bottom="0"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199"/>
        </w:trPr>
        <w:tc>
          <w:tcPr>
            <w:tcW w:w="7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Cash and cash equivalents . . . . . . . . . . . . . . . . . . . . . . . . . . . . . . . . . . . . . . . . . . . . . . . . . . . . . . . . .</w:t>
            </w:r>
          </w:p>
        </w:tc>
        <w:tc>
          <w:tcPr>
            <w:tcW w:w="240" w:type="dxa"/>
            <w:vAlign w:val="bottom"/>
            <w:gridSpan w:val="2"/>
          </w:tcPr>
          <w:p>
            <w:pPr>
              <w:jc w:val="right"/>
              <w:ind w:right="27"/>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28,871</w:t>
            </w:r>
          </w:p>
        </w:tc>
        <w:tc>
          <w:tcPr>
            <w:tcW w:w="4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28,356</w:t>
            </w:r>
          </w:p>
        </w:tc>
        <w:tc>
          <w:tcPr>
            <w:tcW w:w="0" w:type="dxa"/>
            <w:vAlign w:val="bottom"/>
          </w:tcPr>
          <w:p>
            <w:pPr>
              <w:spacing w:after="0"/>
              <w:rPr>
                <w:sz w:val="1"/>
                <w:szCs w:val="1"/>
                <w:color w:val="auto"/>
              </w:rPr>
            </w:pPr>
          </w:p>
        </w:tc>
      </w:tr>
      <w:tr>
        <w:trPr>
          <w:trHeight w:val="229"/>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Marketable securities . . . . . . . . . . . . . . . . . . . . . . . .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696,925</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Accounts and other receivables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c>
          <w:tcPr>
            <w:tcW w:w="0" w:type="dxa"/>
            <w:vAlign w:val="bottom"/>
          </w:tcPr>
          <w:p>
            <w:pPr>
              <w:spacing w:after="0"/>
              <w:rPr>
                <w:sz w:val="1"/>
                <w:szCs w:val="1"/>
                <w:color w:val="auto"/>
              </w:rPr>
            </w:pPr>
          </w:p>
        </w:tc>
      </w:tr>
      <w:tr>
        <w:trPr>
          <w:trHeight w:val="25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Prepaid and other current assets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14,076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21,178</w:t>
            </w:r>
          </w:p>
        </w:tc>
        <w:tc>
          <w:tcPr>
            <w:tcW w:w="0" w:type="dxa"/>
            <w:vAlign w:val="bottom"/>
          </w:tcPr>
          <w:p>
            <w:pPr>
              <w:spacing w:after="0"/>
              <w:rPr>
                <w:sz w:val="1"/>
                <w:szCs w:val="1"/>
                <w:color w:val="auto"/>
              </w:rPr>
            </w:pPr>
          </w:p>
        </w:tc>
      </w:tr>
      <w:tr>
        <w:trPr>
          <w:trHeight w:val="220"/>
        </w:trPr>
        <w:tc>
          <w:tcPr>
            <w:tcW w:w="79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.Totalcurrentassets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534,664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747,159</w:t>
            </w:r>
          </w:p>
        </w:tc>
        <w:tc>
          <w:tcPr>
            <w:tcW w:w="0" w:type="dxa"/>
            <w:vAlign w:val="bottom"/>
          </w:tcPr>
          <w:p>
            <w:pPr>
              <w:spacing w:after="0"/>
              <w:rPr>
                <w:sz w:val="1"/>
                <w:szCs w:val="1"/>
                <w:color w:val="auto"/>
              </w:rPr>
            </w:pPr>
          </w:p>
        </w:tc>
      </w:tr>
      <w:tr>
        <w:trPr>
          <w:trHeight w:val="201"/>
        </w:trPr>
        <w:tc>
          <w:tcPr>
            <w:tcW w:w="7980" w:type="dxa"/>
            <w:vAlign w:val="bottom"/>
          </w:tcPr>
          <w:p>
            <w:pPr>
              <w:jc w:val="right"/>
              <w:ind w:right="20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.Propertyandequipment,net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5,334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4,346</w:t>
            </w:r>
          </w:p>
        </w:tc>
        <w:tc>
          <w:tcPr>
            <w:tcW w:w="0" w:type="dxa"/>
            <w:vAlign w:val="bottom"/>
          </w:tcPr>
          <w:p>
            <w:pPr>
              <w:spacing w:after="0"/>
              <w:rPr>
                <w:sz w:val="1"/>
                <w:szCs w:val="1"/>
                <w:color w:val="auto"/>
              </w:rPr>
            </w:pPr>
          </w:p>
        </w:tc>
      </w:tr>
      <w:tr>
        <w:trPr>
          <w:trHeight w:val="229"/>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Operating lease right-of-use assets, net . . . . . . . . . . .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3,898</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Intangible assets . . . . . . .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27,190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27,190</w:t>
            </w:r>
          </w:p>
        </w:tc>
        <w:tc>
          <w:tcPr>
            <w:tcW w:w="0" w:type="dxa"/>
            <w:vAlign w:val="bottom"/>
          </w:tcPr>
          <w:p>
            <w:pPr>
              <w:spacing w:after="0"/>
              <w:rPr>
                <w:sz w:val="1"/>
                <w:szCs w:val="1"/>
                <w:color w:val="auto"/>
              </w:rPr>
            </w:pPr>
          </w:p>
        </w:tc>
      </w:tr>
      <w:tr>
        <w:trPr>
          <w:trHeight w:val="25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Other assets . . . . . . . . . . . .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13,358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9,747</w:t>
            </w:r>
          </w:p>
        </w:tc>
        <w:tc>
          <w:tcPr>
            <w:tcW w:w="0" w:type="dxa"/>
            <w:vAlign w:val="bottom"/>
          </w:tcPr>
          <w:p>
            <w:pPr>
              <w:spacing w:after="0"/>
              <w:rPr>
                <w:sz w:val="1"/>
                <w:szCs w:val="1"/>
                <w:color w:val="auto"/>
              </w:rPr>
            </w:pPr>
          </w:p>
        </w:tc>
      </w:tr>
      <w:tr>
        <w:trPr>
          <w:trHeight w:val="229"/>
        </w:trPr>
        <w:tc>
          <w:tcPr>
            <w:tcW w:w="79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.Totalassets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2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582,983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792,340</w:t>
            </w:r>
          </w:p>
        </w:tc>
        <w:tc>
          <w:tcPr>
            <w:tcW w:w="0" w:type="dxa"/>
            <w:vAlign w:val="bottom"/>
          </w:tcPr>
          <w:p>
            <w:pPr>
              <w:spacing w:after="0"/>
              <w:rPr>
                <w:sz w:val="1"/>
                <w:szCs w:val="1"/>
                <w:color w:val="auto"/>
              </w:rPr>
            </w:pPr>
          </w:p>
        </w:tc>
      </w:tr>
      <w:tr>
        <w:trPr>
          <w:trHeight w:val="211"/>
        </w:trPr>
        <w:tc>
          <w:tcPr>
            <w:tcW w:w="7980" w:type="dxa"/>
            <w:vAlign w:val="bottom"/>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Accounts payable . . . . . . . . . . . . . . . . . . . . . . . . . . . . . . . . . . . . . . . . . . . . . . . . . . . . . . . . . . . . . . . .</w:t>
            </w:r>
          </w:p>
        </w:tc>
        <w:tc>
          <w:tcPr>
            <w:tcW w:w="240" w:type="dxa"/>
            <w:vAlign w:val="bottom"/>
            <w:gridSpan w:val="2"/>
          </w:tcPr>
          <w:p>
            <w:pPr>
              <w:jc w:val="right"/>
              <w:ind w:right="27"/>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w:t>
            </w:r>
          </w:p>
        </w:tc>
        <w:tc>
          <w:tcPr>
            <w:tcW w:w="4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Accrued expenses . . . . . . .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47,029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33,842</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Current portion of operating lease liabilities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w:t>
            </w:r>
          </w:p>
        </w:tc>
        <w:tc>
          <w:tcPr>
            <w:tcW w:w="0" w:type="dxa"/>
            <w:vAlign w:val="bottom"/>
          </w:tcPr>
          <w:p>
            <w:pPr>
              <w:spacing w:after="0"/>
              <w:rPr>
                <w:sz w:val="1"/>
                <w:szCs w:val="1"/>
                <w:color w:val="auto"/>
              </w:rPr>
            </w:pPr>
          </w:p>
        </w:tc>
      </w:tr>
      <w:tr>
        <w:trPr>
          <w:trHeight w:val="25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Current portion of long-term liabilities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942</w:t>
            </w:r>
          </w:p>
        </w:tc>
        <w:tc>
          <w:tcPr>
            <w:tcW w:w="0" w:type="dxa"/>
            <w:vAlign w:val="bottom"/>
          </w:tcPr>
          <w:p>
            <w:pPr>
              <w:spacing w:after="0"/>
              <w:rPr>
                <w:sz w:val="1"/>
                <w:szCs w:val="1"/>
                <w:color w:val="auto"/>
              </w:rPr>
            </w:pPr>
          </w:p>
        </w:tc>
      </w:tr>
      <w:tr>
        <w:trPr>
          <w:trHeight w:val="220"/>
        </w:trPr>
        <w:tc>
          <w:tcPr>
            <w:tcW w:w="79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.Totalcurrentliabilities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50,991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39,501</w:t>
            </w:r>
          </w:p>
        </w:tc>
        <w:tc>
          <w:tcPr>
            <w:tcW w:w="0" w:type="dxa"/>
            <w:vAlign w:val="bottom"/>
          </w:tcPr>
          <w:p>
            <w:pPr>
              <w:spacing w:after="0"/>
              <w:rPr>
                <w:sz w:val="1"/>
                <w:szCs w:val="1"/>
                <w:color w:val="auto"/>
              </w:rPr>
            </w:pPr>
          </w:p>
        </w:tc>
      </w:tr>
      <w:tr>
        <w:trPr>
          <w:trHeight w:val="199"/>
        </w:trPr>
        <w:tc>
          <w:tcPr>
            <w:tcW w:w="798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.Long-termportionofoperatingleaseliabilities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784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2,361</w:t>
            </w:r>
          </w:p>
        </w:tc>
        <w:tc>
          <w:tcPr>
            <w:tcW w:w="0" w:type="dxa"/>
            <w:vAlign w:val="bottom"/>
          </w:tcPr>
          <w:p>
            <w:pPr>
              <w:spacing w:after="0"/>
              <w:rPr>
                <w:sz w:val="1"/>
                <w:szCs w:val="1"/>
                <w:color w:val="auto"/>
              </w:rPr>
            </w:pPr>
          </w:p>
        </w:tc>
      </w:tr>
      <w:tr>
        <w:trPr>
          <w:trHeight w:val="25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Other long-term liabilities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3,473</w:t>
            </w:r>
          </w:p>
        </w:tc>
        <w:tc>
          <w:tcPr>
            <w:tcW w:w="0" w:type="dxa"/>
            <w:vAlign w:val="bottom"/>
          </w:tcPr>
          <w:p>
            <w:pPr>
              <w:spacing w:after="0"/>
              <w:rPr>
                <w:sz w:val="1"/>
                <w:szCs w:val="1"/>
                <w:color w:val="auto"/>
              </w:rPr>
            </w:pPr>
          </w:p>
        </w:tc>
      </w:tr>
      <w:tr>
        <w:trPr>
          <w:trHeight w:val="220"/>
        </w:trPr>
        <w:tc>
          <w:tcPr>
            <w:tcW w:w="79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.Totalliabilities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55,818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45,335</w:t>
            </w:r>
          </w:p>
        </w:tc>
        <w:tc>
          <w:tcPr>
            <w:tcW w:w="0" w:type="dxa"/>
            <w:vAlign w:val="bottom"/>
          </w:tcPr>
          <w:p>
            <w:pPr>
              <w:spacing w:after="0"/>
              <w:rPr>
                <w:sz w:val="1"/>
                <w:szCs w:val="1"/>
                <w:color w:val="auto"/>
              </w:rPr>
            </w:pPr>
          </w:p>
        </w:tc>
      </w:tr>
      <w:tr>
        <w:trPr>
          <w:trHeight w:val="201"/>
        </w:trPr>
        <w:tc>
          <w:tcPr>
            <w:tcW w:w="7980" w:type="dxa"/>
            <w:vAlign w:val="bottom"/>
          </w:tcPr>
          <w:p>
            <w:pPr>
              <w:spacing w:after="0" w:line="201" w:lineRule="exact"/>
              <w:rPr>
                <w:sz w:val="20"/>
                <w:szCs w:val="20"/>
                <w:color w:val="auto"/>
              </w:rPr>
            </w:pPr>
            <w:r>
              <w:rPr>
                <w:rFonts w:ascii="Times New Roman" w:cs="Times New Roman" w:eastAsia="Times New Roman" w:hAnsi="Times New Roman"/>
                <w:sz w:val="20"/>
                <w:szCs w:val="20"/>
                <w:color w:val="auto"/>
              </w:rPr>
              <w:t>Commitments and contingent liabilities (Note 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Convertible preferred stock, $.01 par value; 3,000,000 shares authorized; no shares issued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and outstanding at December 31, 2025 and 2024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Common stock, $.001 par value; 297,000,000 shares authorized; 66,549,442 and 66,374,549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shares issued and outstanding at December 31, 2025 and 2024, respectively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Additional paid-in capital . . . . . . . . . . . . . .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2,337,453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2,298,849</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Accumulated other comprehensive income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w:t>
            </w:r>
          </w:p>
        </w:tc>
        <w:tc>
          <w:tcPr>
            <w:tcW w:w="0" w:type="dxa"/>
            <w:vAlign w:val="bottom"/>
          </w:tcPr>
          <w:p>
            <w:pPr>
              <w:spacing w:after="0"/>
              <w:rPr>
                <w:sz w:val="1"/>
                <w:szCs w:val="1"/>
                <w:color w:val="auto"/>
              </w:rPr>
            </w:pPr>
          </w:p>
        </w:tc>
      </w:tr>
      <w:tr>
        <w:trPr>
          <w:trHeight w:val="250"/>
        </w:trPr>
        <w:tc>
          <w:tcPr>
            <w:tcW w:w="79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Accumulated deficit . . . . . . . . . . . . . . . . . . .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(1,813,981)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(1,555,224)</w:t>
            </w:r>
          </w:p>
        </w:tc>
        <w:tc>
          <w:tcPr>
            <w:tcW w:w="0" w:type="dxa"/>
            <w:vAlign w:val="bottom"/>
          </w:tcPr>
          <w:p>
            <w:pPr>
              <w:spacing w:after="0"/>
              <w:rPr>
                <w:sz w:val="1"/>
                <w:szCs w:val="1"/>
                <w:color w:val="auto"/>
              </w:rPr>
            </w:pPr>
          </w:p>
        </w:tc>
      </w:tr>
      <w:tr>
        <w:trPr>
          <w:trHeight w:val="220"/>
        </w:trPr>
        <w:tc>
          <w:tcPr>
            <w:tcW w:w="798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 . . . . . . . . . . . . . . .Totalstockholders’equity</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527,165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747,005</w:t>
            </w:r>
          </w:p>
        </w:tc>
        <w:tc>
          <w:tcPr>
            <w:tcW w:w="0" w:type="dxa"/>
            <w:vAlign w:val="bottom"/>
          </w:tcPr>
          <w:p>
            <w:pPr>
              <w:spacing w:after="0"/>
              <w:rPr>
                <w:sz w:val="1"/>
                <w:szCs w:val="1"/>
                <w:color w:val="auto"/>
              </w:rPr>
            </w:pPr>
          </w:p>
        </w:tc>
      </w:tr>
      <w:tr>
        <w:trPr>
          <w:trHeight w:val="230"/>
        </w:trPr>
        <w:tc>
          <w:tcPr>
            <w:tcW w:w="79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.Totalliabilitiesandstockholders’equity</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7"/>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582,983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792,340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800"/>
          </w:cols>
          <w:pgMar w:left="540" w:top="1347" w:right="540" w:bottom="0" w:gutter="0" w:footer="0" w:header="0"/>
          <w:type w:val="continuous"/>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6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0" w:type="dxa"/>
            <w:vAlign w:val="bottom"/>
          </w:tcPr>
          <w:p>
            <w:pPr>
              <w:spacing w:after="0"/>
              <w:rPr>
                <w:sz w:val="17"/>
                <w:szCs w:val="17"/>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7"/>
                <w:szCs w:val="17"/>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1"/>
        </w:trPr>
        <w:tc>
          <w:tcPr>
            <w:tcW w:w="6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Product development and licensing agreements . . . . . . . . . . . . . . . . . . . . . . .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Contracts and grants . . . . . . . . . . . . . . . . . .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6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.Totalrevenues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46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Operating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Research and development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General and administrative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Litigation settlement related loss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6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.Totaloperatingexpenses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288,912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202,098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161,425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460" w:type="dxa"/>
            <w:vAlign w:val="bottom"/>
          </w:tcPr>
          <w:p>
            <w:pPr>
              <w:jc w:val="right"/>
              <w:ind w:right="220"/>
              <w:spacing w:after="0" w:line="201"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.Operatingloss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(287,367)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(195,078)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(154,542)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Investment and other income, net . . . . . . .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37,215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60" w:type="dxa"/>
            <w:vAlign w:val="bottom"/>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w w:val="97"/>
              </w:rPr>
              <w:t>. . . . . . . . . . . . . . . . . . . . . . . . . . . . . . . . . . . . . . . . . . . . . . . . . . . . . . . . .Netloss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(258,757)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(157,863)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 . . . . . . . . . . . . . . . . . . . . . . . . .Basicanddilutednetlosspercommonshare</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 . . . . . . . . . . . .Sharesusedincalculatingbasicanddilutednetlosspershare</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64,395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460" w:type="dxa"/>
            <w:vAlign w:val="bottom"/>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Net loss . . . . . . . . . . . . . . . . . . . . . . . . . . . . . . . . . . . . . . . . . . . . . . . . . . . . . . .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(258,757)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(157,863)</w:t>
            </w:r>
          </w:p>
        </w:tc>
        <w:tc>
          <w:tcPr>
            <w:tcW w:w="20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9"/>
              </w:rPr>
              <w:t>Unrealized gain on marketable securities . . .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6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w w:val="98"/>
              </w:rPr>
              <w:t>. . . . . . . . . . . . . . . . . . . . . . . . . . . . . . . . . . . . . . . . . . . . . . .Comprehensiveloss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(258,445)</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(157,857)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(139,381)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800"/>
          </w:cols>
          <w:pgMar w:left="540" w:top="1347" w:right="540" w:bottom="0" w:gutter="0" w:footer="0" w:header="0"/>
          <w:type w:val="continuous"/>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86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4"/>
        </w:trPr>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Stock Par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38"/>
        </w:trPr>
        <w:tc>
          <w:tcPr>
            <w:tcW w:w="5900" w:type="dxa"/>
            <w:vAlign w:val="bottom"/>
            <w:gridSpan w:val="2"/>
            <w:vMerge w:val="continue"/>
          </w:tcPr>
          <w:p>
            <w:pPr>
              <w:jc w:val="right"/>
              <w:ind w:right="320"/>
              <w:spacing w:after="0" w:line="138" w:lineRule="exact"/>
              <w:rPr>
                <w:sz w:val="20"/>
                <w:szCs w:val="20"/>
                <w:color w:val="auto"/>
              </w:rPr>
            </w:pPr>
            <w:r>
              <w:rPr>
                <w:rFonts w:ascii="Times New Roman" w:cs="Times New Roman" w:eastAsia="Times New Roman" w:hAnsi="Times New Roman"/>
                <w:sz w:val="16"/>
                <w:szCs w:val="16"/>
                <w:color w:val="auto"/>
              </w:rPr>
              <w:t>. . . . . . . . . . . . . . . . . . . . . . . . . . . . . . . . . . . . . . . . . .</w:t>
            </w:r>
          </w:p>
        </w:tc>
        <w:tc>
          <w:tcPr>
            <w:tcW w:w="10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rPr>
              <w:t>47,200,695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rPr>
              <w:t>47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rPr>
              <w:t>1,580,829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rPr>
              <w:t>1,260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rPr>
              <w:t>(1,255,932)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6"/>
                <w:szCs w:val="16"/>
                <w:b w:val="1"/>
                <w:bCs w:val="1"/>
                <w:color w:val="auto"/>
              </w:rPr>
              <w:t>326,204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Shares issued under stock option and employee stock purchase plans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143,932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Shares issued in underwritten offering, net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8,538,750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216,213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Stock-based compensation.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Unrealized gain on marketable securities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Net loss.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(141,429)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(141,429)</w:t>
            </w:r>
          </w:p>
        </w:tc>
        <w:tc>
          <w:tcPr>
            <w:tcW w:w="0" w:type="dxa"/>
            <w:vAlign w:val="bottom"/>
          </w:tcPr>
          <w:p>
            <w:pPr>
              <w:spacing w:after="0"/>
              <w:rPr>
                <w:sz w:val="1"/>
                <w:szCs w:val="1"/>
                <w:color w:val="auto"/>
              </w:rPr>
            </w:pPr>
          </w:p>
        </w:tc>
      </w:tr>
      <w:tr>
        <w:trPr>
          <w:trHeight w:val="146"/>
        </w:trPr>
        <w:tc>
          <w:tcPr>
            <w:tcW w:w="5900" w:type="dxa"/>
            <w:vAlign w:val="bottom"/>
            <w:gridSpan w:val="2"/>
          </w:tcPr>
          <w:p>
            <w:pPr>
              <w:jc w:val="right"/>
              <w:ind w:right="320"/>
              <w:spacing w:after="0" w:line="146" w:lineRule="exact"/>
              <w:rPr>
                <w:sz w:val="20"/>
                <w:szCs w:val="20"/>
                <w:color w:val="auto"/>
              </w:rPr>
            </w:pPr>
            <w:r>
              <w:rPr>
                <w:rFonts w:ascii="Times New Roman" w:cs="Times New Roman" w:eastAsia="Times New Roman" w:hAnsi="Times New Roman"/>
                <w:sz w:val="16"/>
                <w:szCs w:val="16"/>
                <w:color w:val="auto"/>
              </w:rPr>
              <w:t>. . . . . . . . . . . . . . . . . . . . . . . . . . . . . . . . . . . . . . . . . .</w:t>
            </w:r>
            <w:r>
              <w:rPr>
                <w:rFonts w:ascii="Times New Roman" w:cs="Times New Roman" w:eastAsia="Times New Roman" w:hAnsi="Times New Roman"/>
                <w:sz w:val="16"/>
                <w:szCs w:val="16"/>
                <w:b w:val="1"/>
                <w:bCs w:val="1"/>
                <w:color w:val="auto"/>
              </w:rPr>
              <w:t>BalanceatDecember31,2023</w:t>
            </w:r>
          </w:p>
        </w:tc>
        <w:tc>
          <w:tcPr>
            <w:tcW w:w="102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55,883,377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56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1,823,168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3,308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(1,397,361)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tcPr>
          <w:p>
            <w:pPr>
              <w:jc w:val="right"/>
              <w:spacing w:after="0" w:line="146" w:lineRule="exact"/>
              <w:rPr>
                <w:sz w:val="20"/>
                <w:szCs w:val="20"/>
                <w:color w:val="auto"/>
              </w:rPr>
            </w:pPr>
            <w:r>
              <w:rPr>
                <w:rFonts w:ascii="Times New Roman" w:cs="Times New Roman" w:eastAsia="Times New Roman" w:hAnsi="Times New Roman"/>
                <w:sz w:val="16"/>
                <w:szCs w:val="16"/>
                <w:b w:val="1"/>
                <w:bCs w:val="1"/>
                <w:color w:val="auto"/>
              </w:rPr>
              <w:t>429,171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Shares issued under stock option and employee stock purchase plans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693,172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Shares issued in underwritten offering, net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9,798,000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432,288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Stock-based compensation.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Unrealized gain on marketable securities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Net loss.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(157,863)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(157,863)</w:t>
            </w:r>
          </w:p>
        </w:tc>
        <w:tc>
          <w:tcPr>
            <w:tcW w:w="0" w:type="dxa"/>
            <w:vAlign w:val="bottom"/>
          </w:tcPr>
          <w:p>
            <w:pPr>
              <w:spacing w:after="0"/>
              <w:rPr>
                <w:sz w:val="1"/>
                <w:szCs w:val="1"/>
                <w:color w:val="auto"/>
              </w:rPr>
            </w:pPr>
          </w:p>
        </w:tc>
      </w:tr>
      <w:tr>
        <w:trPr>
          <w:trHeight w:val="144"/>
        </w:trPr>
        <w:tc>
          <w:tcPr>
            <w:tcW w:w="59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6"/>
                <w:szCs w:val="16"/>
                <w:color w:val="auto"/>
              </w:rPr>
              <w:t>. . . . . . . . . . . . . . . . . . . . . . . . . . . . . . . . . . . . . . . . . .</w:t>
            </w:r>
            <w:r>
              <w:rPr>
                <w:rFonts w:ascii="Times New Roman" w:cs="Times New Roman" w:eastAsia="Times New Roman" w:hAnsi="Times New Roman"/>
                <w:sz w:val="16"/>
                <w:szCs w:val="16"/>
                <w:b w:val="1"/>
                <w:bCs w:val="1"/>
                <w:color w:val="auto"/>
              </w:rPr>
              <w:t>BalanceatDecember31,2024</w:t>
            </w:r>
          </w:p>
        </w:tc>
        <w:tc>
          <w:tcPr>
            <w:tcW w:w="10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66,374,549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66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2,298,849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3,314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(1,555,224)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6"/>
                <w:szCs w:val="16"/>
                <w:b w:val="1"/>
                <w:bCs w:val="1"/>
                <w:color w:val="auto"/>
              </w:rPr>
              <w:t>747,005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Shares issued under stock option and employee stock purchase plans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174,893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Stock-based compensation.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Unrealized gain on marketable securities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Net loss. . . . . . . . . . . . . . . . . . . . . . . . . . . . . . . . . . . . . . . . . . . . . . . . . . . . . . . . . .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(258,757)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(258,757)</w:t>
            </w:r>
          </w:p>
        </w:tc>
        <w:tc>
          <w:tcPr>
            <w:tcW w:w="0" w:type="dxa"/>
            <w:vAlign w:val="bottom"/>
          </w:tcPr>
          <w:p>
            <w:pPr>
              <w:spacing w:after="0"/>
              <w:rPr>
                <w:sz w:val="1"/>
                <w:szCs w:val="1"/>
                <w:color w:val="auto"/>
              </w:rPr>
            </w:pPr>
          </w:p>
        </w:tc>
      </w:tr>
      <w:tr>
        <w:trPr>
          <w:trHeight w:val="192"/>
        </w:trPr>
        <w:tc>
          <w:tcPr>
            <w:tcW w:w="58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r>
              <w:rPr>
                <w:rFonts w:ascii="Times New Roman" w:cs="Times New Roman" w:eastAsia="Times New Roman" w:hAnsi="Times New Roman"/>
                <w:sz w:val="16"/>
                <w:szCs w:val="16"/>
                <w:color w:val="auto"/>
              </w:rPr>
              <w:t>. . . . . . . . . . . . . . . . . . . . . . . . . . . . . . . . . . . . . . . . . .</w:t>
            </w:r>
          </w:p>
        </w:tc>
        <w:tc>
          <w:tcPr>
            <w:tcW w:w="20" w:type="dxa"/>
            <w:vAlign w:val="bottom"/>
            <w:tcBorders>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66,549,442</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2,337,453</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3,626</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(1,813,981)</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527,165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5480" w:h="11880" w:orient="landscape"/>
          <w:cols w:equalWidth="0" w:num="2">
            <w:col w:w="230" w:space="465"/>
            <w:col w:w="13680"/>
          </w:cols>
          <w:pgMar w:left="565" w:top="1440" w:right="540" w:bottom="1440" w:gutter="0" w:footer="0" w:header="0"/>
        </w:sectPr>
      </w:pPr>
    </w:p>
    <w:bookmarkStart w:id="164" w:name="page165"/>
    <w:bookmarkEnd w:id="164"/>
    <w:p>
      <w:pPr>
        <w:ind w:left="3840"/>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20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63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60" w:type="dxa"/>
            <w:vAlign w:val="bottom"/>
          </w:tcPr>
          <w:p>
            <w:pPr>
              <w:spacing w:after="0"/>
              <w:rPr>
                <w:sz w:val="17"/>
                <w:szCs w:val="17"/>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7"/>
                <w:szCs w:val="17"/>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1"/>
        </w:trPr>
        <w:tc>
          <w:tcPr>
            <w:tcW w:w="6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7"/>
              </w:rPr>
              <w:t>Net loss . . . . . . . . . . . . . . . . . . . . . . . . . . . . . . . . . . . . . . . . . . . . . . . . . . . . . . .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(258,757)</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(157,863)</w:t>
            </w:r>
          </w:p>
        </w:tc>
        <w:tc>
          <w:tcPr>
            <w:tcW w:w="12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Amortization and premium of marketable securities, net . . . . . . . . . . . . . .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(5,855)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(6,222)</w:t>
            </w: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Loss on disposal of assets . . . . .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Stock-based compensation expense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and other receivables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(2,281)</w:t>
            </w: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and other current assets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(19,887)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assets . . . . . . . . . . . . . . . . . . . . . . . . . . . . . . . . . . . . . . . . . . . . . . . . . .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and accrued expenses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liabilities . . . . . . . . . . . . . . . . . . . . . . . . . . . . . . . . . . . . . . . . . . . . . . .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32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.Netcashusedinoperatingactivities</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(210,945)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(157,778)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(107,291)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Sales and maturities of marketable securities . . . . . . . . . . . . . . . . . . . . . . . . .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596,288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501,714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Purchases of marketable securities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(384,502)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(789,924)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(424,561)</w:t>
            </w:r>
          </w:p>
        </w:tc>
        <w:tc>
          <w:tcPr>
            <w:tcW w:w="0" w:type="dxa"/>
            <w:vAlign w:val="bottom"/>
          </w:tcPr>
          <w:p>
            <w:pPr>
              <w:spacing w:after="0"/>
              <w:rPr>
                <w:sz w:val="1"/>
                <w:szCs w:val="1"/>
                <w:color w:val="auto"/>
              </w:rPr>
            </w:pPr>
          </w:p>
        </w:tc>
      </w:tr>
      <w:tr>
        <w:trPr>
          <w:trHeight w:val="25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Acquisition of property and equipment . . . . . . . . . . . . . . . . . . . . . . . . . . . . .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(1,818)</w:t>
            </w:r>
          </w:p>
        </w:tc>
        <w:tc>
          <w:tcPr>
            <w:tcW w:w="0" w:type="dxa"/>
            <w:vAlign w:val="bottom"/>
          </w:tcPr>
          <w:p>
            <w:pPr>
              <w:spacing w:after="0"/>
              <w:rPr>
                <w:sz w:val="1"/>
                <w:szCs w:val="1"/>
                <w:color w:val="auto"/>
              </w:rPr>
            </w:pPr>
          </w:p>
        </w:tc>
      </w:tr>
      <w:tr>
        <w:trPr>
          <w:trHeight w:val="220"/>
        </w:trPr>
        <w:tc>
          <w:tcPr>
            <w:tcW w:w="632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.Netcashprovidedby(usedin)investingactivities</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209,072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(290,129)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(105,782)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3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Net proceeds from stock issuances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432,298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Proceeds from issuance of stock from employee benefit plans. . . . . . . . . . . .</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32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 . . .Netcashprovidedbyfinancingactivities</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441,449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218,458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20" w:type="dxa"/>
            <w:vAlign w:val="bottom"/>
          </w:tcPr>
          <w:p>
            <w:pPr>
              <w:jc w:val="right"/>
              <w:ind w:right="80"/>
              <w:spacing w:after="0" w:line="201" w:lineRule="exact"/>
              <w:rPr>
                <w:sz w:val="20"/>
                <w:szCs w:val="20"/>
                <w:color w:val="auto"/>
              </w:rPr>
            </w:pPr>
            <w:r>
              <w:rPr>
                <w:rFonts w:ascii="Times New Roman" w:cs="Times New Roman" w:eastAsia="Times New Roman" w:hAnsi="Times New Roman"/>
                <w:sz w:val="20"/>
                <w:szCs w:val="20"/>
                <w:color w:val="auto"/>
              </w:rPr>
              <w:t>. . . . . . . . . . . . . . . . . . . .Netincrease(decrease)incashandcashequivalents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(6,458)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5,385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Cash and cash equivalents at beginning of period . . . . . . . . . . . . . . . . . . . . . . .</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20" w:type="dxa"/>
            <w:vAlign w:val="bottom"/>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rPr>
              <w:t>. . . . . . . . . . . . . . . . . . . . . . . . . . . .Cashandcashequivalentsatendofperiod</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34,814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20" w:type="dxa"/>
            <w:vAlign w:val="bottom"/>
          </w:tcPr>
          <w:p>
            <w:pPr>
              <w:spacing w:after="0" w:line="211" w:lineRule="exact"/>
              <w:rPr>
                <w:sz w:val="20"/>
                <w:szCs w:val="20"/>
                <w:color w:val="auto"/>
              </w:rPr>
            </w:pPr>
            <w:r>
              <w:rPr>
                <w:rFonts w:ascii="Times New Roman" w:cs="Times New Roman" w:eastAsia="Times New Roman" w:hAnsi="Times New Roman"/>
                <w:sz w:val="20"/>
                <w:szCs w:val="20"/>
                <w:b w:val="1"/>
                <w:bCs w:val="1"/>
                <w:color w:val="auto"/>
              </w:rPr>
              <w:t>Non-cash investing activities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Accrued construction in progress . . . . . . . . . . . . . . . . . . . . . . . . . . . . . . . . . . .</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120" w:type="dxa"/>
            <w:vAlign w:val="bottom"/>
          </w:tcPr>
          <w:p>
            <w:pPr>
              <w:spacing w:after="0"/>
              <w:rPr>
                <w:sz w:val="23"/>
                <w:szCs w:val="23"/>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800"/>
          </w:cols>
          <w:pgMar w:left="540" w:top="1347" w:right="540" w:bottom="0"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 and Overview</w:t>
      </w:r>
    </w:p>
    <w:p>
      <w:pPr>
        <w:spacing w:after="0" w:line="243" w:lineRule="exact"/>
        <w:rPr>
          <w:sz w:val="20"/>
          <w:szCs w:val="20"/>
          <w:color w:val="auto"/>
        </w:rPr>
      </w:pPr>
    </w:p>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Celldex Therapeutics, Inc. (the “Company” or “Celldex”) is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 The Company is primarily focusing its efforts and resources on the continued research and development of barzolvolimab (also referred to as CDX-0159) and CDX-622.</w:t>
      </w:r>
    </w:p>
    <w:p>
      <w:pPr>
        <w:spacing w:after="0" w:line="200" w:lineRule="exact"/>
        <w:rPr>
          <w:sz w:val="20"/>
          <w:szCs w:val="20"/>
          <w:color w:val="auto"/>
        </w:rPr>
      </w:pPr>
    </w:p>
    <w:p>
      <w:pPr>
        <w:ind w:right="40" w:firstLine="361"/>
        <w:spacing w:after="0" w:line="249" w:lineRule="auto"/>
        <w:rPr>
          <w:sz w:val="20"/>
          <w:szCs w:val="20"/>
          <w:color w:val="auto"/>
        </w:rPr>
      </w:pPr>
      <w:r>
        <w:rPr>
          <w:rFonts w:ascii="Times New Roman" w:cs="Times New Roman" w:eastAsia="Times New Roman" w:hAnsi="Times New Roman"/>
          <w:sz w:val="20"/>
          <w:szCs w:val="20"/>
          <w:color w:val="auto"/>
        </w:rPr>
        <w:t>At December 31, 2025, the Company had cash, cash equivalents and marketable securities of $518.6 million. The Company has had recurring losses and incurred a loss of $258.8 million for the year ended December 31, 2025. Net cash used in operations for the year ended December 31, 2025 was $210.9 million. The Company believes that the cash, cash equivalents and marketable securities at the filing date of this Form 10-K will be sufficient to meet estimated working capital requirements and fund planned operations for at least the next twelve months from the date of issuance of these financial statements.</w:t>
      </w:r>
    </w:p>
    <w:p>
      <w:pPr>
        <w:spacing w:after="0" w:line="197" w:lineRule="exact"/>
        <w:rPr>
          <w:sz w:val="20"/>
          <w:szCs w:val="20"/>
          <w:color w:val="auto"/>
        </w:rPr>
      </w:pPr>
    </w:p>
    <w:p>
      <w:pPr>
        <w:ind w:right="40" w:firstLine="361"/>
        <w:spacing w:after="0" w:line="242" w:lineRule="auto"/>
        <w:rPr>
          <w:sz w:val="20"/>
          <w:szCs w:val="20"/>
          <w:color w:val="auto"/>
        </w:rPr>
      </w:pPr>
      <w:r>
        <w:rPr>
          <w:rFonts w:ascii="Times New Roman" w:cs="Times New Roman" w:eastAsia="Times New Roman" w:hAnsi="Times New Roman"/>
          <w:sz w:val="20"/>
          <w:szCs w:val="20"/>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due under the Settlement Agreement with Shareholder Representative Services LLC (“SRS”) (refer to Note 18), in the event that the Company achieves the milestone related to that payment. The Company, at its option, may decide to pay that milestone payment in cash, shares of its common stock or a combination thereof. If the Company is unable to raise the funds necessary to meet its long- term liquidity needs, it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a significant discount or on other unfavorable terms, if at all, or sell all or a part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of Presentation</w:t>
      </w:r>
    </w:p>
    <w:p>
      <w:pPr>
        <w:spacing w:after="0" w:line="237"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The balance sheets and statements of operations and comprehensive loss, stockholders’ equity, and cash flows, are consolidated for the years ended December 31, 2025, 2024 and 2023. These consolidated financial statements reflect the operations of the Company and its wholly-owned subsidiary. All intercompany balances and transactions have been eliminated in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Segment Information</w:t>
      </w:r>
    </w:p>
    <w:p>
      <w:pPr>
        <w:spacing w:after="0" w:line="239" w:lineRule="exact"/>
        <w:rPr>
          <w:sz w:val="20"/>
          <w:szCs w:val="20"/>
          <w:color w:val="auto"/>
        </w:rPr>
      </w:pPr>
    </w:p>
    <w:p>
      <w:pPr>
        <w:ind w:right="40" w:firstLine="360"/>
        <w:spacing w:after="0" w:line="263" w:lineRule="auto"/>
        <w:rPr>
          <w:sz w:val="20"/>
          <w:szCs w:val="20"/>
          <w:color w:val="auto"/>
        </w:rPr>
      </w:pPr>
      <w:r>
        <w:rPr>
          <w:rFonts w:ascii="Times New Roman" w:cs="Times New Roman" w:eastAsia="Times New Roman" w:hAnsi="Times New Roman"/>
          <w:sz w:val="19"/>
          <w:szCs w:val="19"/>
          <w:color w:val="auto"/>
        </w:rPr>
        <w:t>The Company is managed as a single operating and reportable segment that operates in the business of development, manufacturing and commercialization of novel therapeutics for human health care. Our chief operating decision maker (“CODM”), the Chief Executive Officer, evaluates performance based on consolidated net loss. Other than general and administrative expenses as presented on the consolidated statement of operations, research and development expense disaggregated by program and by nature are considered to be the Company’s significant segment expenses. These results are used, in part, by our CODM in evaluating the performance of the Company by comparing budget to actual results, and to allocate resources. All revenue is derived in and long-lived</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800"/>
          </w:cols>
          <w:pgMar w:left="540" w:top="1347" w:right="540" w:bottom="0" w:gutter="0" w:footer="0" w:header="0"/>
          <w:type w:val="continuous"/>
        </w:sectPr>
      </w:pPr>
    </w:p>
    <w:bookmarkStart w:id="166" w:name="page167"/>
    <w:bookmarkEnd w:id="166"/>
    <w:p>
      <w:pPr>
        <w:ind w:right="40"/>
        <w:spacing w:after="0" w:line="278" w:lineRule="auto"/>
        <w:rPr>
          <w:sz w:val="20"/>
          <w:szCs w:val="20"/>
          <w:color w:val="auto"/>
        </w:rPr>
      </w:pPr>
      <w:r>
        <w:rPr>
          <w:rFonts w:ascii="Times New Roman" w:cs="Times New Roman" w:eastAsia="Times New Roman" w:hAnsi="Times New Roman"/>
          <w:sz w:val="20"/>
          <w:szCs w:val="20"/>
          <w:color w:val="auto"/>
        </w:rPr>
        <w:t>assets are located in the United States. The CODM does not receive asset information other than what is presented on the consolidated balance sheets.</w:t>
      </w:r>
    </w:p>
    <w:p>
      <w:pPr>
        <w:spacing w:after="0" w:line="168" w:lineRule="exact"/>
        <w:rPr>
          <w:sz w:val="20"/>
          <w:szCs w:val="20"/>
          <w:color w:val="auto"/>
        </w:rPr>
      </w:pPr>
    </w:p>
    <w:p>
      <w:pPr>
        <w:jc w:val="both"/>
        <w:ind w:right="80" w:firstLine="360"/>
        <w:spacing w:after="0" w:line="305" w:lineRule="auto"/>
        <w:rPr>
          <w:sz w:val="20"/>
          <w:szCs w:val="20"/>
          <w:color w:val="auto"/>
        </w:rPr>
      </w:pPr>
      <w:r>
        <w:rPr>
          <w:rFonts w:ascii="Times New Roman" w:cs="Times New Roman" w:eastAsia="Times New Roman" w:hAnsi="Times New Roman"/>
          <w:sz w:val="19"/>
          <w:szCs w:val="19"/>
          <w:color w:val="auto"/>
        </w:rPr>
        <w:t>The following table is a summary of the Company’s research and development expenses disaggregated by program. The amounts disclosed reflect direct research and development costs and an allocation of indirect research and development costs to each program.</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154"/>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47"/>
              <w:spacing w:after="0" w:line="15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43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Barzolvolimab/Anti-KIT Program . . . . . . . . . .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198,329</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123,750</w:t>
            </w:r>
          </w:p>
        </w:tc>
        <w:tc>
          <w:tcPr>
            <w:tcW w:w="4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79,913</w:t>
            </w:r>
          </w:p>
        </w:tc>
      </w:tr>
      <w:tr>
        <w:trPr>
          <w:trHeight w:val="230"/>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CDX-622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18,958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17,341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16,299</w:t>
            </w:r>
          </w:p>
        </w:tc>
      </w:tr>
      <w:tr>
        <w:trPr>
          <w:trHeight w:val="250"/>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Other Programs (a)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27,787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22,459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21,799</w:t>
            </w:r>
          </w:p>
        </w:tc>
      </w:tr>
      <w:tr>
        <w:trPr>
          <w:trHeight w:val="230"/>
        </w:trPr>
        <w:tc>
          <w:tcPr>
            <w:tcW w:w="430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.TotalR&amp;DExpense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245,074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163,550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118,011</w:t>
            </w:r>
          </w:p>
        </w:tc>
      </w:tr>
    </w:tbl>
    <w:p>
      <w:pPr>
        <w:spacing w:after="0" w:line="210" w:lineRule="exact"/>
        <w:rPr>
          <w:sz w:val="20"/>
          <w:szCs w:val="20"/>
          <w:color w:val="auto"/>
        </w:rPr>
      </w:pPr>
    </w:p>
    <w:p>
      <w:pPr>
        <w:ind w:left="720" w:right="180"/>
        <w:spacing w:after="0" w:line="278" w:lineRule="auto"/>
        <w:tabs>
          <w:tab w:leader="none" w:pos="99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program expenses primarily include research and development expenses related to early-stage programs, revenue-generating programs and discontinued programs.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is a summary of the Company’s research and development expenses disaggregated by nature.</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December 31, 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154"/>
        </w:trPr>
        <w:tc>
          <w:tcPr>
            <w:tcW w:w="4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45"/>
              <w:spacing w:after="0" w:line="15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5"/>
              </w:rPr>
              <w:t>Personnel . . . . . . . . . . . . . . . . . . . . . . . . . . . . . . . .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57,204</w:t>
            </w:r>
          </w:p>
        </w:tc>
        <w:tc>
          <w:tcPr>
            <w:tcW w:w="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51,906</w:t>
            </w:r>
          </w:p>
        </w:tc>
        <w:tc>
          <w:tcPr>
            <w:tcW w:w="40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40,121</w:t>
            </w:r>
          </w:p>
        </w:tc>
      </w:tr>
      <w:tr>
        <w:trPr>
          <w:trHeight w:val="230"/>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Laboratory Supplies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5,358</w:t>
            </w:r>
          </w:p>
        </w:tc>
      </w:tr>
      <w:tr>
        <w:trPr>
          <w:trHeight w:val="229"/>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Facility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w:t>
            </w:r>
          </w:p>
        </w:tc>
      </w:tr>
      <w:tr>
        <w:trPr>
          <w:trHeight w:val="230"/>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Product Development (b)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161,096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59,319</w:t>
            </w:r>
          </w:p>
        </w:tc>
      </w:tr>
      <w:tr>
        <w:trPr>
          <w:trHeight w:val="250"/>
        </w:trPr>
        <w:tc>
          <w:tcPr>
            <w:tcW w:w="4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Other Expenses (c) .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15,476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10,335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8,243</w:t>
            </w:r>
          </w:p>
        </w:tc>
      </w:tr>
      <w:tr>
        <w:trPr>
          <w:trHeight w:val="230"/>
        </w:trPr>
        <w:tc>
          <w:tcPr>
            <w:tcW w:w="430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.TotalR&amp;DExpense</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245,074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163,550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118,011</w:t>
            </w:r>
          </w:p>
        </w:tc>
      </w:tr>
    </w:tbl>
    <w:p>
      <w:pPr>
        <w:spacing w:after="0" w:line="210" w:lineRule="exact"/>
        <w:rPr>
          <w:sz w:val="20"/>
          <w:szCs w:val="20"/>
          <w:color w:val="auto"/>
        </w:rPr>
      </w:pPr>
    </w:p>
    <w:p>
      <w:pPr>
        <w:ind w:left="720" w:right="280"/>
        <w:spacing w:after="0" w:line="278" w:lineRule="auto"/>
        <w:tabs>
          <w:tab w:leader="none" w:pos="10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development expenses include clinical investigator site fees, external trial monitoring costs, data accumulation costs, contracted research and outside clinical drug product manufacturing.</w:t>
      </w:r>
    </w:p>
    <w:p>
      <w:pPr>
        <w:spacing w:after="0" w:line="168" w:lineRule="exact"/>
        <w:rPr>
          <w:rFonts w:ascii="Times New Roman" w:cs="Times New Roman" w:eastAsia="Times New Roman" w:hAnsi="Times New Roman"/>
          <w:sz w:val="20"/>
          <w:szCs w:val="20"/>
          <w:color w:val="auto"/>
        </w:rPr>
      </w:pPr>
    </w:p>
    <w:p>
      <w:pPr>
        <w:ind w:left="1000" w:hanging="280"/>
        <w:spacing w:after="0"/>
        <w:tabs>
          <w:tab w:leader="none" w:pos="100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expenses primarily include research and development consulting, insurance, licensing and software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237" w:lineRule="exact"/>
        <w:rPr>
          <w:sz w:val="20"/>
          <w:szCs w:val="20"/>
          <w:color w:val="auto"/>
        </w:rPr>
      </w:pPr>
    </w:p>
    <w:p>
      <w:pPr>
        <w:ind w:right="320" w:firstLine="360"/>
        <w:spacing w:after="0" w:line="252" w:lineRule="auto"/>
        <w:rPr>
          <w:sz w:val="20"/>
          <w:szCs w:val="20"/>
          <w:color w:val="auto"/>
        </w:rPr>
      </w:pPr>
      <w:r>
        <w:rPr>
          <w:rFonts w:ascii="Times New Roman" w:cs="Times New Roman" w:eastAsia="Times New Roman" w:hAnsi="Times New Roman"/>
          <w:sz w:val="20"/>
          <w:szCs w:val="20"/>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the disclosure of contingent assets and liabilities at the dates of the financial statements and the reported amounts of revenues and expenses during the reporting period. Actual results could differ from those estimates.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and Cash Equivalents</w:t>
      </w:r>
    </w:p>
    <w:p>
      <w:pPr>
        <w:spacing w:after="0" w:line="237" w:lineRule="exact"/>
        <w:rPr>
          <w:sz w:val="20"/>
          <w:szCs w:val="20"/>
          <w:color w:val="auto"/>
        </w:rPr>
      </w:pPr>
    </w:p>
    <w:p>
      <w:pPr>
        <w:ind w:right="140" w:firstLine="360"/>
        <w:spacing w:after="0" w:line="278"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Marketable Securities</w:t>
      </w:r>
    </w:p>
    <w:p>
      <w:pPr>
        <w:spacing w:after="0" w:line="198"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The Company invests its excess cash balances in marketable securities, including municipal bond securities, U.S. government agency securities, and highly rated corporate bonds. The Company classifies all of its marketable securities as current assets on the balance sheets because they are available-for-sale and available to fund current operations. Marketable securities are stated at fair value with unrealized gains and losses included as a component of accumulated other comprehensive income (loss), which is a separate component of stockholders’ equity. Each reporting period, the Company evaluates its investment portfolio to determine if any security is impaired and if an allowance for credit losses should be recorded. As part of this evaluation, the Company considers whether it has the ability and intent to hold the investment until recovery of its amortized cost basis and whether the decline in fair value is due to any credit related factors. If an impairment is the result of a credit loss, the Company recognizes an allowance for credit</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800"/>
          </w:cols>
          <w:pgMar w:left="540" w:top="1349" w:right="540" w:bottom="0" w:gutter="0" w:footer="0" w:header="0"/>
          <w:type w:val="continuous"/>
        </w:sectPr>
      </w:pPr>
    </w:p>
    <w:bookmarkStart w:id="167" w:name="page168"/>
    <w:bookmarkEnd w:id="167"/>
    <w:p>
      <w:pPr>
        <w:ind w:right="640"/>
        <w:spacing w:after="0" w:line="278" w:lineRule="auto"/>
        <w:rPr>
          <w:sz w:val="20"/>
          <w:szCs w:val="20"/>
          <w:color w:val="auto"/>
        </w:rPr>
      </w:pPr>
      <w:r>
        <w:rPr>
          <w:rFonts w:ascii="Times New Roman" w:cs="Times New Roman" w:eastAsia="Times New Roman" w:hAnsi="Times New Roman"/>
          <w:sz w:val="20"/>
          <w:szCs w:val="20"/>
          <w:color w:val="auto"/>
        </w:rPr>
        <w:t>losses. Realized gains and losses are determined on the specific identification method and are included in investment and other income, net.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Concentration of Credit Risk and of Significant Customers and Suppliers</w:t>
      </w:r>
    </w:p>
    <w:p>
      <w:pPr>
        <w:spacing w:after="0" w:line="198" w:lineRule="exact"/>
        <w:rPr>
          <w:sz w:val="20"/>
          <w:szCs w:val="20"/>
          <w:color w:val="auto"/>
        </w:rPr>
      </w:pPr>
    </w:p>
    <w:p>
      <w:pPr>
        <w:ind w:right="120" w:firstLine="361"/>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59" w:lineRule="exact"/>
        <w:rPr>
          <w:sz w:val="20"/>
          <w:szCs w:val="20"/>
          <w:color w:val="auto"/>
        </w:rPr>
      </w:pPr>
    </w:p>
    <w:p>
      <w:pPr>
        <w:jc w:val="both"/>
        <w:ind w:right="120" w:firstLine="360"/>
        <w:spacing w:after="0" w:line="278" w:lineRule="auto"/>
        <w:rPr>
          <w:sz w:val="20"/>
          <w:szCs w:val="20"/>
          <w:color w:val="auto"/>
        </w:rPr>
      </w:pPr>
      <w:r>
        <w:rPr>
          <w:rFonts w:ascii="Times New Roman" w:cs="Times New Roman" w:eastAsia="Times New Roman" w:hAnsi="Times New Roman"/>
          <w:sz w:val="20"/>
          <w:szCs w:val="20"/>
          <w:color w:val="auto"/>
        </w:rPr>
        <w:t>Revenue from Rockefeller University represented 93%, 100% and 95% of total Company revenue for the years ended December 31, 2025, 2024 and 2023, respectively.</w:t>
      </w:r>
    </w:p>
    <w:p>
      <w:pPr>
        <w:spacing w:after="0" w:line="127" w:lineRule="exact"/>
        <w:rPr>
          <w:sz w:val="20"/>
          <w:szCs w:val="20"/>
          <w:color w:val="auto"/>
        </w:rPr>
      </w:pPr>
    </w:p>
    <w:p>
      <w:pPr>
        <w:jc w:val="both"/>
        <w:ind w:right="100" w:firstLine="360"/>
        <w:spacing w:after="0" w:line="259" w:lineRule="auto"/>
        <w:rPr>
          <w:sz w:val="20"/>
          <w:szCs w:val="20"/>
          <w:color w:val="auto"/>
        </w:rPr>
      </w:pPr>
      <w:r>
        <w:rPr>
          <w:rFonts w:ascii="Times New Roman" w:cs="Times New Roman" w:eastAsia="Times New Roman" w:hAnsi="Times New Roman"/>
          <w:sz w:val="20"/>
          <w:szCs w:val="20"/>
          <w:color w:val="auto"/>
        </w:rPr>
        <w:t>The Company relies on contract development &amp; manufacturing organizations (CDMOs) to manufacture drug substance and drug product as well as for future commercial supplies. The Company also relies on CDMOs for supply of raw materials as well as filling, packaging, storing and shipping our drug products. Some of the Company’s CDMOs are currently single source manufacturers.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198"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The Company has certain assets and liabilities that are measured at fair value in the financial statements. The Company seeks to maximize the use of observable inputs (market data obtained from 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97"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20"/>
          <w:szCs w:val="20"/>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left="360" w:right="240"/>
        <w:spacing w:after="0" w:line="278" w:lineRule="auto"/>
        <w:rPr>
          <w:sz w:val="20"/>
          <w:szCs w:val="20"/>
          <w:color w:val="auto"/>
        </w:rPr>
      </w:pPr>
      <w:r>
        <w:rPr>
          <w:rFonts w:ascii="Times New Roman" w:cs="Times New Roman" w:eastAsia="Times New Roman" w:hAnsi="Times New Roman"/>
          <w:sz w:val="20"/>
          <w:szCs w:val="20"/>
          <w:color w:val="auto"/>
        </w:rPr>
        <w:t>Level 2: Observable inputs other than Level 1 prices, such as quoted prices in active markets for similar assets or liabilities and quoted prices for identical assets or liabilities in markets that are not active.</w:t>
      </w:r>
    </w:p>
    <w:p>
      <w:pPr>
        <w:spacing w:after="0" w:line="167" w:lineRule="exact"/>
        <w:rPr>
          <w:sz w:val="20"/>
          <w:szCs w:val="20"/>
          <w:color w:val="auto"/>
        </w:rPr>
      </w:pPr>
    </w:p>
    <w:p>
      <w:pPr>
        <w:ind w:left="360" w:right="540"/>
        <w:spacing w:after="0" w:line="278" w:lineRule="auto"/>
        <w:rPr>
          <w:sz w:val="20"/>
          <w:szCs w:val="20"/>
          <w:color w:val="auto"/>
        </w:rPr>
      </w:pPr>
      <w:r>
        <w:rPr>
          <w:rFonts w:ascii="Times New Roman" w:cs="Times New Roman" w:eastAsia="Times New Roman" w:hAnsi="Times New Roman"/>
          <w:sz w:val="20"/>
          <w:szCs w:val="20"/>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w:t>
      </w:r>
    </w:p>
    <w:p>
      <w:pPr>
        <w:spacing w:after="0" w:line="198" w:lineRule="exact"/>
        <w:rPr>
          <w:sz w:val="20"/>
          <w:szCs w:val="20"/>
          <w:color w:val="auto"/>
        </w:rPr>
      </w:pPr>
    </w:p>
    <w:p>
      <w:pPr>
        <w:ind w:right="120" w:firstLine="361"/>
        <w:spacing w:after="0" w:line="244" w:lineRule="auto"/>
        <w:rPr>
          <w:sz w:val="20"/>
          <w:szCs w:val="20"/>
          <w:color w:val="auto"/>
        </w:rPr>
      </w:pPr>
      <w:r>
        <w:rPr>
          <w:rFonts w:ascii="Times New Roman" w:cs="Times New Roman" w:eastAsia="Times New Roman" w:hAnsi="Times New Roman"/>
          <w:sz w:val="20"/>
          <w:szCs w:val="20"/>
          <w:color w:val="auto"/>
        </w:rPr>
        <w:t>Property and equipment are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depreciated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206"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780"/>
          </w:cols>
          <w:pgMar w:left="540" w:top="1349" w:right="560" w:bottom="0" w:gutter="0" w:footer="0" w:header="0"/>
          <w:type w:val="continuous"/>
        </w:sectPr>
      </w:pPr>
    </w:p>
    <w:bookmarkStart w:id="168" w:name="page169"/>
    <w:bookmarkEnd w:id="168"/>
    <w:p>
      <w:pPr>
        <w:ind w:left="2"/>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37" w:lineRule="exact"/>
        <w:rPr>
          <w:sz w:val="20"/>
          <w:szCs w:val="20"/>
          <w:color w:val="auto"/>
        </w:rPr>
      </w:pPr>
    </w:p>
    <w:p>
      <w:pPr>
        <w:ind w:left="2" w:firstLine="360"/>
        <w:spacing w:after="0" w:line="278" w:lineRule="auto"/>
        <w:rPr>
          <w:sz w:val="20"/>
          <w:szCs w:val="20"/>
          <w:color w:val="auto"/>
        </w:rPr>
      </w:pPr>
      <w:r>
        <w:rPr>
          <w:rFonts w:ascii="Times New Roman" w:cs="Times New Roman" w:eastAsia="Times New Roman" w:hAnsi="Times New Roman"/>
          <w:sz w:val="20"/>
          <w:szCs w:val="20"/>
          <w:color w:val="auto"/>
        </w:rPr>
        <w:t>The Company has operating leases of office, manufacturing and laboratory space, which have remaining lease terms of one to five years and may include one or more options to renew or terminate early.</w:t>
      </w:r>
    </w:p>
    <w:p>
      <w:pPr>
        <w:spacing w:after="0" w:line="167" w:lineRule="exact"/>
        <w:rPr>
          <w:sz w:val="20"/>
          <w:szCs w:val="20"/>
          <w:color w:val="auto"/>
        </w:rPr>
      </w:pPr>
    </w:p>
    <w:p>
      <w:pPr>
        <w:ind w:left="2" w:firstLine="361"/>
        <w:spacing w:after="0" w:line="244" w:lineRule="auto"/>
        <w:rPr>
          <w:sz w:val="20"/>
          <w:szCs w:val="20"/>
          <w:color w:val="auto"/>
        </w:rPr>
      </w:pPr>
      <w:r>
        <w:rPr>
          <w:rFonts w:ascii="Times New Roman" w:cs="Times New Roman" w:eastAsia="Times New Roman" w:hAnsi="Times New Roman"/>
          <w:sz w:val="20"/>
          <w:szCs w:val="20"/>
          <w:color w:val="auto"/>
        </w:rPr>
        <w:t>The Company determines if an arrangement contains a lease at inception. Operating lease right-of-use assets and lease liabilities are recognized based on the present value of the future minimum lease payments over the lease term at commencement date. Certain adjustments to the right-of-use asset may be required for items such as prepaid or accrued lease payments, initial direct costs paid or incentives received. The Company’s leases do not contain an implicit rate, and therefore the Company uses an estimated incremental borrowing rate based on the information available at the lease commencement date in determining the present value of lease payments. Options to extend or terminate the lease are reflected in the calculation when it is reasonably certain that the option will be exercised. The Company has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Leases with an initial term of 12 months or less are not recorded on the balance sheet.</w:t>
      </w:r>
    </w:p>
    <w:p>
      <w:pPr>
        <w:spacing w:after="0" w:line="2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i w:val="1"/>
          <w:iCs w:val="1"/>
          <w:color w:val="auto"/>
        </w:rPr>
        <w:t>Contingent Consideration</w:t>
      </w:r>
    </w:p>
    <w:p>
      <w:pPr>
        <w:spacing w:after="0" w:line="237" w:lineRule="exact"/>
        <w:rPr>
          <w:sz w:val="20"/>
          <w:szCs w:val="20"/>
          <w:color w:val="auto"/>
        </w:rPr>
      </w:pPr>
    </w:p>
    <w:p>
      <w:pPr>
        <w:ind w:left="2" w:right="20" w:firstLine="361"/>
        <w:spacing w:after="0" w:line="243" w:lineRule="auto"/>
        <w:rPr>
          <w:sz w:val="20"/>
          <w:szCs w:val="20"/>
          <w:color w:val="auto"/>
        </w:rPr>
      </w:pPr>
      <w:r>
        <w:rPr>
          <w:rFonts w:ascii="Times New Roman" w:cs="Times New Roman" w:eastAsia="Times New Roman" w:hAnsi="Times New Roman"/>
          <w:sz w:val="20"/>
          <w:szCs w:val="20"/>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records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adjustment recorded in any given period.</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i w:val="1"/>
          <w:iCs w:val="1"/>
          <w:color w:val="auto"/>
        </w:rPr>
        <w:t>Intangible Assets</w:t>
      </w:r>
    </w:p>
    <w:p>
      <w:pPr>
        <w:spacing w:after="0" w:line="237" w:lineRule="exact"/>
        <w:rPr>
          <w:sz w:val="20"/>
          <w:szCs w:val="20"/>
          <w:color w:val="auto"/>
        </w:rPr>
      </w:pPr>
    </w:p>
    <w:p>
      <w:pPr>
        <w:ind w:left="2" w:firstLine="360"/>
        <w:spacing w:after="0" w:line="249" w:lineRule="auto"/>
        <w:rPr>
          <w:sz w:val="20"/>
          <w:szCs w:val="20"/>
          <w:color w:val="auto"/>
        </w:rPr>
      </w:pPr>
      <w:r>
        <w:rPr>
          <w:rFonts w:ascii="Times New Roman" w:cs="Times New Roman" w:eastAsia="Times New Roman" w:hAnsi="Times New Roman"/>
          <w:sz w:val="20"/>
          <w:szCs w:val="20"/>
          <w:color w:val="auto"/>
        </w:rPr>
        <w:t>IPR&amp;D assets acquired in a business combination initially are recorded at fair value and accounted for as indefinite-lived intangible assets. The valuation model used to measure the fair value of the Company’s IPR&amp;D assets was primarily a discounted cash flow approach. The assumptions used in determining the fair value of the Company’s IPR&amp;D assets include (i) probability of success;</w:t>
      </w:r>
    </w:p>
    <w:p>
      <w:pPr>
        <w:spacing w:after="0" w:line="2" w:lineRule="exact"/>
        <w:rPr>
          <w:sz w:val="20"/>
          <w:szCs w:val="20"/>
          <w:color w:val="auto"/>
        </w:rPr>
      </w:pPr>
    </w:p>
    <w:p>
      <w:pPr>
        <w:jc w:val="both"/>
        <w:ind w:left="2" w:right="420" w:hanging="2"/>
        <w:spacing w:after="0" w:line="242" w:lineRule="auto"/>
        <w:tabs>
          <w:tab w:leader="none" w:pos="29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probability of partnership; (iii) partnership milestones; and (iv) discount rate.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202" w:lineRule="exact"/>
        <w:rPr>
          <w:sz w:val="20"/>
          <w:szCs w:val="20"/>
          <w:color w:val="auto"/>
        </w:rPr>
      </w:pPr>
    </w:p>
    <w:p>
      <w:pPr>
        <w:ind w:left="2" w:right="140" w:firstLine="360"/>
        <w:spacing w:after="0" w:line="259" w:lineRule="auto"/>
        <w:rPr>
          <w:sz w:val="20"/>
          <w:szCs w:val="20"/>
          <w:color w:val="auto"/>
        </w:rPr>
      </w:pPr>
      <w:r>
        <w:rPr>
          <w:rFonts w:ascii="Times New Roman" w:cs="Times New Roman" w:eastAsia="Times New Roman" w:hAnsi="Times New Roman"/>
          <w:sz w:val="20"/>
          <w:szCs w:val="20"/>
          <w:color w:val="auto"/>
        </w:rPr>
        <w:t>Each IPR&amp;D asset is assessed for impairment at least annually or when impairment indicators are present. The Company has the option to assess qualitative factors to determine if it is more likely than not that the IPR&amp;D asset is impaired and whether it is necessary to perform a quantitative impairment test.</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i w:val="1"/>
          <w:iCs w:val="1"/>
          <w:color w:val="auto"/>
        </w:rPr>
        <w:t>Impairment of Intangible and Long-Lived Assets</w:t>
      </w:r>
    </w:p>
    <w:p>
      <w:pPr>
        <w:spacing w:after="0" w:line="237" w:lineRule="exact"/>
        <w:rPr>
          <w:sz w:val="20"/>
          <w:szCs w:val="20"/>
          <w:color w:val="auto"/>
        </w:rPr>
      </w:pPr>
    </w:p>
    <w:p>
      <w:pPr>
        <w:ind w:left="2" w:firstLine="360"/>
        <w:spacing w:after="0" w:line="249" w:lineRule="auto"/>
        <w:rPr>
          <w:sz w:val="20"/>
          <w:szCs w:val="20"/>
          <w:color w:val="auto"/>
        </w:rPr>
      </w:pPr>
      <w:r>
        <w:rPr>
          <w:rFonts w:ascii="Times New Roman" w:cs="Times New Roman" w:eastAsia="Times New Roman" w:hAnsi="Times New Roman"/>
          <w:sz w:val="20"/>
          <w:szCs w:val="20"/>
          <w:color w:val="auto"/>
        </w:rPr>
        <w:t>The Company evaluates the recoverability of its long-lived assets, including property and equipment, right-of-use assets,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ectPr>
          <w:pgSz w:w="11880" w:h="15480" w:orient="portrait"/>
          <w:cols w:equalWidth="0" w:num="1">
            <w:col w:w="10802"/>
          </w:cols>
          <w:pgMar w:left="538" w:top="135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802"/>
          </w:cols>
          <w:pgMar w:left="538" w:top="1353" w:right="540" w:bottom="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7"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Revenues are recognized when performance obligations under agreements or contracts are satisfied, in an amount that reflects the consideration the Company expects to be entitled to in exchange for those services.</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determines revenue recognition through the following steps:</w:t>
      </w:r>
    </w:p>
    <w:p>
      <w:pPr>
        <w:spacing w:after="0" w:line="254" w:lineRule="exact"/>
        <w:rPr>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252" w:lineRule="exact"/>
        <w:rPr>
          <w:rFonts w:ascii="Arial" w:cs="Arial" w:eastAsia="Arial" w:hAnsi="Arial"/>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Determination of the transaction price;</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253" w:lineRule="exact"/>
        <w:rPr>
          <w:rFonts w:ascii="Arial" w:cs="Arial" w:eastAsia="Arial" w:hAnsi="Arial"/>
          <w:sz w:val="20"/>
          <w:szCs w:val="20"/>
          <w:color w:val="auto"/>
        </w:rPr>
      </w:pPr>
    </w:p>
    <w:p>
      <w:pPr>
        <w:ind w:left="720" w:hanging="360"/>
        <w:spacing w:after="0"/>
        <w:tabs>
          <w:tab w:leader="none" w:pos="7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pacing w:after="0" w:line="238" w:lineRule="exact"/>
        <w:rPr>
          <w:sz w:val="20"/>
          <w:szCs w:val="20"/>
          <w:color w:val="auto"/>
        </w:rPr>
      </w:pPr>
    </w:p>
    <w:p>
      <w:pPr>
        <w:ind w:right="60" w:firstLine="361"/>
        <w:spacing w:after="0" w:line="243" w:lineRule="auto"/>
        <w:rPr>
          <w:sz w:val="20"/>
          <w:szCs w:val="20"/>
          <w:color w:val="auto"/>
        </w:rPr>
      </w:pPr>
      <w:r>
        <w:rPr>
          <w:rFonts w:ascii="Times New Roman" w:cs="Times New Roman" w:eastAsia="Times New Roman" w:hAnsi="Times New Roman"/>
          <w:sz w:val="20"/>
          <w:szCs w:val="20"/>
          <w:color w:val="auto"/>
        </w:rPr>
        <w:t>Revenue for the Company is derived from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 Company assesses the multiple obligations typically within product development contracts to determine the distinct performance obligations and how to allocate the arrangement consideration to each distinct performance obligation. Under product development agreements, revenue is generally recognized using a cost-to-cost measure of progress. Revenue is recognized based on the costs incurred to date as a percentage of the total estimated costs to fulfill the contract. Incurred cost represents work performed, which corresponds with, and thereby best depicts, the transfer of control to the customer. Due to the nature of the work performed in these arrangements, the estimation of cost at completion is complex, subject to many variables, such as expected clinical trial costs, and requires significant judgements. Circumstances can arise that change original estimates of costs or progress toward completion. Any revisions to estimates are reflected in revenue on a cumulative catch-up basis in the period in which the change in circumstances became known.</w:t>
      </w:r>
    </w:p>
    <w:p>
      <w:pPr>
        <w:spacing w:after="0" w:line="206"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Revenue for the Company is also derived from manufacturing and research and development arrangements. The Company operates a cGMP manufacturing facility in Fall River, Massachusetts, to produce drug substance for its current and planned early-stage clinical trials. In order to utilize excess capacity, the Company has, from time to time, entered into contract manufacturing and research and development arrangements in which services are provided on a time-and-material basis or at a negotiated fixed price. Revenue from time-and-material contracts is generally recognized on an output basis as labor hours and/or direct expenses are incurred. Under fixed-price contracts, revenue is generally recognized on an output basis as progress is made toward completion of the performance obligations using surveys of performance completed to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and Liabilities</w:t>
      </w:r>
    </w:p>
    <w:p>
      <w:pPr>
        <w:spacing w:after="0" w:line="237"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The Company classifies the right to consideration in exchange for products or services transferred to a client as either a receivable or a contract asset. A receivable is a right to consideration that is unconditional as compared to a contract asset which is a right to consideration that is conditional upon factors other than the passage of time.</w:t>
      </w:r>
    </w:p>
    <w:p>
      <w:pPr>
        <w:spacing w:after="0" w:line="186" w:lineRule="exact"/>
        <w:rPr>
          <w:sz w:val="20"/>
          <w:szCs w:val="20"/>
          <w:color w:val="auto"/>
        </w:rPr>
      </w:pPr>
    </w:p>
    <w:p>
      <w:pPr>
        <w:ind w:right="120" w:firstLine="360"/>
        <w:spacing w:after="0" w:line="259" w:lineRule="auto"/>
        <w:rPr>
          <w:sz w:val="20"/>
          <w:szCs w:val="20"/>
          <w:color w:val="auto"/>
        </w:rPr>
      </w:pPr>
      <w:r>
        <w:rPr>
          <w:rFonts w:ascii="Times New Roman" w:cs="Times New Roman" w:eastAsia="Times New Roman" w:hAnsi="Times New Roman"/>
          <w:sz w:val="20"/>
          <w:szCs w:val="20"/>
          <w:color w:val="auto"/>
        </w:rPr>
        <w:t>The Company’s contract liabilities result from arrangements where the Company has received payment in advance of performance under the contract. These amounts are included as deferred revenue within current portion of long-term liabilities on the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8" w:lineRule="exact"/>
        <w:rPr>
          <w:sz w:val="20"/>
          <w:szCs w:val="20"/>
          <w:color w:val="auto"/>
        </w:rPr>
      </w:pPr>
    </w:p>
    <w:p>
      <w:pPr>
        <w:ind w:right="620" w:firstLine="360"/>
        <w:spacing w:after="0" w:line="258" w:lineRule="auto"/>
        <w:rPr>
          <w:sz w:val="20"/>
          <w:szCs w:val="20"/>
          <w:color w:val="auto"/>
        </w:rPr>
      </w:pPr>
      <w:r>
        <w:rPr>
          <w:rFonts w:ascii="Times New Roman" w:cs="Times New Roman" w:eastAsia="Times New Roman" w:hAnsi="Times New Roman"/>
          <w:sz w:val="20"/>
          <w:szCs w:val="20"/>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ectPr>
          <w:pgSz w:w="11880" w:h="15480" w:orient="portrait"/>
          <w:cols w:equalWidth="0" w:num="1">
            <w:col w:w="10780"/>
          </w:cols>
          <w:pgMar w:left="540" w:top="1353"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780"/>
          </w:cols>
          <w:pgMar w:left="540" w:top="1353" w:right="560" w:bottom="0" w:gutter="0" w:footer="0" w:header="0"/>
          <w:type w:val="continuous"/>
        </w:sectPr>
      </w:pPr>
    </w:p>
    <w:bookmarkStart w:id="170" w:name="page171"/>
    <w:bookmarkEnd w:id="170"/>
    <w:p>
      <w:pPr>
        <w:ind w:firstLine="360"/>
        <w:spacing w:after="0" w:line="247" w:lineRule="auto"/>
        <w:rPr>
          <w:sz w:val="20"/>
          <w:szCs w:val="20"/>
          <w:color w:val="auto"/>
        </w:rPr>
      </w:pPr>
      <w:r>
        <w:rPr>
          <w:rFonts w:ascii="Times New Roman" w:cs="Times New Roman" w:eastAsia="Times New Roman" w:hAnsi="Times New Roman"/>
          <w:sz w:val="20"/>
          <w:szCs w:val="20"/>
          <w:color w:val="auto"/>
        </w:rPr>
        <w:t>Clinical trial expenses include expenses associated with clinical research organization, or CRO, services. Contract manufacturing expenses include expenses associated with contract development &amp; manufacturing organization, or CDMO, services. The invoicing from CROs and CDMOs for services rendered can lag several months. The Company accrues the cost of services rendered in connection with CRO and CDMO activities based on our estimate of costs incurred. The Company maintains regular communication with our CROs and CDMOs to assess the reasonableness of its estimates. Differences between actual expenses and estimated expenses recorded have not been material and are adjusted for in the period in which they become known.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Patent Costs</w:t>
      </w:r>
    </w:p>
    <w:p>
      <w:pPr>
        <w:spacing w:after="0" w:line="237" w:lineRule="exact"/>
        <w:rPr>
          <w:sz w:val="20"/>
          <w:szCs w:val="20"/>
          <w:color w:val="auto"/>
        </w:rPr>
      </w:pPr>
    </w:p>
    <w:p>
      <w:pPr>
        <w:ind w:right="600" w:firstLine="360"/>
        <w:spacing w:after="0" w:line="259" w:lineRule="auto"/>
        <w:rPr>
          <w:sz w:val="20"/>
          <w:szCs w:val="20"/>
          <w:color w:val="auto"/>
        </w:rPr>
      </w:pPr>
      <w:r>
        <w:rPr>
          <w:rFonts w:ascii="Times New Roman" w:cs="Times New Roman" w:eastAsia="Times New Roman" w:hAnsi="Times New Roman"/>
          <w:sz w:val="20"/>
          <w:szCs w:val="20"/>
          <w:color w:val="auto"/>
        </w:rPr>
        <w:t>Patent costs are expensed to general and administrative expense as incurred. Certain patent costs are reimbursed by the Company’s product development and licensing partners. Any reimbursed patent costs are recorded as product development and licensing agreement revenues in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w:t>
      </w:r>
    </w:p>
    <w:p>
      <w:pPr>
        <w:spacing w:after="0" w:line="237"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The Company records stock-based compensation expense for all stock-based awards made to employees, consultants and non-employee directors based on the estimated fair values of the stock -based awards expected to vest at the grant date and adjusts, if necessary, to reflect actual forfeitures. Compensation expense for all stock-based awards is recognized using the straight-line method over the term of vesting or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 Translation</w:t>
      </w:r>
    </w:p>
    <w:p>
      <w:pPr>
        <w:spacing w:after="0" w:line="238"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Net unrealized gains and losses resulting from foreign currency translation are included in accumulated other comprehensive income. At December 31, 2025 and 2024, accumulated other comprehensive income includes a net unrealized gain related to foreign currency translation of $2.6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7" w:lineRule="exact"/>
        <w:rPr>
          <w:sz w:val="20"/>
          <w:szCs w:val="20"/>
          <w:color w:val="auto"/>
        </w:rPr>
      </w:pPr>
    </w:p>
    <w:p>
      <w:pPr>
        <w:ind w:right="60" w:firstLine="361"/>
        <w:spacing w:after="0" w:line="249" w:lineRule="auto"/>
        <w:rPr>
          <w:sz w:val="20"/>
          <w:szCs w:val="20"/>
          <w:color w:val="auto"/>
        </w:rPr>
      </w:pPr>
      <w:r>
        <w:rPr>
          <w:rFonts w:ascii="Times New Roman" w:cs="Times New Roman" w:eastAsia="Times New Roman" w:hAnsi="Times New Roman"/>
          <w:sz w:val="20"/>
          <w:szCs w:val="20"/>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98"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Comprehensive Loss</w:t>
      </w:r>
    </w:p>
    <w:p>
      <w:pPr>
        <w:spacing w:after="0" w:line="237" w:lineRule="exact"/>
        <w:rPr>
          <w:sz w:val="20"/>
          <w:szCs w:val="20"/>
          <w:color w:val="auto"/>
        </w:rPr>
      </w:pPr>
    </w:p>
    <w:p>
      <w:pPr>
        <w:ind w:right="460" w:firstLine="360"/>
        <w:spacing w:after="0" w:line="252" w:lineRule="auto"/>
        <w:rPr>
          <w:sz w:val="20"/>
          <w:szCs w:val="20"/>
          <w:color w:val="auto"/>
        </w:rPr>
      </w:pPr>
      <w:r>
        <w:rPr>
          <w:rFonts w:ascii="Times New Roman" w:cs="Times New Roman" w:eastAsia="Times New Roman" w:hAnsi="Times New Roman"/>
          <w:sz w:val="20"/>
          <w:szCs w:val="20"/>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2025, 2024 and 2023.</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800"/>
          </w:cols>
          <w:pgMar w:left="540" w:top="1349" w:right="540" w:bottom="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i w:val="1"/>
          <w:iCs w:val="1"/>
          <w:color w:val="auto"/>
        </w:rPr>
        <w:t>Net Loss Per Share</w:t>
      </w:r>
    </w:p>
    <w:p>
      <w:pPr>
        <w:spacing w:after="0" w:line="237"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20"/>
          <w:szCs w:val="20"/>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800" w:type="dxa"/>
            <w:vAlign w:val="bottom"/>
            <w:tcBorders>
              <w:bottom w:val="single" w:sz="8" w:color="auto"/>
            </w:tcBorders>
            <w:gridSpan w:val="5"/>
          </w:tcPr>
          <w:p>
            <w:pPr>
              <w:jc w:val="center"/>
              <w:ind w:left="7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vMerge w:val="restart"/>
          </w:tcPr>
          <w:p>
            <w:pPr>
              <w:jc w:val="right"/>
              <w:ind w:right="3725"/>
              <w:spacing w:after="0"/>
              <w:rPr>
                <w:sz w:val="20"/>
                <w:szCs w:val="20"/>
                <w:color w:val="auto"/>
              </w:rPr>
            </w:pPr>
            <w:r>
              <w:rPr>
                <w:rFonts w:ascii="Times New Roman" w:cs="Times New Roman" w:eastAsia="Times New Roman" w:hAnsi="Times New Roman"/>
                <w:sz w:val="20"/>
                <w:szCs w:val="20"/>
                <w:color w:val="auto"/>
                <w:w w:val="98"/>
              </w:rPr>
              <w:t>Stock options</w:t>
            </w:r>
          </w:p>
        </w:tc>
        <w:tc>
          <w:tcPr>
            <w:tcW w:w="1080" w:type="dxa"/>
            <w:vAlign w:val="bottom"/>
          </w:tcPr>
          <w:p>
            <w:pPr>
              <w:jc w:val="right"/>
              <w:ind w:right="29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9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6"/>
        </w:trPr>
        <w:tc>
          <w:tcPr>
            <w:tcW w:w="4920" w:type="dxa"/>
            <w:vAlign w:val="bottom"/>
            <w:vMerge w:val="continue"/>
          </w:tcPr>
          <w:p>
            <w:pPr>
              <w:jc w:val="right"/>
              <w:ind w:right="245"/>
              <w:spacing w:after="0" w:line="159" w:lineRule="exact"/>
              <w:rPr>
                <w:sz w:val="20"/>
                <w:szCs w:val="20"/>
                <w:color w:val="auto"/>
              </w:rPr>
            </w:pPr>
            <w:r>
              <w:rPr>
                <w:rFonts w:ascii="Times New Roman" w:cs="Times New Roman" w:eastAsia="Times New Roman" w:hAnsi="Times New Roman"/>
                <w:sz w:val="18"/>
                <w:szCs w:val="18"/>
                <w:color w:val="auto"/>
              </w:rPr>
              <w:t>. . . . . . . . . . . . . . . . . . . . . . . . . . . . . . . . . . . .</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9,134,278</w:t>
            </w:r>
          </w:p>
        </w:tc>
        <w:tc>
          <w:tcPr>
            <w:tcW w:w="24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7,540,109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6,378,924</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Newly-Adopted Accounting Pronouncements</w:t>
      </w:r>
    </w:p>
    <w:p>
      <w:pPr>
        <w:spacing w:after="0" w:line="238" w:lineRule="exact"/>
        <w:rPr>
          <w:sz w:val="20"/>
          <w:szCs w:val="20"/>
          <w:color w:val="auto"/>
        </w:rPr>
      </w:pPr>
    </w:p>
    <w:p>
      <w:pPr>
        <w:ind w:right="80" w:firstLine="360"/>
        <w:spacing w:after="0" w:line="24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2023- 09,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The Company prospectively adopted this ASU for its fiscal year ended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 Accounting Pronouncements</w:t>
      </w:r>
    </w:p>
    <w:p>
      <w:pPr>
        <w:spacing w:after="0" w:line="237"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adoption of recently issued standards that are not yet effective will not have a material impact on the Company’s consolidated financial statements or disclosures.</w:t>
      </w:r>
    </w:p>
    <w:p>
      <w:pPr>
        <w:spacing w:after="0" w:line="191"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Disaggregation Disclosures</w:t>
      </w:r>
      <w:r>
        <w:rPr>
          <w:rFonts w:ascii="Times New Roman" w:cs="Times New Roman" w:eastAsia="Times New Roman" w:hAnsi="Times New Roman"/>
          <w:sz w:val="20"/>
          <w:szCs w:val="20"/>
          <w:color w:val="auto"/>
        </w:rPr>
        <w:t>, which requires enhanced disclosures about specific types of expenses included in the expense captions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presented on the face of the income statement. The standard is effective for annual reporting periods in fiscal years beginning after December 15, 2026, and interim reporting periods in fiscal years beginning after December 31, 2027, with early adoption permitted. The Company is currently evaluating the impact that the adoption of ASU 2024-03 may have on its expense disclosures in the 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Accumulated Other Comprehensive Income</w:t>
      </w:r>
    </w:p>
    <w:p>
      <w:pPr>
        <w:spacing w:after="0" w:line="243"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20"/>
          <w:szCs w:val="20"/>
          <w:color w:val="auto"/>
        </w:rPr>
        <w:t>The changes in accumulated other comprehensive income, which is reported as a component of stockholders’ equity, for the year ended December 31, 2025 are summarized below:</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Gain 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4"/>
        </w:trPr>
        <w:tc>
          <w:tcPr>
            <w:tcW w:w="4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Marketable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4"/>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Currency Items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54"/>
        </w:trPr>
        <w:tc>
          <w:tcPr>
            <w:tcW w:w="4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9"/>
        </w:trPr>
        <w:tc>
          <w:tcPr>
            <w:tcW w:w="4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Balance at December 31, 2024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w:t>
            </w:r>
          </w:p>
        </w:tc>
        <w:tc>
          <w:tcPr>
            <w:tcW w:w="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2,596</w:t>
            </w:r>
          </w:p>
        </w:tc>
        <w:tc>
          <w:tcPr>
            <w:tcW w:w="440" w:type="dxa"/>
            <w:vAlign w:val="bottom"/>
            <w:gridSpan w:val="3"/>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3,314</w:t>
            </w:r>
          </w:p>
        </w:tc>
      </w:tr>
      <w:tr>
        <w:trPr>
          <w:trHeight w:val="250"/>
        </w:trPr>
        <w:tc>
          <w:tcPr>
            <w:tcW w:w="4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Other comprehensive gain . . . . . . . . . . . . . . . . . . . . . . . . . .</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w:t>
            </w:r>
          </w:p>
        </w:tc>
      </w:tr>
      <w:tr>
        <w:trPr>
          <w:trHeight w:val="230"/>
        </w:trPr>
        <w:tc>
          <w:tcPr>
            <w:tcW w:w="488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.BalanceatDecember31,2025</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1,030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2,596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3,626</w:t>
            </w:r>
          </w:p>
        </w:tc>
      </w:tr>
    </w:tbl>
    <w:p>
      <w:pPr>
        <w:spacing w:after="0" w:line="211"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20"/>
          <w:szCs w:val="20"/>
          <w:color w:val="auto"/>
        </w:rPr>
        <w:t>No amounts were reclassified out of accumulated other comprehensive income during the years ended December 31, 2025, 2024 and 2023.</w:t>
      </w:r>
    </w:p>
    <w:p>
      <w:pPr>
        <w:sectPr>
          <w:pgSz w:w="11880" w:h="15480" w:orient="portrait"/>
          <w:cols w:equalWidth="0" w:num="1">
            <w:col w:w="10760"/>
          </w:cols>
          <w:pgMar w:left="540" w:top="1353"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760"/>
          </w:cols>
          <w:pgMar w:left="540" w:top="1353" w:right="580" w:bottom="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tables set forth the Company’s financial assets and liabilities subject to fair value measurements: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gridSpan w:val="4"/>
          </w:tcPr>
          <w:p>
            <w:pPr>
              <w:jc w:val="right"/>
              <w:ind w:right="705"/>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market funds and cash equivalents . . . . . . . . . . . . . . . . .</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Marketable securities . . . . . . . . . . . . . . . . . . . . . . . . . . . . . . . . . .</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489,702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489,702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508,817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508,817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17"/>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gridSpan w:val="4"/>
          </w:tcPr>
          <w:p>
            <w:pPr>
              <w:jc w:val="right"/>
              <w:ind w:right="705"/>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market funds and cash equivalents . . . . . . . . . . . . . . . . .</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3"/>
          </w:tcPr>
          <w:p>
            <w:pPr>
              <w:jc w:val="right"/>
              <w:ind w:right="55"/>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Marketable securities . . . . . . . . . . . . . . . . . . . . . . . . . . . . . . . . . .</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696,925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696,925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706,852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706,852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80" w:firstLine="361"/>
        <w:spacing w:after="0" w:line="249" w:lineRule="auto"/>
        <w:rPr>
          <w:sz w:val="20"/>
          <w:szCs w:val="20"/>
          <w:color w:val="auto"/>
        </w:rPr>
      </w:pPr>
      <w:r>
        <w:rPr>
          <w:rFonts w:ascii="Times New Roman" w:cs="Times New Roman" w:eastAsia="Times New Roman" w:hAnsi="Times New Roman"/>
          <w:sz w:val="20"/>
          <w:szCs w:val="20"/>
          <w:color w:val="auto"/>
        </w:rPr>
        <w:t>The Company’s financial assets consist mainly of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98" w:lineRule="exact"/>
        <w:rPr>
          <w:sz w:val="20"/>
          <w:szCs w:val="20"/>
          <w:color w:val="auto"/>
        </w:rPr>
      </w:pPr>
    </w:p>
    <w:p>
      <w:pPr>
        <w:ind w:right="260" w:firstLine="360"/>
        <w:spacing w:after="0" w:line="249" w:lineRule="auto"/>
        <w:rPr>
          <w:sz w:val="20"/>
          <w:szCs w:val="20"/>
          <w:color w:val="auto"/>
        </w:rPr>
      </w:pPr>
      <w:r>
        <w:rPr>
          <w:rFonts w:ascii="Times New Roman" w:cs="Times New Roman" w:eastAsia="Times New Roman" w:hAnsi="Times New Roman"/>
          <w:sz w:val="20"/>
          <w:szCs w:val="20"/>
          <w:color w:val="auto"/>
        </w:rPr>
        <w:t>Contingent consideration liabilities measured at fair value using Level 3 inputs were $ 0.0 million as of December 31, 2025 and December 31, 2024.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 are met.</w:t>
      </w:r>
    </w:p>
    <w:p>
      <w:pPr>
        <w:spacing w:after="0" w:line="197" w:lineRule="exact"/>
        <w:rPr>
          <w:sz w:val="20"/>
          <w:szCs w:val="20"/>
          <w:color w:val="auto"/>
        </w:rPr>
      </w:pPr>
    </w:p>
    <w:p>
      <w:pPr>
        <w:ind w:right="460" w:firstLine="360"/>
        <w:spacing w:after="0" w:line="278" w:lineRule="auto"/>
        <w:rPr>
          <w:sz w:val="20"/>
          <w:szCs w:val="20"/>
          <w:color w:val="auto"/>
        </w:rPr>
      </w:pPr>
      <w:r>
        <w:rPr>
          <w:rFonts w:ascii="Times New Roman" w:cs="Times New Roman" w:eastAsia="Times New Roman" w:hAnsi="Times New Roman"/>
          <w:sz w:val="20"/>
          <w:szCs w:val="20"/>
          <w:color w:val="auto"/>
        </w:rPr>
        <w:t>The Company did not have any transfers of assets or liabilities between the fair value measurement classifications during the years ended December 31, 2025 and 2024.</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800"/>
          </w:cols>
          <w:pgMar w:left="540" w:top="1347" w:right="540" w:bottom="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color w:val="auto"/>
        </w:rPr>
        <w:t>(5) Marketable Securities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is a summary of marketable debt securities, classified as available-for-sale: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04"/>
        </w:trPr>
        <w:tc>
          <w:tcPr>
            <w:tcW w:w="6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0"/>
        </w:trPr>
        <w:tc>
          <w:tcPr>
            <w:tcW w:w="6520" w:type="dxa"/>
            <w:vAlign w:val="bottom"/>
            <w:vMerge w:val="restart"/>
          </w:tcPr>
          <w:p>
            <w:pPr>
              <w:jc w:val="right"/>
              <w:ind w:right="480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(In</w:t>
            </w:r>
          </w:p>
        </w:tc>
        <w:tc>
          <w:tcPr>
            <w:tcW w:w="1120" w:type="dxa"/>
            <w:vAlign w:val="bottom"/>
            <w:gridSpan w:val="4"/>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tcPr>
          <w:p>
            <w:pPr>
              <w:jc w:val="right"/>
              <w:ind w:right="4580"/>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 government and municipal obligations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in one year or less . . . . . . . . . . . . . . . . . . . . . . . . . . . . . . . . . . . . . .</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151,270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151,749</w:t>
            </w:r>
          </w:p>
        </w:tc>
        <w:tc>
          <w:tcPr>
            <w:tcW w:w="0" w:type="dxa"/>
            <w:vAlign w:val="bottom"/>
          </w:tcPr>
          <w:p>
            <w:pPr>
              <w:spacing w:after="0"/>
              <w:rPr>
                <w:sz w:val="1"/>
                <w:szCs w:val="1"/>
                <w:color w:val="auto"/>
              </w:rPr>
            </w:pPr>
          </w:p>
        </w:tc>
      </w:tr>
      <w:tr>
        <w:trPr>
          <w:trHeight w:val="25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after one year through three years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42,358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42,485</w:t>
            </w:r>
          </w:p>
        </w:tc>
        <w:tc>
          <w:tcPr>
            <w:tcW w:w="0" w:type="dxa"/>
            <w:vAlign w:val="bottom"/>
          </w:tcPr>
          <w:p>
            <w:pPr>
              <w:spacing w:after="0"/>
              <w:rPr>
                <w:sz w:val="1"/>
                <w:szCs w:val="1"/>
                <w:color w:val="auto"/>
              </w:rPr>
            </w:pPr>
          </w:p>
        </w:tc>
      </w:tr>
      <w:tr>
        <w:trPr>
          <w:trHeight w:val="220"/>
        </w:trPr>
        <w:tc>
          <w:tcPr>
            <w:tcW w:w="652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 . . . . . .TotalU.S.governmentandmunicipalobligations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193,628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194,234</w:t>
            </w:r>
          </w:p>
        </w:tc>
        <w:tc>
          <w:tcPr>
            <w:tcW w:w="0" w:type="dxa"/>
            <w:vAlign w:val="bottom"/>
          </w:tcPr>
          <w:p>
            <w:pPr>
              <w:spacing w:after="0"/>
              <w:rPr>
                <w:sz w:val="1"/>
                <w:szCs w:val="1"/>
                <w:color w:val="auto"/>
              </w:rPr>
            </w:pPr>
          </w:p>
        </w:tc>
      </w:tr>
      <w:tr>
        <w:trPr>
          <w:trHeight w:val="199"/>
        </w:trPr>
        <w:tc>
          <w:tcPr>
            <w:tcW w:w="65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color w:val="auto"/>
              </w:rPr>
              <w:t>Corporate debt securities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in one year or less . . . . . . . . . . . . . . . . . . . . . . . . . . . . . . . . . . . . . .</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257,064</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257,437</w:t>
            </w:r>
          </w:p>
        </w:tc>
        <w:tc>
          <w:tcPr>
            <w:tcW w:w="0" w:type="dxa"/>
            <w:vAlign w:val="bottom"/>
          </w:tcPr>
          <w:p>
            <w:pPr>
              <w:spacing w:after="0"/>
              <w:rPr>
                <w:sz w:val="1"/>
                <w:szCs w:val="1"/>
                <w:color w:val="auto"/>
              </w:rPr>
            </w:pPr>
          </w:p>
        </w:tc>
      </w:tr>
      <w:tr>
        <w:trPr>
          <w:trHeight w:val="25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after one year through three years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37,980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38,031</w:t>
            </w:r>
          </w:p>
        </w:tc>
        <w:tc>
          <w:tcPr>
            <w:tcW w:w="0" w:type="dxa"/>
            <w:vAlign w:val="bottom"/>
          </w:tcPr>
          <w:p>
            <w:pPr>
              <w:spacing w:after="0"/>
              <w:rPr>
                <w:sz w:val="1"/>
                <w:szCs w:val="1"/>
                <w:color w:val="auto"/>
              </w:rPr>
            </w:pPr>
          </w:p>
        </w:tc>
      </w:tr>
      <w:tr>
        <w:trPr>
          <w:trHeight w:val="220"/>
        </w:trPr>
        <w:tc>
          <w:tcPr>
            <w:tcW w:w="652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.Totalcorporatedebtsecurities</w:t>
            </w: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295,044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295,468</w:t>
            </w:r>
          </w:p>
        </w:tc>
        <w:tc>
          <w:tcPr>
            <w:tcW w:w="0" w:type="dxa"/>
            <w:vAlign w:val="bottom"/>
          </w:tcPr>
          <w:p>
            <w:pPr>
              <w:spacing w:after="0"/>
              <w:rPr>
                <w:sz w:val="1"/>
                <w:szCs w:val="1"/>
                <w:color w:val="auto"/>
              </w:rPr>
            </w:pPr>
          </w:p>
        </w:tc>
      </w:tr>
      <w:tr>
        <w:trPr>
          <w:trHeight w:val="229"/>
        </w:trPr>
        <w:tc>
          <w:tcPr>
            <w:tcW w:w="652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.Totalmarketablesecurities</w:t>
            </w:r>
          </w:p>
        </w:tc>
        <w:tc>
          <w:tcPr>
            <w:tcW w:w="20" w:type="dxa"/>
            <w:vAlign w:val="bottom"/>
          </w:tcPr>
          <w:p>
            <w:pPr>
              <w:spacing w:after="0"/>
              <w:rPr>
                <w:sz w:val="19"/>
                <w:szCs w:val="19"/>
                <w:color w:val="auto"/>
              </w:rPr>
            </w:pPr>
          </w:p>
        </w:tc>
        <w:tc>
          <w:tcPr>
            <w:tcW w:w="1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488,672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1,034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489,702</w:t>
            </w:r>
          </w:p>
        </w:tc>
        <w:tc>
          <w:tcPr>
            <w:tcW w:w="0" w:type="dxa"/>
            <w:vAlign w:val="bottom"/>
          </w:tcPr>
          <w:p>
            <w:pPr>
              <w:spacing w:after="0"/>
              <w:rPr>
                <w:sz w:val="1"/>
                <w:szCs w:val="1"/>
                <w:color w:val="auto"/>
              </w:rPr>
            </w:pPr>
          </w:p>
        </w:tc>
      </w:tr>
      <w:tr>
        <w:trPr>
          <w:trHeight w:val="211"/>
        </w:trPr>
        <w:tc>
          <w:tcPr>
            <w:tcW w:w="6520" w:type="dxa"/>
            <w:vAlign w:val="bottom"/>
          </w:tcPr>
          <w:p>
            <w:pPr>
              <w:jc w:val="right"/>
              <w:ind w:right="4800"/>
              <w:spacing w:after="0" w:line="211" w:lineRule="exact"/>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ind w:right="4580"/>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 government and municipal obligations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in one year or less . . . . . . . . . . . . . . . . . . . . . . . . . . . . . . . . . . . . . .</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185,388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185,855</w:t>
            </w:r>
          </w:p>
        </w:tc>
        <w:tc>
          <w:tcPr>
            <w:tcW w:w="0" w:type="dxa"/>
            <w:vAlign w:val="bottom"/>
          </w:tcPr>
          <w:p>
            <w:pPr>
              <w:spacing w:after="0"/>
              <w:rPr>
                <w:sz w:val="1"/>
                <w:szCs w:val="1"/>
                <w:color w:val="auto"/>
              </w:rPr>
            </w:pPr>
          </w:p>
        </w:tc>
      </w:tr>
      <w:tr>
        <w:trPr>
          <w:trHeight w:val="25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after one year through three years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102,331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102,503</w:t>
            </w:r>
          </w:p>
        </w:tc>
        <w:tc>
          <w:tcPr>
            <w:tcW w:w="0" w:type="dxa"/>
            <w:vAlign w:val="bottom"/>
          </w:tcPr>
          <w:p>
            <w:pPr>
              <w:spacing w:after="0"/>
              <w:rPr>
                <w:sz w:val="1"/>
                <w:szCs w:val="1"/>
                <w:color w:val="auto"/>
              </w:rPr>
            </w:pPr>
          </w:p>
        </w:tc>
      </w:tr>
      <w:tr>
        <w:trPr>
          <w:trHeight w:val="220"/>
        </w:trPr>
        <w:tc>
          <w:tcPr>
            <w:tcW w:w="652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 . . . . . .TotalU.S.governmentandmunicipalobligations</w:t>
            </w:r>
          </w:p>
        </w:tc>
        <w:tc>
          <w:tcPr>
            <w:tcW w:w="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287,719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288,358</w:t>
            </w:r>
          </w:p>
        </w:tc>
        <w:tc>
          <w:tcPr>
            <w:tcW w:w="0" w:type="dxa"/>
            <w:vAlign w:val="bottom"/>
          </w:tcPr>
          <w:p>
            <w:pPr>
              <w:spacing w:after="0"/>
              <w:rPr>
                <w:sz w:val="1"/>
                <w:szCs w:val="1"/>
                <w:color w:val="auto"/>
              </w:rPr>
            </w:pPr>
          </w:p>
        </w:tc>
      </w:tr>
      <w:tr>
        <w:trPr>
          <w:trHeight w:val="201"/>
        </w:trPr>
        <w:tc>
          <w:tcPr>
            <w:tcW w:w="6520" w:type="dxa"/>
            <w:vAlign w:val="bottom"/>
          </w:tcPr>
          <w:p>
            <w:pPr>
              <w:ind w:left="240"/>
              <w:spacing w:after="0" w:line="201" w:lineRule="exact"/>
              <w:rPr>
                <w:sz w:val="20"/>
                <w:szCs w:val="20"/>
                <w:color w:val="auto"/>
              </w:rPr>
            </w:pPr>
            <w:r>
              <w:rPr>
                <w:rFonts w:ascii="Times New Roman" w:cs="Times New Roman" w:eastAsia="Times New Roman" w:hAnsi="Times New Roman"/>
                <w:sz w:val="20"/>
                <w:szCs w:val="20"/>
                <w:color w:val="auto"/>
              </w:rPr>
              <w:t>Corporate debt securities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in one year or less . . . . . . . . . . . . . . . . . . . . . . . . . . . . . . . . . . . . . .</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336,350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336,646</w:t>
            </w:r>
          </w:p>
        </w:tc>
        <w:tc>
          <w:tcPr>
            <w:tcW w:w="0" w:type="dxa"/>
            <w:vAlign w:val="bottom"/>
          </w:tcPr>
          <w:p>
            <w:pPr>
              <w:spacing w:after="0"/>
              <w:rPr>
                <w:sz w:val="1"/>
                <w:szCs w:val="1"/>
                <w:color w:val="auto"/>
              </w:rPr>
            </w:pPr>
          </w:p>
        </w:tc>
      </w:tr>
      <w:tr>
        <w:trPr>
          <w:trHeight w:val="250"/>
        </w:trPr>
        <w:tc>
          <w:tcPr>
            <w:tcW w:w="65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Maturing after one year through three years . . . . . . . . . . . . . . . . . . . . . . . .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72,139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(254)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71,921</w:t>
            </w:r>
          </w:p>
        </w:tc>
        <w:tc>
          <w:tcPr>
            <w:tcW w:w="0" w:type="dxa"/>
            <w:vAlign w:val="bottom"/>
          </w:tcPr>
          <w:p>
            <w:pPr>
              <w:spacing w:after="0"/>
              <w:rPr>
                <w:sz w:val="1"/>
                <w:szCs w:val="1"/>
                <w:color w:val="auto"/>
              </w:rPr>
            </w:pPr>
          </w:p>
        </w:tc>
      </w:tr>
      <w:tr>
        <w:trPr>
          <w:trHeight w:val="220"/>
        </w:trPr>
        <w:tc>
          <w:tcPr>
            <w:tcW w:w="6520" w:type="dxa"/>
            <w:vAlign w:val="bottom"/>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.Totalcorporatedebtsecurities</w:t>
            </w:r>
          </w:p>
        </w:tc>
        <w:tc>
          <w:tcPr>
            <w:tcW w:w="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408,489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408,567</w:t>
            </w:r>
          </w:p>
        </w:tc>
        <w:tc>
          <w:tcPr>
            <w:tcW w:w="0" w:type="dxa"/>
            <w:vAlign w:val="bottom"/>
          </w:tcPr>
          <w:p>
            <w:pPr>
              <w:spacing w:after="0"/>
              <w:rPr>
                <w:sz w:val="1"/>
                <w:szCs w:val="1"/>
                <w:color w:val="auto"/>
              </w:rPr>
            </w:pPr>
          </w:p>
        </w:tc>
      </w:tr>
      <w:tr>
        <w:trPr>
          <w:trHeight w:val="230"/>
        </w:trPr>
        <w:tc>
          <w:tcPr>
            <w:tcW w:w="6520" w:type="dxa"/>
            <w:vAlign w:val="bottom"/>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.Totalmarketablesecurities</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696,208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1,169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(452)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696,925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360"/>
        <w:spacing w:after="0" w:line="249" w:lineRule="auto"/>
        <w:rPr>
          <w:sz w:val="20"/>
          <w:szCs w:val="20"/>
          <w:color w:val="auto"/>
        </w:rPr>
      </w:pPr>
      <w:r>
        <w:rPr>
          <w:rFonts w:ascii="Times New Roman" w:cs="Times New Roman" w:eastAsia="Times New Roman" w:hAnsi="Times New Roman"/>
          <w:sz w:val="20"/>
          <w:szCs w:val="20"/>
          <w:color w:val="auto"/>
        </w:rPr>
        <w:t>The Company holds investment grade marketable securities. Unrealized losses are generally attributable to changes in interest rates. The aggregate fair value of marketable securities held by the Company in an unrealized loss position as of December 31, 2025 and December 31, 2024 was $19.4 million and $142.5 million, respectively. The Company has the intent and ability to hold its marketable securities until recovery and has determined that there has been no material change to the Company’s credit risk. As a result, the Company determined it did not hold any investments with a credit loss at December 31, 2025 and December 31, 2024.</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Marketable securities include $4.4 million and $6.1 million in accrued interest at December 31, 2025 and 2024,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Property and Equipment, Net</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Property and Equipment, net includes the following:</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r>
      <w:tr>
        <w:trPr>
          <w:trHeight w:val="154"/>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4"/>
              <w:spacing w:after="0" w:line="154" w:lineRule="exact"/>
              <w:rPr>
                <w:sz w:val="20"/>
                <w:szCs w:val="20"/>
                <w:color w:val="auto"/>
              </w:rPr>
            </w:pPr>
            <w:r>
              <w:rPr>
                <w:rFonts w:ascii="Times New Roman" w:cs="Times New Roman" w:eastAsia="Times New Roman" w:hAnsi="Times New Roman"/>
                <w:sz w:val="16"/>
                <w:szCs w:val="16"/>
                <w:b w:val="1"/>
                <w:bCs w:val="1"/>
                <w:color w:val="auto"/>
              </w:rPr>
              <w:t>(In</w:t>
            </w:r>
          </w:p>
        </w:tc>
        <w:tc>
          <w:tcPr>
            <w:tcW w:w="1240" w:type="dxa"/>
            <w:vAlign w:val="bottom"/>
            <w:gridSpan w:val="4"/>
          </w:tcPr>
          <w:p>
            <w:pPr>
              <w:jc w:val="right"/>
              <w:ind w:right="542"/>
              <w:spacing w:after="0" w:line="154" w:lineRule="exact"/>
              <w:rPr>
                <w:sz w:val="20"/>
                <w:szCs w:val="20"/>
                <w:color w:val="auto"/>
              </w:rPr>
            </w:pPr>
            <w:r>
              <w:rPr>
                <w:rFonts w:ascii="Times New Roman" w:cs="Times New Roman" w:eastAsia="Times New Roman" w:hAnsi="Times New Roman"/>
                <w:sz w:val="16"/>
                <w:szCs w:val="16"/>
                <w:b w:val="1"/>
                <w:bCs w:val="1"/>
                <w:color w:val="auto"/>
                <w:w w:val="77"/>
              </w:rPr>
              <w:t>thousands)</w:t>
            </w:r>
          </w:p>
        </w:tc>
        <w:tc>
          <w:tcPr>
            <w:tcW w:w="20" w:type="dxa"/>
            <w:vAlign w:val="bottom"/>
          </w:tcPr>
          <w:p>
            <w:pPr>
              <w:spacing w:after="0"/>
              <w:rPr>
                <w:sz w:val="13"/>
                <w:szCs w:val="13"/>
                <w:color w:val="auto"/>
              </w:rPr>
            </w:pPr>
          </w:p>
        </w:tc>
      </w:tr>
      <w:tr>
        <w:trPr>
          <w:trHeight w:val="230"/>
        </w:trPr>
        <w:tc>
          <w:tcPr>
            <w:tcW w:w="6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Laboratory equipment . . . . . . . . . . . . . . . . . . . . . . . . . . . . . . . . . . . . . . . . . . . . .</w:t>
            </w:r>
          </w:p>
        </w:tc>
        <w:tc>
          <w:tcPr>
            <w:tcW w:w="24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10,657</w:t>
            </w:r>
          </w:p>
        </w:tc>
        <w:tc>
          <w:tcPr>
            <w:tcW w:w="420" w:type="dxa"/>
            <w:vAlign w:val="bottom"/>
            <w:gridSpan w:val="3"/>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10,411</w:t>
            </w:r>
          </w:p>
        </w:tc>
        <w:tc>
          <w:tcPr>
            <w:tcW w:w="20" w:type="dxa"/>
            <w:vAlign w:val="bottom"/>
          </w:tcPr>
          <w:p>
            <w:pPr>
              <w:spacing w:after="0"/>
              <w:rPr>
                <w:sz w:val="20"/>
                <w:szCs w:val="20"/>
                <w:color w:val="auto"/>
              </w:rPr>
            </w:pPr>
          </w:p>
        </w:tc>
      </w:tr>
      <w:tr>
        <w:trPr>
          <w:trHeight w:val="230"/>
        </w:trPr>
        <w:tc>
          <w:tcPr>
            <w:tcW w:w="6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Manufacturing equipment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3,010</w:t>
            </w:r>
          </w:p>
        </w:tc>
        <w:tc>
          <w:tcPr>
            <w:tcW w:w="20" w:type="dxa"/>
            <w:vAlign w:val="bottom"/>
          </w:tcPr>
          <w:p>
            <w:pPr>
              <w:spacing w:after="0"/>
              <w:rPr>
                <w:sz w:val="20"/>
                <w:szCs w:val="20"/>
                <w:color w:val="auto"/>
              </w:rPr>
            </w:pPr>
          </w:p>
        </w:tc>
      </w:tr>
      <w:tr>
        <w:trPr>
          <w:trHeight w:val="229"/>
        </w:trPr>
        <w:tc>
          <w:tcPr>
            <w:tcW w:w="6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Office furniture and equipment . . . . . . . . . . .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3,965</w:t>
            </w:r>
          </w:p>
        </w:tc>
        <w:tc>
          <w:tcPr>
            <w:tcW w:w="20" w:type="dxa"/>
            <w:vAlign w:val="bottom"/>
          </w:tcPr>
          <w:p>
            <w:pPr>
              <w:spacing w:after="0"/>
              <w:rPr>
                <w:sz w:val="19"/>
                <w:szCs w:val="19"/>
                <w:color w:val="auto"/>
              </w:rPr>
            </w:pPr>
          </w:p>
        </w:tc>
      </w:tr>
      <w:tr>
        <w:trPr>
          <w:trHeight w:val="230"/>
        </w:trPr>
        <w:tc>
          <w:tcPr>
            <w:tcW w:w="6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Leasehold improvements . . . . . . . . . . . . . . . .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10,285</w:t>
            </w:r>
          </w:p>
        </w:tc>
        <w:tc>
          <w:tcPr>
            <w:tcW w:w="20" w:type="dxa"/>
            <w:vAlign w:val="bottom"/>
          </w:tcPr>
          <w:p>
            <w:pPr>
              <w:spacing w:after="0"/>
              <w:rPr>
                <w:sz w:val="20"/>
                <w:szCs w:val="20"/>
                <w:color w:val="auto"/>
              </w:rPr>
            </w:pPr>
          </w:p>
        </w:tc>
      </w:tr>
      <w:tr>
        <w:trPr>
          <w:trHeight w:val="250"/>
        </w:trPr>
        <w:tc>
          <w:tcPr>
            <w:tcW w:w="6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Construction in progress . . . . . . . . . . . . . . . . . . . . . . . . . . . . . . . . . . . . . . . . . . .</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0" w:type="dxa"/>
            <w:vAlign w:val="bottom"/>
          </w:tcPr>
          <w:p>
            <w:pPr>
              <w:spacing w:after="0"/>
              <w:rPr>
                <w:sz w:val="21"/>
                <w:szCs w:val="21"/>
                <w:color w:val="auto"/>
              </w:rPr>
            </w:pPr>
          </w:p>
        </w:tc>
      </w:tr>
      <w:tr>
        <w:trPr>
          <w:trHeight w:val="201"/>
        </w:trPr>
        <w:tc>
          <w:tcPr>
            <w:tcW w:w="6360" w:type="dxa"/>
            <w:vAlign w:val="bottom"/>
          </w:tcPr>
          <w:p>
            <w:pPr>
              <w:jc w:val="right"/>
              <w:ind w:right="140"/>
              <w:spacing w:after="0" w:line="201" w:lineRule="exact"/>
              <w:rPr>
                <w:sz w:val="20"/>
                <w:szCs w:val="20"/>
                <w:color w:val="auto"/>
              </w:rPr>
            </w:pPr>
            <w:r>
              <w:rPr>
                <w:rFonts w:ascii="Times New Roman" w:cs="Times New Roman" w:eastAsia="Times New Roman" w:hAnsi="Times New Roman"/>
                <w:sz w:val="20"/>
                <w:szCs w:val="20"/>
                <w:color w:val="auto"/>
              </w:rPr>
              <w:t>. . . . . . . . . . . . . . . . . . . . . . . . . . . . . . . . . . . . . .Totalpropertyandequipment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29,238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27,810</w:t>
            </w:r>
          </w:p>
        </w:tc>
        <w:tc>
          <w:tcPr>
            <w:tcW w:w="20" w:type="dxa"/>
            <w:vAlign w:val="bottom"/>
          </w:tcPr>
          <w:p>
            <w:pPr>
              <w:spacing w:after="0"/>
              <w:rPr>
                <w:sz w:val="17"/>
                <w:szCs w:val="17"/>
                <w:color w:val="auto"/>
              </w:rPr>
            </w:pPr>
          </w:p>
        </w:tc>
      </w:tr>
      <w:tr>
        <w:trPr>
          <w:trHeight w:val="250"/>
        </w:trPr>
        <w:tc>
          <w:tcPr>
            <w:tcW w:w="6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8"/>
              </w:rPr>
              <w:t>Less: accumulated depreciation and amortization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(23,464)</w:t>
            </w:r>
          </w:p>
        </w:tc>
      </w:tr>
      <w:tr>
        <w:trPr>
          <w:trHeight w:val="230"/>
        </w:trPr>
        <w:tc>
          <w:tcPr>
            <w:tcW w:w="6360" w:type="dxa"/>
            <w:vAlign w:val="bottom"/>
          </w:tcPr>
          <w:p>
            <w:pPr>
              <w:jc w:val="right"/>
              <w:ind w:right="14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.Propertyandequipment,net</w:t>
            </w: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5,334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4,346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800"/>
          </w:cols>
          <w:pgMar w:left="540" w:top="1347" w:right="540" w:bottom="0" w:gutter="0" w:footer="0" w:header="0"/>
          <w:type w:val="continuous"/>
        </w:sectPr>
      </w:pPr>
    </w:p>
    <w:bookmarkStart w:id="174" w:name="page175"/>
    <w:bookmarkEnd w:id="174"/>
    <w:p>
      <w:pPr>
        <w:ind w:right="140" w:firstLine="360"/>
        <w:spacing w:after="0" w:line="278" w:lineRule="auto"/>
        <w:rPr>
          <w:sz w:val="20"/>
          <w:szCs w:val="20"/>
          <w:color w:val="auto"/>
        </w:rPr>
      </w:pPr>
      <w:r>
        <w:rPr>
          <w:rFonts w:ascii="Times New Roman" w:cs="Times New Roman" w:eastAsia="Times New Roman" w:hAnsi="Times New Roman"/>
          <w:sz w:val="20"/>
          <w:szCs w:val="20"/>
          <w:color w:val="auto"/>
        </w:rPr>
        <w:t>Depreciation and amortization expense related to property and equipment was $1.8 million, $1.6 million and $1.5 million for the years ended December 31, 2025,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204" w:lineRule="exact"/>
        <w:rPr>
          <w:sz w:val="20"/>
          <w:szCs w:val="20"/>
          <w:color w:val="auto"/>
        </w:rPr>
      </w:pPr>
    </w:p>
    <w:p>
      <w:pPr>
        <w:ind w:right="900" w:firstLine="360"/>
        <w:spacing w:after="0" w:line="278" w:lineRule="auto"/>
        <w:rPr>
          <w:sz w:val="20"/>
          <w:szCs w:val="20"/>
          <w:color w:val="auto"/>
        </w:rPr>
      </w:pPr>
      <w:r>
        <w:rPr>
          <w:rFonts w:ascii="Times New Roman" w:cs="Times New Roman" w:eastAsia="Times New Roman" w:hAnsi="Times New Roman"/>
          <w:sz w:val="20"/>
          <w:szCs w:val="20"/>
          <w:color w:val="auto"/>
        </w:rPr>
        <w:t>The Company has operating leases of office, manufacturing and laboratory space, which have remaining lease terms of approximately one to five years and may include one or more options to renew.</w:t>
      </w:r>
    </w:p>
    <w:p>
      <w:pPr>
        <w:spacing w:after="0" w:line="127"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recorded right of use assets and lease liabilities of $0.1 million, $2.9 million and $0.1 million related to new leases and lease extensions, respectively.</w:t>
      </w:r>
    </w:p>
    <w:p>
      <w:pPr>
        <w:spacing w:after="0" w:line="127" w:lineRule="exact"/>
        <w:rPr>
          <w:sz w:val="20"/>
          <w:szCs w:val="20"/>
          <w:color w:val="auto"/>
        </w:rPr>
      </w:pPr>
    </w:p>
    <w:p>
      <w:pPr>
        <w:ind w:firstLine="360"/>
        <w:spacing w:after="0" w:line="247" w:lineRule="auto"/>
        <w:rPr>
          <w:sz w:val="20"/>
          <w:szCs w:val="20"/>
          <w:color w:val="auto"/>
        </w:rPr>
      </w:pPr>
      <w:r>
        <w:rPr>
          <w:rFonts w:ascii="Times New Roman" w:cs="Times New Roman" w:eastAsia="Times New Roman" w:hAnsi="Times New Roman"/>
          <w:sz w:val="20"/>
          <w:szCs w:val="20"/>
          <w:color w:val="auto"/>
        </w:rPr>
        <w:t>Operating lease expense was $2.1 million, $2.0 million and $1.9 million for years ended December 31, 2025, 2024 and 2023, respectively. Variable lease expense was $0.9 million, $0.8 million and $0.8 million for years ended December 31, 2025, 2024 and 2023, respectively. Cash paid for amounts included in the measurement of operating lease liabilities was $2.1 million, $2.0 million and $2.0 million for the years ended December 31, 2025, 2024 and 2023, respectively. As of December 31, 2025, the weighted-average remaining lease term was 1 year and the weighted-average discount rate was 10.0%, compared to a weighted-average remaining lease term of 2 years and weighted average discount rate of 10.0% as of December 31, 2024.</w:t>
      </w:r>
    </w:p>
    <w:p>
      <w:pPr>
        <w:spacing w:after="0" w:line="159"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In September 2025, the Company entered into a lease agreement for approximately 40,400 square feet of office and laboratory space in New Haven, Connecticut. The lease is scheduled to commence in 2026 and the Company plans to relocate its existing New Haven operations to the new space in 2026. The initial lease term is 5.5 years with three renewal options of five years each. Future minimum lease payments under this lease total approximately $4.5 million and are not included in the future minimum lease payments table below, as the lease had not commenced as of December 31, 2025.</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Future minimum lease payments under non-cancellable leases as of December 31, 2025 were as follows:</w:t>
      </w:r>
    </w:p>
    <w:p>
      <w:pPr>
        <w:spacing w:after="0" w:line="26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2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5"/>
              </w:rPr>
              <w:t>2026. . . . . . . . . . . . . . . . . . . . . . . . . . . . . . . . . . . . . . . . . . . . . . . . . . . . . . . . . . . . . . . . . . . .</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w:t>
            </w:r>
          </w:p>
        </w:tc>
      </w:tr>
      <w:tr>
        <w:trPr>
          <w:trHeight w:val="230"/>
        </w:trPr>
        <w:tc>
          <w:tcPr>
            <w:tcW w:w="72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5"/>
              </w:rPr>
              <w:t>2027. . . . . . . . . . . . . . . . . . . . . . . . . . . . . . . . . . . . . . . . . . . . . . . . . . . . . . . . . . . . . . . . . . . .</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804</w:t>
            </w:r>
          </w:p>
        </w:tc>
      </w:tr>
      <w:tr>
        <w:trPr>
          <w:trHeight w:val="230"/>
        </w:trPr>
        <w:tc>
          <w:tcPr>
            <w:tcW w:w="72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Total lease payments . . . . . . . . . . . . . . . . . . . . . . . . . . . . . . . . . . . . . . . . . . . . . . . . . . . . . .</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2,509</w:t>
            </w:r>
          </w:p>
        </w:tc>
      </w:tr>
      <w:tr>
        <w:trPr>
          <w:trHeight w:val="250"/>
        </w:trPr>
        <w:tc>
          <w:tcPr>
            <w:tcW w:w="72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Less imputed interest . . . . . . . . . . . . . . . . . . . . . . . . . . . . . . . . . . . . . . . . . . . . . . . . . . . . . .</w:t>
            </w: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w:t>
            </w:r>
          </w:p>
        </w:tc>
      </w:tr>
      <w:tr>
        <w:trPr>
          <w:trHeight w:val="230"/>
        </w:trPr>
        <w:tc>
          <w:tcPr>
            <w:tcW w:w="720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.Presentvalueofoperatingleaseliabilities</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2,336</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Intangible Assets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At December 31, 2025 and 2024, the carrying value of the Company’s indefinite-lived intangible assets was $27.2 million.</w:t>
      </w:r>
    </w:p>
    <w:p>
      <w:pPr>
        <w:spacing w:after="0" w:line="27"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9"/>
          <w:szCs w:val="19"/>
          <w:color w:val="auto"/>
        </w:rPr>
        <w:t>Indefinite-lived intangible assets consist of acquired in-process research and development (“IPR&amp;D”) related to the development of the anti-KIT program (including barzolvolimab). Barzolvolimab is in Phase 3 development. As of December 31, 2025, the IPR&amp;D asset related to the anti-KIT program had not reached technological feasibility nor did the asset have alternative future uses.</w:t>
      </w:r>
    </w:p>
    <w:p>
      <w:pPr>
        <w:spacing w:after="0" w:line="142" w:lineRule="exact"/>
        <w:rPr>
          <w:sz w:val="20"/>
          <w:szCs w:val="20"/>
          <w:color w:val="auto"/>
        </w:rPr>
      </w:pPr>
    </w:p>
    <w:p>
      <w:pPr>
        <w:ind w:right="760" w:firstLine="360"/>
        <w:spacing w:after="0" w:line="278" w:lineRule="auto"/>
        <w:rPr>
          <w:sz w:val="20"/>
          <w:szCs w:val="20"/>
          <w:color w:val="auto"/>
        </w:rPr>
      </w:pPr>
      <w:r>
        <w:rPr>
          <w:rFonts w:ascii="Times New Roman" w:cs="Times New Roman" w:eastAsia="Times New Roman" w:hAnsi="Times New Roman"/>
          <w:sz w:val="20"/>
          <w:szCs w:val="20"/>
          <w:color w:val="auto"/>
        </w:rPr>
        <w:t>The Company performs an impairment test on IPR&amp;D assets at least annually, or more frequently if events or changes in circumstances indicate that IPR&amp;D assets may be impaired.</w:t>
      </w:r>
    </w:p>
    <w:p>
      <w:pPr>
        <w:spacing w:after="0" w:line="1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The Company performed its annual impairment test of the IPR&amp;D asset related to the development of the anti-KIT program</w:t>
      </w:r>
    </w:p>
    <w:p>
      <w:pPr>
        <w:spacing w:after="0" w:line="2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(including barzolvolimab) during the fourth quarter of 2025 and concluded that the IPR&amp;D asset was not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Other Assets</w:t>
      </w:r>
    </w:p>
    <w:p>
      <w:pPr>
        <w:spacing w:after="0" w:line="243"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Company records advance payments for services that will not be performed within one year of the balance sheet date as other assets. Such amounts will be recognized as expense in the period in which the related services are performed. Advance payments reflected within other assets in our consolidated balance sheets were $12.8 million and $9.6 million at December 31, 2025 and December 31, 2024, respectively.</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800"/>
          </w:cols>
          <w:pgMar w:left="540" w:top="1349" w:right="540" w:bottom="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auto"/>
        </w:rPr>
        <w:t>(10) Accrued Expenses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Accrued expenses include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4"/>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r>
      <w:tr>
        <w:trPr>
          <w:trHeight w:val="154"/>
        </w:trPr>
        <w:tc>
          <w:tcPr>
            <w:tcW w:w="7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left="427"/>
              <w:spacing w:after="0" w:line="154" w:lineRule="exact"/>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gridSpan w:val="4"/>
          </w:tcPr>
          <w:p>
            <w:pPr>
              <w:jc w:val="right"/>
              <w:ind w:right="705"/>
              <w:spacing w:after="0" w:line="154" w:lineRule="exact"/>
              <w:rPr>
                <w:sz w:val="20"/>
                <w:szCs w:val="20"/>
                <w:color w:val="auto"/>
              </w:rPr>
            </w:pPr>
            <w:r>
              <w:rPr>
                <w:rFonts w:ascii="Times New Roman" w:cs="Times New Roman" w:eastAsia="Times New Roman" w:hAnsi="Times New Roman"/>
                <w:sz w:val="16"/>
                <w:szCs w:val="16"/>
                <w:b w:val="1"/>
                <w:bCs w:val="1"/>
                <w:color w:val="auto"/>
                <w:w w:val="77"/>
              </w:rPr>
              <w:t>thousands)</w:t>
            </w:r>
          </w:p>
        </w:tc>
        <w:tc>
          <w:tcPr>
            <w:tcW w:w="20" w:type="dxa"/>
            <w:vAlign w:val="bottom"/>
          </w:tcPr>
          <w:p>
            <w:pPr>
              <w:spacing w:after="0"/>
              <w:rPr>
                <w:sz w:val="13"/>
                <w:szCs w:val="13"/>
                <w:color w:val="auto"/>
              </w:rPr>
            </w:pPr>
          </w:p>
        </w:tc>
      </w:tr>
      <w:tr>
        <w:trPr>
          <w:trHeight w:val="23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Accrued payroll and employee benefits . . . . . . . . . . . . . . . . . . . . . . . . . .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11,811</w:t>
            </w:r>
          </w:p>
        </w:tc>
        <w:tc>
          <w:tcPr>
            <w:tcW w:w="2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11,568</w:t>
            </w:r>
          </w:p>
        </w:tc>
        <w:tc>
          <w:tcPr>
            <w:tcW w:w="20" w:type="dxa"/>
            <w:vAlign w:val="bottom"/>
          </w:tcPr>
          <w:p>
            <w:pPr>
              <w:spacing w:after="0"/>
              <w:rPr>
                <w:sz w:val="20"/>
                <w:szCs w:val="20"/>
                <w:color w:val="auto"/>
              </w:rPr>
            </w:pPr>
          </w:p>
        </w:tc>
      </w:tr>
      <w:tr>
        <w:trPr>
          <w:trHeight w:val="229"/>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Accrued research and development contract costs . . . . . . . . . . . . . . . . . .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20,544</w:t>
            </w:r>
          </w:p>
        </w:tc>
        <w:tc>
          <w:tcPr>
            <w:tcW w:w="20" w:type="dxa"/>
            <w:vAlign w:val="bottom"/>
          </w:tcPr>
          <w:p>
            <w:pPr>
              <w:spacing w:after="0"/>
              <w:rPr>
                <w:sz w:val="19"/>
                <w:szCs w:val="19"/>
                <w:color w:val="auto"/>
              </w:rPr>
            </w:pPr>
          </w:p>
        </w:tc>
      </w:tr>
      <w:tr>
        <w:trPr>
          <w:trHeight w:val="23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Accrued professional fees . . . . . . . . . . . . . . . . . . . . . . . . . . . . . . . . . . . . .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1,392</w:t>
            </w:r>
          </w:p>
        </w:tc>
        <w:tc>
          <w:tcPr>
            <w:tcW w:w="20" w:type="dxa"/>
            <w:vAlign w:val="bottom"/>
          </w:tcPr>
          <w:p>
            <w:pPr>
              <w:spacing w:after="0"/>
              <w:rPr>
                <w:sz w:val="20"/>
                <w:szCs w:val="20"/>
                <w:color w:val="auto"/>
              </w:rPr>
            </w:pPr>
          </w:p>
        </w:tc>
      </w:tr>
      <w:tr>
        <w:trPr>
          <w:trHeight w:val="25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Other accrued expenses . . . . . . . . . . . . . . . . . . . . . . . . . . . . . . . . . . . . . . . .</w:t>
            </w: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20" w:type="dxa"/>
            <w:vAlign w:val="bottom"/>
          </w:tcPr>
          <w:p>
            <w:pPr>
              <w:spacing w:after="0"/>
              <w:rPr>
                <w:sz w:val="21"/>
                <w:szCs w:val="21"/>
                <w:color w:val="auto"/>
              </w:rPr>
            </w:pPr>
          </w:p>
        </w:tc>
      </w:tr>
      <w:tr>
        <w:trPr>
          <w:trHeight w:val="230"/>
        </w:trPr>
        <w:tc>
          <w:tcPr>
            <w:tcW w:w="7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47,029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33,842</w:t>
            </w:r>
          </w:p>
        </w:tc>
        <w:tc>
          <w:tcPr>
            <w:tcW w:w="20" w:type="dxa"/>
            <w:vAlign w:val="bottom"/>
          </w:tcPr>
          <w:p>
            <w:pPr>
              <w:spacing w:after="0"/>
              <w:rPr>
                <w:sz w:val="20"/>
                <w:szCs w:val="20"/>
                <w:color w:val="auto"/>
              </w:rPr>
            </w:pPr>
          </w:p>
        </w:tc>
      </w:tr>
      <w:tr>
        <w:trPr>
          <w:trHeight w:val="504"/>
        </w:trPr>
        <w:tc>
          <w:tcPr>
            <w:tcW w:w="7120" w:type="dxa"/>
            <w:vAlign w:val="bottom"/>
          </w:tcPr>
          <w:p>
            <w:pPr>
              <w:jc w:val="right"/>
              <w:ind w:right="4180"/>
              <w:spacing w:after="0"/>
              <w:rPr>
                <w:sz w:val="20"/>
                <w:szCs w:val="20"/>
                <w:color w:val="auto"/>
              </w:rPr>
            </w:pPr>
            <w:r>
              <w:rPr>
                <w:rFonts w:ascii="Times New Roman" w:cs="Times New Roman" w:eastAsia="Times New Roman" w:hAnsi="Times New Roman"/>
                <w:sz w:val="20"/>
                <w:szCs w:val="20"/>
                <w:b w:val="1"/>
                <w:bCs w:val="1"/>
                <w:color w:val="auto"/>
                <w:w w:val="99"/>
              </w:rPr>
              <w:t>(11) Other Long-Term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5"/>
        </w:trPr>
        <w:tc>
          <w:tcPr>
            <w:tcW w:w="7120" w:type="dxa"/>
            <w:vAlign w:val="bottom"/>
          </w:tcPr>
          <w:p>
            <w:pPr>
              <w:jc w:val="right"/>
              <w:ind w:right="2760"/>
              <w:spacing w:after="0"/>
              <w:rPr>
                <w:sz w:val="20"/>
                <w:szCs w:val="20"/>
                <w:color w:val="auto"/>
              </w:rPr>
            </w:pPr>
            <w:r>
              <w:rPr>
                <w:rFonts w:ascii="Times New Roman" w:cs="Times New Roman" w:eastAsia="Times New Roman" w:hAnsi="Times New Roman"/>
                <w:sz w:val="20"/>
                <w:szCs w:val="20"/>
                <w:color w:val="auto"/>
              </w:rPr>
              <w:t>Other long-term liabilities include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3"/>
        </w:trPr>
        <w:tc>
          <w:tcPr>
            <w:tcW w:w="7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7"/>
                <w:szCs w:val="17"/>
                <w:color w:val="auto"/>
              </w:rPr>
            </w:pPr>
          </w:p>
        </w:tc>
      </w:tr>
      <w:tr>
        <w:trPr>
          <w:trHeight w:val="154"/>
        </w:trPr>
        <w:tc>
          <w:tcPr>
            <w:tcW w:w="7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ind w:left="427"/>
              <w:spacing w:after="0" w:line="154" w:lineRule="exact"/>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gridSpan w:val="4"/>
          </w:tcPr>
          <w:p>
            <w:pPr>
              <w:jc w:val="right"/>
              <w:ind w:right="705"/>
              <w:spacing w:after="0" w:line="154" w:lineRule="exact"/>
              <w:rPr>
                <w:sz w:val="20"/>
                <w:szCs w:val="20"/>
                <w:color w:val="auto"/>
              </w:rPr>
            </w:pPr>
            <w:r>
              <w:rPr>
                <w:rFonts w:ascii="Times New Roman" w:cs="Times New Roman" w:eastAsia="Times New Roman" w:hAnsi="Times New Roman"/>
                <w:sz w:val="16"/>
                <w:szCs w:val="16"/>
                <w:b w:val="1"/>
                <w:bCs w:val="1"/>
                <w:color w:val="auto"/>
                <w:w w:val="77"/>
              </w:rPr>
              <w:t>thousands)</w:t>
            </w:r>
          </w:p>
        </w:tc>
        <w:tc>
          <w:tcPr>
            <w:tcW w:w="20" w:type="dxa"/>
            <w:vAlign w:val="bottom"/>
          </w:tcPr>
          <w:p>
            <w:pPr>
              <w:spacing w:after="0"/>
              <w:rPr>
                <w:sz w:val="13"/>
                <w:szCs w:val="13"/>
                <w:color w:val="auto"/>
              </w:rPr>
            </w:pPr>
          </w:p>
        </w:tc>
      </w:tr>
      <w:tr>
        <w:trPr>
          <w:trHeight w:val="23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Net deferred tax liabilities related to IPR&amp;D (Note 16) . . . . . . . . . . . . .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2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20" w:type="dxa"/>
            <w:vAlign w:val="bottom"/>
          </w:tcPr>
          <w:p>
            <w:pPr>
              <w:spacing w:after="0"/>
              <w:rPr>
                <w:sz w:val="20"/>
                <w:szCs w:val="20"/>
                <w:color w:val="auto"/>
              </w:rPr>
            </w:pPr>
          </w:p>
        </w:tc>
      </w:tr>
      <w:tr>
        <w:trPr>
          <w:trHeight w:val="23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Deferred income from sale of tax benefits . . . . . . . . . . . . . . . . . . . . . . . .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2,790</w:t>
            </w:r>
          </w:p>
        </w:tc>
        <w:tc>
          <w:tcPr>
            <w:tcW w:w="20" w:type="dxa"/>
            <w:vAlign w:val="bottom"/>
          </w:tcPr>
          <w:p>
            <w:pPr>
              <w:spacing w:after="0"/>
              <w:rPr>
                <w:sz w:val="20"/>
                <w:szCs w:val="20"/>
                <w:color w:val="auto"/>
              </w:rPr>
            </w:pPr>
          </w:p>
        </w:tc>
      </w:tr>
      <w:tr>
        <w:trPr>
          <w:trHeight w:val="25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Deferred revenue (Note 14) . . . . . . . . . . . . . . . . . . . . . . . . . . . . . . . . . . . . .</w:t>
            </w: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1"/>
                <w:szCs w:val="21"/>
                <w:color w:val="auto"/>
              </w:rPr>
            </w:pPr>
          </w:p>
        </w:tc>
      </w:tr>
      <w:tr>
        <w:trPr>
          <w:trHeight w:val="199"/>
        </w:trPr>
        <w:tc>
          <w:tcPr>
            <w:tcW w:w="7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color w:val="auto"/>
              </w:rPr>
              <w:t>. . . . . . . . . . . . . . . . . . . . . . . . . . . . . . . . . . . . . . . . . . . . . . . . . . . . . .Total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5,273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4,415</w:t>
            </w:r>
          </w:p>
        </w:tc>
        <w:tc>
          <w:tcPr>
            <w:tcW w:w="20" w:type="dxa"/>
            <w:vAlign w:val="bottom"/>
          </w:tcPr>
          <w:p>
            <w:pPr>
              <w:spacing w:after="0"/>
              <w:rPr>
                <w:sz w:val="17"/>
                <w:szCs w:val="17"/>
                <w:color w:val="auto"/>
              </w:rPr>
            </w:pPr>
          </w:p>
        </w:tc>
      </w:tr>
      <w:tr>
        <w:trPr>
          <w:trHeight w:val="250"/>
        </w:trPr>
        <w:tc>
          <w:tcPr>
            <w:tcW w:w="71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Less current portion . . . . . . . . . . . . . . . . . . . . . . . . . . . . . . . . . . . . . . . . . .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2"/>
          </w:tcPr>
          <w:p>
            <w:pPr>
              <w:jc w:val="center"/>
              <w:ind w:left="227"/>
              <w:spacing w:after="0"/>
              <w:rPr>
                <w:sz w:val="20"/>
                <w:szCs w:val="20"/>
                <w:color w:val="auto"/>
              </w:rPr>
            </w:pPr>
            <w:r>
              <w:rPr>
                <w:rFonts w:ascii="Times New Roman" w:cs="Times New Roman" w:eastAsia="Times New Roman" w:hAnsi="Times New Roman"/>
                <w:sz w:val="20"/>
                <w:szCs w:val="20"/>
                <w:color w:val="auto"/>
                <w:w w:val="99"/>
              </w:rPr>
              <w:t>(1,230)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(942)</w:t>
            </w:r>
          </w:p>
        </w:tc>
      </w:tr>
      <w:tr>
        <w:trPr>
          <w:trHeight w:val="230"/>
        </w:trPr>
        <w:tc>
          <w:tcPr>
            <w:tcW w:w="712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 . . . . .Long-termportion</w:t>
            </w: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4,043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3,473</w:t>
            </w:r>
          </w:p>
        </w:tc>
        <w:tc>
          <w:tcPr>
            <w:tcW w:w="20" w:type="dxa"/>
            <w:vAlign w:val="bottom"/>
          </w:tcPr>
          <w:p>
            <w:pPr>
              <w:spacing w:after="0"/>
              <w:rPr>
                <w:sz w:val="20"/>
                <w:szCs w:val="20"/>
                <w:color w:val="auto"/>
              </w:rPr>
            </w:pPr>
          </w:p>
        </w:tc>
      </w:tr>
    </w:tbl>
    <w:p>
      <w:pPr>
        <w:spacing w:after="0" w:line="210" w:lineRule="exact"/>
        <w:rPr>
          <w:sz w:val="20"/>
          <w:szCs w:val="20"/>
          <w:color w:val="auto"/>
        </w:rPr>
      </w:pPr>
    </w:p>
    <w:p>
      <w:pPr>
        <w:ind w:right="120" w:firstLine="360"/>
        <w:spacing w:after="0" w:line="249" w:lineRule="auto"/>
        <w:rPr>
          <w:sz w:val="20"/>
          <w:szCs w:val="20"/>
          <w:color w:val="auto"/>
        </w:rPr>
      </w:pPr>
      <w:r>
        <w:rPr>
          <w:rFonts w:ascii="Times New Roman" w:cs="Times New Roman" w:eastAsia="Times New Roman" w:hAnsi="Times New Roman"/>
          <w:sz w:val="20"/>
          <w:szCs w:val="20"/>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 rata basis based on the number of years completed. The Company recognized $0.9 million in other income related to the sale of these tax benefits during the years ended December 31, 2025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Stockholders’ Equity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w:t>
      </w:r>
    </w:p>
    <w:p>
      <w:pPr>
        <w:spacing w:after="0" w:line="23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November 2023, the Company filed an automatic shelf registration statement with the SEC to register for sale any combination of the types of securities described in the shelf registration statement, including shares of its common stock. Also in November 2023, the Company issued 8,538,750 shares of its common stock in an underwritten public offering resulting in net proceeds to the Company of $216.2 million, after deducting underwriting fees and offering expenses.</w:t>
      </w:r>
    </w:p>
    <w:p>
      <w:pPr>
        <w:spacing w:after="0" w:line="195" w:lineRule="exact"/>
        <w:rPr>
          <w:sz w:val="20"/>
          <w:szCs w:val="20"/>
          <w:color w:val="auto"/>
        </w:rPr>
      </w:pPr>
    </w:p>
    <w:p>
      <w:pPr>
        <w:ind w:right="200" w:firstLine="360"/>
        <w:spacing w:after="0" w:line="252" w:lineRule="auto"/>
        <w:rPr>
          <w:sz w:val="20"/>
          <w:szCs w:val="20"/>
          <w:color w:val="auto"/>
        </w:rPr>
      </w:pPr>
      <w:r>
        <w:rPr>
          <w:rFonts w:ascii="Times New Roman" w:cs="Times New Roman" w:eastAsia="Times New Roman" w:hAnsi="Times New Roman"/>
          <w:sz w:val="20"/>
          <w:szCs w:val="20"/>
          <w:color w:val="auto"/>
        </w:rPr>
        <w:t>On February 26, 2024, the Company entered into a controlled equity offering sales agreement (“ATM Agreement”) with Cantor Fitzgerald &amp; Co. (“Cantor”) to allow the Company to issue and sell shares of its common stock from time to time through Cantor, acting as agent. At December 31, 2025, the Company had registered $ 300.0 million of its common stock to be sold pursuant to the Company’s ATM Agreement, all of which remained unsold as of that date.</w:t>
      </w:r>
    </w:p>
    <w:p>
      <w:pPr>
        <w:spacing w:after="0" w:line="193" w:lineRule="exact"/>
        <w:rPr>
          <w:sz w:val="20"/>
          <w:szCs w:val="20"/>
          <w:color w:val="auto"/>
        </w:rPr>
      </w:pPr>
    </w:p>
    <w:p>
      <w:pPr>
        <w:ind w:right="440" w:firstLine="360"/>
        <w:spacing w:after="0" w:line="278" w:lineRule="auto"/>
        <w:rPr>
          <w:sz w:val="20"/>
          <w:szCs w:val="20"/>
          <w:color w:val="auto"/>
        </w:rPr>
      </w:pPr>
      <w:r>
        <w:rPr>
          <w:rFonts w:ascii="Times New Roman" w:cs="Times New Roman" w:eastAsia="Times New Roman" w:hAnsi="Times New Roman"/>
          <w:sz w:val="20"/>
          <w:szCs w:val="20"/>
          <w:color w:val="auto"/>
        </w:rPr>
        <w:t>In March 2024, the Company issued 9,798,000 shares of its common stock in an underwritten public offering resulting in net proceeds to the Company of $432.3 million, after deducting underwriting fees and offering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Preferred Stock</w:t>
      </w:r>
    </w:p>
    <w:p>
      <w:pPr>
        <w:spacing w:after="0" w:line="237" w:lineRule="exact"/>
        <w:rPr>
          <w:sz w:val="20"/>
          <w:szCs w:val="20"/>
          <w:color w:val="auto"/>
        </w:rPr>
      </w:pPr>
    </w:p>
    <w:p>
      <w:pPr>
        <w:ind w:right="240" w:firstLine="360"/>
        <w:spacing w:after="0" w:line="279" w:lineRule="auto"/>
        <w:rPr>
          <w:sz w:val="20"/>
          <w:szCs w:val="20"/>
          <w:color w:val="auto"/>
        </w:rPr>
      </w:pPr>
      <w:r>
        <w:rPr>
          <w:rFonts w:ascii="Times New Roman" w:cs="Times New Roman" w:eastAsia="Times New Roman" w:hAnsi="Times New Roman"/>
          <w:sz w:val="19"/>
          <w:szCs w:val="19"/>
          <w:color w:val="auto"/>
        </w:rPr>
        <w:t>At December 31, 2025, the Company had authorized 3,000,000 shares of preferred stock all of which have been designated Class C Preferred Stock including 350,000 shares which have been designated Series C -1 Junior Participating Cumulative Preferred Stock (the “Series C-1 Preferred Stock”). No shares of Series C-1 Preferred Stock were outstanding at December 31, 2025 or 2024.</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800"/>
          </w:cols>
          <w:pgMar w:left="540" w:top="1347" w:right="540" w:bottom="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color w:val="auto"/>
        </w:rPr>
        <w:t>(13) Stock-Based Compensation</w:t>
      </w:r>
    </w:p>
    <w:p>
      <w:pPr>
        <w:spacing w:after="0" w:line="243" w:lineRule="exact"/>
        <w:rPr>
          <w:sz w:val="20"/>
          <w:szCs w:val="20"/>
          <w:color w:val="auto"/>
        </w:rPr>
      </w:pPr>
    </w:p>
    <w:p>
      <w:pPr>
        <w:ind w:right="220" w:firstLine="360"/>
        <w:spacing w:after="0" w:line="252" w:lineRule="auto"/>
        <w:rPr>
          <w:sz w:val="20"/>
          <w:szCs w:val="20"/>
          <w:color w:val="auto"/>
        </w:rPr>
      </w:pPr>
      <w:r>
        <w:rPr>
          <w:rFonts w:ascii="Times New Roman" w:cs="Times New Roman" w:eastAsia="Times New Roman" w:hAnsi="Times New Roman"/>
          <w:sz w:val="20"/>
          <w:szCs w:val="20"/>
          <w:color w:val="auto"/>
        </w:rPr>
        <w:t>The Company has the following stock-based compensation plans: the 2004 Employee Stock Purchase Plan (the “2004 ESPP Plan”), the 2008 Stock Option and Incentive Plan (the “2008 Plan”) and the 2021 Omnibus Equity Incentive Plan (the “2021 Plan”). There are no shares available for future grant under the 2008 Plan. Outstanding options under the 2008 Plan will be rolled into the 2021 Plan if canceled.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Stock Purchase Plan</w:t>
      </w:r>
    </w:p>
    <w:p>
      <w:pPr>
        <w:spacing w:after="0" w:line="237" w:lineRule="exact"/>
        <w:rPr>
          <w:sz w:val="20"/>
          <w:szCs w:val="20"/>
          <w:color w:val="auto"/>
        </w:rPr>
      </w:pPr>
    </w:p>
    <w:p>
      <w:pPr>
        <w:ind w:right="40" w:firstLine="360"/>
        <w:spacing w:after="0" w:line="247" w:lineRule="auto"/>
        <w:rPr>
          <w:sz w:val="20"/>
          <w:szCs w:val="20"/>
          <w:color w:val="auto"/>
        </w:rPr>
      </w:pPr>
      <w:r>
        <w:rPr>
          <w:rFonts w:ascii="Times New Roman" w:cs="Times New Roman" w:eastAsia="Times New Roman" w:hAnsi="Times New Roman"/>
          <w:sz w:val="20"/>
          <w:szCs w:val="20"/>
          <w:color w:val="auto"/>
        </w:rPr>
        <w:t>At December 31, 2025, a total of 276,666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2025, 2024 and 2023, the Company issued 21,565, 13,187 and 12,729 shares under the 2004 ESPP Plan, respectively. At December 31, 2025, 128,751 shares were available for issuance under the 2004 ESPP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Employee Stock Option Plan</w:t>
      </w:r>
    </w:p>
    <w:p>
      <w:pPr>
        <w:spacing w:after="0" w:line="238"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The 2021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to employees, consultants and non-employee directors.</w:t>
      </w:r>
    </w:p>
    <w:p>
      <w:pPr>
        <w:spacing w:after="0" w:line="18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The 2021 Plan allows for grants of new awards until April 19, 2031. As of December 31, 2025, there were 1,343,593 shares</w:t>
      </w:r>
    </w:p>
    <w:p>
      <w:pPr>
        <w:spacing w:after="0" w:line="27"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outstanding under the 2008 Plan that will be rolled into the 2021 Plan if canceled.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2021 Plan.</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 summary of stock option activity for the year ended December 31, 2025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84"/>
        </w:trPr>
        <w:tc>
          <w:tcPr>
            <w:tcW w:w="7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85"/>
        </w:trPr>
        <w:tc>
          <w:tcPr>
            <w:tcW w:w="7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84"/>
        </w:trPr>
        <w:tc>
          <w:tcPr>
            <w:tcW w:w="7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0" w:type="dxa"/>
            <w:vAlign w:val="bottom"/>
          </w:tcPr>
          <w:p>
            <w:pPr>
              <w:spacing w:after="0"/>
              <w:rPr>
                <w:sz w:val="1"/>
                <w:szCs w:val="1"/>
                <w:color w:val="auto"/>
              </w:rPr>
            </w:pPr>
          </w:p>
        </w:tc>
      </w:tr>
      <w:tr>
        <w:trPr>
          <w:trHeight w:val="203"/>
        </w:trPr>
        <w:tc>
          <w:tcPr>
            <w:tcW w:w="7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Options outstanding at December 31, 2024</w:t>
            </w:r>
          </w:p>
        </w:tc>
        <w:tc>
          <w:tcPr>
            <w:tcW w:w="9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0" w:type="dxa"/>
            <w:vAlign w:val="bottom"/>
          </w:tcPr>
          <w:p>
            <w:pPr>
              <w:spacing w:after="0"/>
              <w:rPr>
                <w:sz w:val="1"/>
                <w:szCs w:val="1"/>
                <w:color w:val="auto"/>
              </w:rPr>
            </w:pPr>
          </w:p>
        </w:tc>
      </w:tr>
      <w:tr>
        <w:trPr>
          <w:trHeight w:val="201"/>
        </w:trPr>
        <w:tc>
          <w:tcPr>
            <w:tcW w:w="730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7,540,109</w:t>
            </w:r>
          </w:p>
        </w:tc>
        <w:tc>
          <w:tcPr>
            <w:tcW w:w="1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31.47</w:t>
            </w:r>
          </w:p>
        </w:tc>
        <w:tc>
          <w:tcPr>
            <w:tcW w:w="20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30"/>
        </w:trPr>
        <w:tc>
          <w:tcPr>
            <w:tcW w:w="7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Granted . . . . . . . . . . . . . . . . . . . . . . . . . . . . . . . . . . . .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2,154,350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5"/>
              </w:rPr>
              <w:t>Exercised . . . . . . . . . . . . . . . . . . . . . . . . . . . . . . . . . . .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(153,328)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Canceled . . . . . . . . . . . . . . . . . . . . . . . . . . . . . . . . . . . . . . . . . . . . . . . . . . . . . . . . . . . . . . . .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(406,853)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89.06</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.OptionsoutstandingatDecember31,2025</w:t>
            </w:r>
          </w:p>
        </w:tc>
        <w:tc>
          <w:tcPr>
            <w:tcW w:w="9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9,134,278</w:t>
            </w:r>
          </w:p>
        </w:tc>
        <w:tc>
          <w:tcPr>
            <w:tcW w:w="3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26.49</w:t>
            </w:r>
          </w:p>
        </w:tc>
        <w:tc>
          <w:tcPr>
            <w:tcW w:w="13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12"/>
        </w:trPr>
        <w:tc>
          <w:tcPr>
            <w:tcW w:w="7300" w:type="dxa"/>
            <w:vAlign w:val="bottom"/>
          </w:tcPr>
          <w:p>
            <w:pPr>
              <w:jc w:val="right"/>
              <w:ind w:right="200"/>
              <w:spacing w:after="0" w:line="212" w:lineRule="exact"/>
              <w:rPr>
                <w:sz w:val="20"/>
                <w:szCs w:val="20"/>
                <w:color w:val="auto"/>
              </w:rPr>
            </w:pPr>
            <w:r>
              <w:rPr>
                <w:rFonts w:ascii="Times New Roman" w:cs="Times New Roman" w:eastAsia="Times New Roman" w:hAnsi="Times New Roman"/>
                <w:sz w:val="20"/>
                <w:szCs w:val="20"/>
                <w:color w:val="auto"/>
              </w:rPr>
              <w:t>. . . . . . . . . . . . . . . . . . . . . . . .OptionsvestedandexpectedtovestatDecember31,2025</w:t>
            </w:r>
          </w:p>
        </w:tc>
        <w:tc>
          <w:tcPr>
            <w:tcW w:w="9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9,003,451</w:t>
            </w:r>
          </w:p>
        </w:tc>
        <w:tc>
          <w:tcPr>
            <w:tcW w:w="32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26.50</w:t>
            </w:r>
          </w:p>
        </w:tc>
        <w:tc>
          <w:tcPr>
            <w:tcW w:w="132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7.1</w:t>
            </w:r>
          </w:p>
        </w:tc>
        <w:tc>
          <w:tcPr>
            <w:tcW w:w="0" w:type="dxa"/>
            <w:vAlign w:val="bottom"/>
          </w:tcPr>
          <w:p>
            <w:pPr>
              <w:spacing w:after="0"/>
              <w:rPr>
                <w:sz w:val="1"/>
                <w:szCs w:val="1"/>
                <w:color w:val="auto"/>
              </w:rPr>
            </w:pPr>
          </w:p>
        </w:tc>
      </w:tr>
      <w:tr>
        <w:trPr>
          <w:trHeight w:val="229"/>
        </w:trPr>
        <w:tc>
          <w:tcPr>
            <w:tcW w:w="7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Options exercisable at December 31, 2025 . . . . . . . .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5,284,496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grant under the Celldex Therapeutics, Inc. 2021 Omnibus Equity</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73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Incentive Plan (as amended, effective as of June 5, 2025) at December 31, 2025 . . . .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2,624,836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80" w:firstLine="360"/>
        <w:spacing w:after="0" w:line="252" w:lineRule="auto"/>
        <w:rPr>
          <w:sz w:val="20"/>
          <w:szCs w:val="20"/>
          <w:color w:val="auto"/>
        </w:rPr>
      </w:pPr>
      <w:r>
        <w:rPr>
          <w:rFonts w:ascii="Times New Roman" w:cs="Times New Roman" w:eastAsia="Times New Roman" w:hAnsi="Times New Roman"/>
          <w:sz w:val="20"/>
          <w:szCs w:val="20"/>
          <w:color w:val="auto"/>
        </w:rPr>
        <w:t>The total intrinsic value of stock options exercised during the years ended December 31, 2025, 2024 and 2023 was $1.6 million, $17.2 million and $2.7 million, respectively. The weighted average grant-date fair value of stock options granted during the years ended December 31, 2025, 2024 and 2023 was $13.72, $26.21 and $28.15, respectively. The total fair value of stock options vested during the years ended December 31, 2025, 2024 and 2023 was $39.5 million, $32.4 million and $20.4 million, respectively.</w:t>
      </w: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800"/>
          </w:cols>
          <w:pgMar w:left="540" w:top="1347" w:right="540" w:bottom="0" w:gutter="0" w:footer="0" w:header="0"/>
          <w:type w:val="continuous"/>
        </w:sectPr>
      </w:pPr>
    </w:p>
    <w:bookmarkStart w:id="177" w:name="page178"/>
    <w:bookmarkEnd w:id="177"/>
    <w:p>
      <w:pPr>
        <w:ind w:right="60" w:firstLine="360"/>
        <w:spacing w:after="0" w:line="249" w:lineRule="auto"/>
        <w:rPr>
          <w:sz w:val="20"/>
          <w:szCs w:val="20"/>
          <w:color w:val="auto"/>
        </w:rPr>
      </w:pPr>
      <w:r>
        <w:rPr>
          <w:rFonts w:ascii="Times New Roman" w:cs="Times New Roman" w:eastAsia="Times New Roman" w:hAnsi="Times New Roman"/>
          <w:sz w:val="20"/>
          <w:szCs w:val="20"/>
          <w:color w:val="auto"/>
        </w:rPr>
        <w:t>The aggregate intrinsic value of stock options outstanding at December 31, 2025 was $42.6 million. The aggregate intrinsic value of stock options vested and expected to vest at December 31, 2025 was $42.0 million. The aggregate intrinsic value of stock options exercisable at December 31, 2025 was $26.4 million. As of December 31, 2025, total compensation cost related to non-vested employee and non-employee director stock options not yet recognized was approximately $ 65.3 million, net of estimated forfeitures, which is expected to be recognized as expense over a weighted average period of 2.6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and Expenses Information</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Stock-based compensation expense for the years ended December 31, 2025, 2024 and 2023 was recorded as follows:</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4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54"/>
        </w:trPr>
        <w:tc>
          <w:tcPr>
            <w:tcW w:w="4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8"/>
              <w:spacing w:after="0" w:line="154"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0"/>
        </w:trPr>
        <w:tc>
          <w:tcPr>
            <w:tcW w:w="46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Research and development . . . . . . . . . . . . . . . . . . . . .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17,442</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11,948</w:t>
            </w:r>
          </w:p>
        </w:tc>
      </w:tr>
      <w:tr>
        <w:trPr>
          <w:trHeight w:val="250"/>
        </w:trPr>
        <w:tc>
          <w:tcPr>
            <w:tcW w:w="46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General and administrative . . . . . . . . . . . . . . . . . . . . . .</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17,199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11,942</w:t>
            </w:r>
          </w:p>
        </w:tc>
      </w:tr>
      <w:tr>
        <w:trPr>
          <w:trHeight w:val="230"/>
        </w:trPr>
        <w:tc>
          <w:tcPr>
            <w:tcW w:w="462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.Totalstock-basedcompensationexpense</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36,217</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34,242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23,890</w:t>
            </w:r>
          </w:p>
        </w:tc>
      </w:tr>
    </w:tbl>
    <w:p>
      <w:pPr>
        <w:spacing w:after="0" w:line="210"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20"/>
          <w:szCs w:val="20"/>
          <w:color w:val="auto"/>
        </w:rPr>
        <w:t>The fair values of employee and director stock options granted during the years ended December 31, 2025, 2024 and 2023 were valued using the Black-Scholes option pricing model with the following assumptions:</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4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stock price volatility . . . . . . . . . . . . . . . . . . .</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3"/>
        </w:trPr>
        <w:tc>
          <w:tcPr>
            <w:tcW w:w="4640" w:type="dxa"/>
            <w:vAlign w:val="bottom"/>
            <w:vMerge w:val="continue"/>
          </w:tcPr>
          <w:p>
            <w:pPr>
              <w:spacing w:after="0"/>
              <w:rPr>
                <w:sz w:val="19"/>
                <w:szCs w:val="19"/>
                <w:color w:val="auto"/>
              </w:rPr>
            </w:pPr>
          </w:p>
        </w:tc>
        <w:tc>
          <w:tcPr>
            <w:tcW w:w="1200" w:type="dxa"/>
            <w:vAlign w:val="bottom"/>
          </w:tcPr>
          <w:p>
            <w:pPr>
              <w:jc w:val="center"/>
              <w:spacing w:after="0" w:line="223" w:lineRule="exact"/>
              <w:rPr>
                <w:sz w:val="20"/>
                <w:szCs w:val="20"/>
                <w:color w:val="auto"/>
              </w:rPr>
            </w:pPr>
            <w:r>
              <w:rPr>
                <w:rFonts w:ascii="Times New Roman" w:cs="Times New Roman" w:eastAsia="Times New Roman" w:hAnsi="Times New Roman"/>
                <w:sz w:val="22"/>
                <w:szCs w:val="22"/>
                <w:color w:val="auto"/>
                <w:w w:val="99"/>
              </w:rPr>
              <w:t>76 – 81%</w:t>
            </w:r>
          </w:p>
        </w:tc>
        <w:tc>
          <w:tcPr>
            <w:tcW w:w="1400" w:type="dxa"/>
            <w:vAlign w:val="bottom"/>
            <w:gridSpan w:val="2"/>
          </w:tcPr>
          <w:p>
            <w:pPr>
              <w:jc w:val="center"/>
              <w:ind w:left="100"/>
              <w:spacing w:after="0" w:line="224" w:lineRule="exact"/>
              <w:rPr>
                <w:sz w:val="20"/>
                <w:szCs w:val="20"/>
                <w:color w:val="auto"/>
              </w:rPr>
            </w:pPr>
            <w:r>
              <w:rPr>
                <w:rFonts w:ascii="Times New Roman" w:cs="Times New Roman" w:eastAsia="Times New Roman" w:hAnsi="Times New Roman"/>
                <w:sz w:val="20"/>
                <w:szCs w:val="20"/>
                <w:color w:val="auto"/>
                <w:w w:val="99"/>
              </w:rPr>
              <w:t>82 -93%</w:t>
            </w:r>
          </w:p>
        </w:tc>
        <w:tc>
          <w:tcPr>
            <w:tcW w:w="1400" w:type="dxa"/>
            <w:vAlign w:val="bottom"/>
            <w:gridSpan w:val="2"/>
          </w:tcPr>
          <w:p>
            <w:pPr>
              <w:jc w:val="center"/>
              <w:ind w:left="100"/>
              <w:spacing w:after="0" w:line="224" w:lineRule="exact"/>
              <w:rPr>
                <w:sz w:val="20"/>
                <w:szCs w:val="20"/>
                <w:color w:val="auto"/>
              </w:rPr>
            </w:pPr>
            <w:r>
              <w:rPr>
                <w:rFonts w:ascii="Times New Roman" w:cs="Times New Roman" w:eastAsia="Times New Roman" w:hAnsi="Times New Roman"/>
                <w:sz w:val="20"/>
                <w:szCs w:val="20"/>
                <w:color w:val="auto"/>
                <w:w w:val="98"/>
              </w:rPr>
              <w:t>92%</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Expected option term . . . . . . . . . . . . . . . . . . . . . . . . . . .</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 Years</w:t>
            </w:r>
          </w:p>
        </w:tc>
        <w:tc>
          <w:tcPr>
            <w:tcW w:w="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 Years</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6.0 Years</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3.8 – 4.7%</w:t>
            </w:r>
          </w:p>
        </w:tc>
        <w:tc>
          <w:tcPr>
            <w:tcW w:w="14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3.5 - 4.5%</w:t>
            </w:r>
          </w:p>
        </w:tc>
        <w:tc>
          <w:tcPr>
            <w:tcW w:w="140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rPr>
              <w:t>3.5 - 4.7%</w:t>
            </w:r>
          </w:p>
        </w:tc>
        <w:tc>
          <w:tcPr>
            <w:tcW w:w="0" w:type="dxa"/>
            <w:vAlign w:val="bottom"/>
          </w:tcPr>
          <w:p>
            <w:pPr>
              <w:spacing w:after="0"/>
              <w:rPr>
                <w:sz w:val="1"/>
                <w:szCs w:val="1"/>
                <w:color w:val="auto"/>
              </w:rPr>
            </w:pPr>
          </w:p>
        </w:tc>
      </w:tr>
      <w:tr>
        <w:trPr>
          <w:trHeight w:val="267"/>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w:t>
            </w:r>
          </w:p>
        </w:tc>
        <w:tc>
          <w:tcPr>
            <w:tcW w:w="2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w:t>
            </w:r>
          </w:p>
        </w:tc>
        <w:tc>
          <w:tcPr>
            <w:tcW w:w="22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and Grants Revenue</w:t>
      </w:r>
    </w:p>
    <w:p>
      <w:pPr>
        <w:spacing w:after="0" w:line="237"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Company has entered into agreements with Rockefeller University (“Rockefeller”) pursuant to which the Company performs manufacturing and research and development services on a time-and-materials basis or at a negotiated fixed price. The Company recognized $1.4 million, $7.0 million and $6.6 million in revenue under the agreements with Rockefeller during the years ended December 31, 2025, 2024 and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Assets and Liabilities</w:t>
      </w:r>
    </w:p>
    <w:p>
      <w:pPr>
        <w:spacing w:after="0" w:line="238" w:lineRule="exact"/>
        <w:rPr>
          <w:sz w:val="20"/>
          <w:szCs w:val="20"/>
          <w:color w:val="auto"/>
        </w:rPr>
      </w:pPr>
    </w:p>
    <w:p>
      <w:pPr>
        <w:jc w:val="both"/>
        <w:ind w:right="40" w:firstLine="360"/>
        <w:spacing w:after="0" w:line="258" w:lineRule="auto"/>
        <w:rPr>
          <w:sz w:val="20"/>
          <w:szCs w:val="20"/>
          <w:color w:val="auto"/>
        </w:rPr>
      </w:pPr>
      <w:r>
        <w:rPr>
          <w:rFonts w:ascii="Times New Roman" w:cs="Times New Roman" w:eastAsia="Times New Roman" w:hAnsi="Times New Roman"/>
          <w:sz w:val="20"/>
          <w:szCs w:val="20"/>
          <w:color w:val="auto"/>
        </w:rPr>
        <w:t>At December 31, 2025 and 2024, the Company’s rights to consideration under all contracts were considered unconditional, and as such, no contract assets were recorded. Accordingly, amounts billed but not yet paid by customers were recorded as trade receivables at December 31, 2025 and 2024.</w:t>
      </w:r>
    </w:p>
    <w:p>
      <w:pPr>
        <w:spacing w:after="0" w:line="18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At December 31, 2025, the Company had $1.8 million in contract liabilities recorded, representing consideration billed in advance of performing manufacturing and research and development services. The Company expects to recognize this amount as revenue over the next 24 months as the related services are performed.</w:t>
      </w:r>
    </w:p>
    <w:p>
      <w:pPr>
        <w:spacing w:after="0" w:line="188"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20"/>
          <w:szCs w:val="20"/>
          <w:color w:val="auto"/>
        </w:rPr>
        <w:t>At December 31, 2024, the Company had no material contract liabilities recorded and revenue recognized from contract liabilities as of December 31, 2024 during the year ended December 31, 2025 was not material.</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800"/>
          </w:cols>
          <w:pgMar w:left="540" w:top="1349" w:right="540" w:bottom="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color w:val="auto"/>
        </w:rPr>
        <w:t>(15) Collaboration Agreements</w:t>
      </w:r>
    </w:p>
    <w:p>
      <w:pPr>
        <w:spacing w:after="0" w:line="243" w:lineRule="exact"/>
        <w:rPr>
          <w:sz w:val="20"/>
          <w:szCs w:val="20"/>
          <w:color w:val="auto"/>
        </w:rPr>
      </w:pPr>
    </w:p>
    <w:p>
      <w:pPr>
        <w:ind w:right="100" w:firstLine="361"/>
        <w:spacing w:after="0" w:line="247" w:lineRule="auto"/>
        <w:rPr>
          <w:sz w:val="20"/>
          <w:szCs w:val="20"/>
          <w:color w:val="auto"/>
        </w:rPr>
      </w:pPr>
      <w:r>
        <w:rPr>
          <w:rFonts w:ascii="Times New Roman" w:cs="Times New Roman" w:eastAsia="Times New Roman" w:hAnsi="Times New Roman"/>
          <w:sz w:val="20"/>
          <w:szCs w:val="20"/>
          <w:color w:val="auto"/>
        </w:rPr>
        <w:t>The Company has entered into license agreements whereby the Company has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Nonrefundable license fee expense of $0.2 million, $0.2 million and $0.3 million was recorded to research and development expense for the years ended December 31, 2025, 2024 and 2023,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Yale University (Yale)</w:t>
      </w:r>
    </w:p>
    <w:p>
      <w:pPr>
        <w:spacing w:after="0" w:line="238"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Under a license agreement with Yale, the Company may be required to make a one-time payment to Yale of $3.0 million with respect to barzolvolimab upon achievement of a specified commercial milestone. In addition, the Company may be required to pay a low single-digit royalty on annual worldwide net sales of barzolvolimab. Unless earlier terminated by us or Yale, the Yale license agreement is due to expire no later than May 2038 but may expire earlier on a country-by-country basis under specified circumstances.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Income Taxes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components of income tax benefit (provision) are as follows:</w:t>
      </w:r>
    </w:p>
    <w:p>
      <w:pPr>
        <w:spacing w:after="0" w:line="263"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vMerge w:val="restart"/>
          </w:tcPr>
          <w:p>
            <w:pPr>
              <w:jc w:val="right"/>
              <w:ind w:right="2680"/>
              <w:spacing w:after="0"/>
              <w:rPr>
                <w:sz w:val="20"/>
                <w:szCs w:val="20"/>
                <w:color w:val="auto"/>
              </w:rPr>
            </w:pPr>
            <w:r>
              <w:rPr>
                <w:rFonts w:ascii="Times New Roman" w:cs="Times New Roman" w:eastAsia="Times New Roman" w:hAnsi="Times New Roman"/>
                <w:sz w:val="20"/>
                <w:szCs w:val="20"/>
                <w:color w:val="auto"/>
                <w:w w:val="99"/>
              </w:rPr>
              <w:t>Income tax benefit (provision):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Federal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48,972</w:t>
            </w:r>
          </w:p>
        </w:tc>
        <w:tc>
          <w:tcPr>
            <w:tcW w:w="20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39,821</w:t>
            </w:r>
          </w:p>
        </w:tc>
        <w:tc>
          <w:tcPr>
            <w:tcW w:w="200" w:type="dxa"/>
            <w:vAlign w:val="bottom"/>
          </w:tcPr>
          <w:p>
            <w:pPr>
              <w:spacing w:after="0"/>
              <w:rPr>
                <w:sz w:val="19"/>
                <w:szCs w:val="19"/>
                <w:color w:val="auto"/>
              </w:rPr>
            </w:pP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State . . . . . . . . . . . . . . . . . . . . . . . . . . . . . . . . . . . . . . . . . . . . .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Expiration of NOLs and R&amp;D credit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(82,825)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(15,141)</w:t>
            </w:r>
          </w:p>
        </w:tc>
        <w:tc>
          <w:tcPr>
            <w:tcW w:w="0" w:type="dxa"/>
            <w:vAlign w:val="bottom"/>
          </w:tcPr>
          <w:p>
            <w:pPr>
              <w:spacing w:after="0"/>
              <w:rPr>
                <w:sz w:val="1"/>
                <w:szCs w:val="1"/>
                <w:color w:val="auto"/>
              </w:rPr>
            </w:pPr>
          </w:p>
        </w:tc>
      </w:tr>
      <w:tr>
        <w:trPr>
          <w:trHeight w:val="201"/>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54,749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(27,629)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34,617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Deferred tax valuation allowance . . . . . . . . . . . . . . . . . . . . . . . .</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(54,749)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(34,617)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0" w:firstLine="360"/>
        <w:spacing w:after="0" w:line="278" w:lineRule="auto"/>
        <w:rPr>
          <w:sz w:val="20"/>
          <w:szCs w:val="20"/>
          <w:color w:val="auto"/>
        </w:rPr>
      </w:pPr>
      <w:r>
        <w:rPr>
          <w:rFonts w:ascii="Times New Roman" w:cs="Times New Roman" w:eastAsia="Times New Roman" w:hAnsi="Times New Roman"/>
          <w:sz w:val="20"/>
          <w:szCs w:val="20"/>
          <w:color w:val="auto"/>
        </w:rPr>
        <w:t>The Company did not recognize any income tax expense for the years ended December 31, 2025, 2024, and 2023 as the Company was subject to a valuation allowance. The Company did not make any income tax payments in 2025, 2024, and 2023.</w:t>
      </w:r>
    </w:p>
    <w:p>
      <w:pPr>
        <w:spacing w:after="0" w:line="167" w:lineRule="exact"/>
        <w:rPr>
          <w:sz w:val="20"/>
          <w:szCs w:val="20"/>
          <w:color w:val="auto"/>
        </w:rPr>
      </w:pPr>
    </w:p>
    <w:p>
      <w:pPr>
        <w:ind w:right="340" w:firstLine="360"/>
        <w:spacing w:after="0" w:line="259" w:lineRule="auto"/>
        <w:rPr>
          <w:sz w:val="20"/>
          <w:szCs w:val="20"/>
          <w:color w:val="auto"/>
        </w:rPr>
      </w:pPr>
      <w:r>
        <w:rPr>
          <w:rFonts w:ascii="Times New Roman" w:cs="Times New Roman" w:eastAsia="Times New Roman" w:hAnsi="Times New Roman"/>
          <w:sz w:val="20"/>
          <w:szCs w:val="20"/>
          <w:color w:val="auto"/>
        </w:rPr>
        <w:t xml:space="preserve">The Company adopted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prospectively in 2025. A reconciliation between the amount of reported income tax and the amount computed using the U.S. statutory rate for 2025 under ASU 2023-09 is as follows:</w:t>
      </w:r>
    </w:p>
    <w:p>
      <w:pPr>
        <w:spacing w:after="0" w:line="199" w:lineRule="exact"/>
        <w:rPr>
          <w:sz w:val="20"/>
          <w:szCs w:val="20"/>
          <w:color w:val="auto"/>
        </w:rPr>
      </w:pPr>
    </w:p>
    <w:tbl>
      <w:tblPr>
        <w:tblLayout w:type="fixed"/>
        <w:tblInd w:w="1080" w:type="dxa"/>
        <w:tblCellMar>
          <w:top w:w="0" w:type="dxa"/>
          <w:left w:w="0" w:type="dxa"/>
          <w:bottom w:w="0" w:type="dxa"/>
          <w:right w:w="0" w:type="dxa"/>
        </w:tblCellMar>
      </w:tblPr>
      <w:tr>
        <w:trPr>
          <w:trHeight w:val="204"/>
        </w:trPr>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54"/>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tcPr>
          <w:p>
            <w:pPr>
              <w:spacing w:after="0" w:line="15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59"/>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Pre-tax loss . . . . . . . . . . . . . . . . . . . . . . . . . . . . . . . . . . . . . . . . . . . . . . . . . . .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(258,757)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11"/>
        </w:trPr>
        <w:tc>
          <w:tcPr>
            <w:tcW w:w="6340" w:type="dxa"/>
            <w:vAlign w:val="bottom"/>
          </w:tcPr>
          <w:p>
            <w:pPr>
              <w:jc w:val="right"/>
              <w:ind w:right="220"/>
              <w:spacing w:after="0" w:line="211" w:lineRule="exact"/>
              <w:rPr>
                <w:sz w:val="20"/>
                <w:szCs w:val="20"/>
                <w:color w:val="auto"/>
              </w:rPr>
            </w:pPr>
            <w:r>
              <w:rPr>
                <w:rFonts w:ascii="Times New Roman" w:cs="Times New Roman" w:eastAsia="Times New Roman" w:hAnsi="Times New Roman"/>
                <w:sz w:val="20"/>
                <w:szCs w:val="20"/>
                <w:color w:val="auto"/>
                <w:w w:val="99"/>
              </w:rPr>
              <w:t>. . . . . . . . . . . . . . . . . . . . . . . . . . . . . . . . . . . . . . . . . . . . .Lossatstatutoryrates</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(54,339)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21.0</w:t>
            </w:r>
          </w:p>
        </w:tc>
        <w:tc>
          <w:tcPr>
            <w:tcW w:w="1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w w:val="95"/>
              </w:rPr>
              <w:t>%</w:t>
            </w:r>
          </w:p>
        </w:tc>
      </w:tr>
      <w:tr>
        <w:trPr>
          <w:trHeight w:val="230"/>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Research and development credits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(11,809)</w:t>
            </w: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4.6 %</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State taxes and change in valuation allowance, net of Federal Income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Tax Effect.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0.0 %</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Stock Compensation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230"/>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Other Adjustments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50"/>
        </w:trPr>
        <w:tc>
          <w:tcPr>
            <w:tcW w:w="63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Change in valuation allowance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48,972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230"/>
        </w:trPr>
        <w:tc>
          <w:tcPr>
            <w:tcW w:w="6340" w:type="dxa"/>
            <w:vAlign w:val="bottom"/>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.Incometax(benefit)provision</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line="221"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0.0</w:t>
            </w:r>
          </w:p>
        </w:tc>
        <w:tc>
          <w:tcPr>
            <w:tcW w:w="1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95"/>
              </w:rPr>
              <w:t>%</w:t>
            </w: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800"/>
          </w:cols>
          <w:pgMar w:left="540" w:top="1347" w:right="540" w:bottom="0" w:gutter="0" w:footer="0" w:header="0"/>
          <w:type w:val="continuous"/>
        </w:sectPr>
      </w:pPr>
    </w:p>
    <w:bookmarkStart w:id="179" w:name="page180"/>
    <w:bookmarkEnd w:id="179"/>
    <w:p>
      <w:pPr>
        <w:ind w:right="120" w:firstLine="360"/>
        <w:spacing w:after="0" w:line="278" w:lineRule="auto"/>
        <w:rPr>
          <w:sz w:val="20"/>
          <w:szCs w:val="20"/>
          <w:color w:val="auto"/>
        </w:rPr>
      </w:pPr>
      <w:r>
        <w:rPr>
          <w:rFonts w:ascii="Times New Roman" w:cs="Times New Roman" w:eastAsia="Times New Roman" w:hAnsi="Times New Roman"/>
          <w:sz w:val="20"/>
          <w:szCs w:val="20"/>
          <w:color w:val="auto"/>
        </w:rPr>
        <w:t>A reconciliation between the amount of reported income tax and the amount computed using the U.S. statutory rate for 2024 and 2023 is as follows:</w:t>
      </w:r>
    </w:p>
    <w:p>
      <w:pPr>
        <w:spacing w:after="0" w:line="181"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r>
      <w:tr>
        <w:trPr>
          <w:trHeight w:val="154"/>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84"/>
              <w:spacing w:after="0" w:line="154" w:lineRule="exact"/>
              <w:rPr>
                <w:sz w:val="20"/>
                <w:szCs w:val="20"/>
                <w:color w:val="auto"/>
              </w:rPr>
            </w:pPr>
            <w:r>
              <w:rPr>
                <w:rFonts w:ascii="Times New Roman" w:cs="Times New Roman" w:eastAsia="Times New Roman" w:hAnsi="Times New Roman"/>
                <w:sz w:val="16"/>
                <w:szCs w:val="16"/>
                <w:b w:val="1"/>
                <w:bCs w:val="1"/>
                <w:color w:val="auto"/>
              </w:rPr>
              <w:t>(In</w:t>
            </w:r>
          </w:p>
        </w:tc>
        <w:tc>
          <w:tcPr>
            <w:tcW w:w="600" w:type="dxa"/>
            <w:vAlign w:val="bottom"/>
            <w:gridSpan w:val="4"/>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w w:val="77"/>
              </w:rPr>
              <w:t>thousands)</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Pre-tax loss . . . . . . . . . . . . . . . . . . . . . . . . . . . . . . . . . . . . . . . . . . . . . . . . . .</w:t>
            </w:r>
          </w:p>
        </w:tc>
        <w:tc>
          <w:tcPr>
            <w:tcW w:w="260" w:type="dxa"/>
            <w:vAlign w:val="bottom"/>
            <w:gridSpan w:val="2"/>
          </w:tcPr>
          <w:p>
            <w:pPr>
              <w:jc w:val="right"/>
              <w:ind w:right="75"/>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(157,863)</w:t>
            </w:r>
          </w:p>
        </w:tc>
        <w:tc>
          <w:tcPr>
            <w:tcW w:w="180" w:type="dxa"/>
            <w:vAlign w:val="bottom"/>
          </w:tcPr>
          <w:p>
            <w:pPr>
              <w:spacing w:after="0"/>
              <w:rPr>
                <w:sz w:val="23"/>
                <w:szCs w:val="23"/>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(141,429)</w:t>
            </w:r>
          </w:p>
        </w:tc>
        <w:tc>
          <w:tcPr>
            <w:tcW w:w="20" w:type="dxa"/>
            <w:vAlign w:val="bottom"/>
          </w:tcPr>
          <w:p>
            <w:pPr>
              <w:spacing w:after="0"/>
              <w:rPr>
                <w:sz w:val="23"/>
                <w:szCs w:val="23"/>
                <w:color w:val="auto"/>
              </w:rPr>
            </w:pPr>
          </w:p>
        </w:tc>
      </w:tr>
      <w:tr>
        <w:trPr>
          <w:trHeight w:val="201"/>
        </w:trPr>
        <w:tc>
          <w:tcPr>
            <w:tcW w:w="6040" w:type="dxa"/>
            <w:vAlign w:val="bottom"/>
          </w:tcPr>
          <w:p>
            <w:pPr>
              <w:jc w:val="right"/>
              <w:ind w:right="200"/>
              <w:spacing w:after="0" w:line="201" w:lineRule="exact"/>
              <w:rPr>
                <w:sz w:val="20"/>
                <w:szCs w:val="20"/>
                <w:color w:val="auto"/>
              </w:rPr>
            </w:pPr>
            <w:r>
              <w:rPr>
                <w:rFonts w:ascii="Times New Roman" w:cs="Times New Roman" w:eastAsia="Times New Roman" w:hAnsi="Times New Roman"/>
                <w:sz w:val="20"/>
                <w:szCs w:val="20"/>
                <w:color w:val="auto"/>
                <w:w w:val="99"/>
              </w:rPr>
              <w:t>. . . . . . . . . . . . . . . . . . . . . . . . . . . . . . . . . . . . . . . . . .Lossatstatutoryrates</w:t>
            </w: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(33,151)</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(29,700)</w:t>
            </w:r>
          </w:p>
        </w:tc>
        <w:tc>
          <w:tcPr>
            <w:tcW w:w="20" w:type="dxa"/>
            <w:vAlign w:val="bottom"/>
          </w:tcPr>
          <w:p>
            <w:pPr>
              <w:spacing w:after="0"/>
              <w:rPr>
                <w:sz w:val="17"/>
                <w:szCs w:val="17"/>
                <w:color w:val="auto"/>
              </w:rPr>
            </w:pPr>
          </w:p>
        </w:tc>
      </w:tr>
      <w:tr>
        <w:trPr>
          <w:trHeight w:val="229"/>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Research and development credits . . . . . . . . . . . . . . . . . . . . . . . . . . . . . .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(7,332)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(5,237)</w:t>
            </w:r>
          </w:p>
        </w:tc>
      </w:tr>
      <w:tr>
        <w:trPr>
          <w:trHeight w:val="23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5"/>
              </w:rPr>
              <w:t>State taxes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(15,375)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(13,691)</w:t>
            </w:r>
          </w:p>
        </w:tc>
      </w:tr>
      <w:tr>
        <w:trPr>
          <w:trHeight w:val="23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20" w:type="dxa"/>
            <w:vAlign w:val="bottom"/>
          </w:tcPr>
          <w:p>
            <w:pPr>
              <w:spacing w:after="0"/>
              <w:rPr>
                <w:sz w:val="20"/>
                <w:szCs w:val="20"/>
                <w:color w:val="auto"/>
              </w:rPr>
            </w:pPr>
          </w:p>
        </w:tc>
      </w:tr>
      <w:tr>
        <w:trPr>
          <w:trHeight w:val="229"/>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Expiration of Federal and State NOLs and R&amp;D credits . . . . . . . . . . . .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82,825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15,141</w:t>
            </w:r>
          </w:p>
        </w:tc>
        <w:tc>
          <w:tcPr>
            <w:tcW w:w="20" w:type="dxa"/>
            <w:vAlign w:val="bottom"/>
          </w:tcPr>
          <w:p>
            <w:pPr>
              <w:spacing w:after="0"/>
              <w:rPr>
                <w:sz w:val="19"/>
                <w:szCs w:val="19"/>
                <w:color w:val="auto"/>
              </w:rPr>
            </w:pPr>
          </w:p>
        </w:tc>
      </w:tr>
      <w:tr>
        <w:trPr>
          <w:trHeight w:val="25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Change in valuation allowance . . . . . . . . . . . . . . . . . . . . . . . . . . . . . . . . .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(27,629)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34,617</w:t>
            </w:r>
          </w:p>
        </w:tc>
        <w:tc>
          <w:tcPr>
            <w:tcW w:w="20" w:type="dxa"/>
            <w:vAlign w:val="bottom"/>
          </w:tcPr>
          <w:p>
            <w:pPr>
              <w:spacing w:after="0"/>
              <w:rPr>
                <w:sz w:val="21"/>
                <w:szCs w:val="21"/>
                <w:color w:val="auto"/>
              </w:rPr>
            </w:pPr>
          </w:p>
        </w:tc>
      </w:tr>
      <w:tr>
        <w:trPr>
          <w:trHeight w:val="230"/>
        </w:trPr>
        <w:tc>
          <w:tcPr>
            <w:tcW w:w="604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.Incometax(benefit)provision</w:t>
            </w:r>
          </w:p>
        </w:tc>
        <w:tc>
          <w:tcPr>
            <w:tcW w:w="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bl>
    <w:p>
      <w:pPr>
        <w:spacing w:after="0" w:line="211"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Deferred tax assets and liabilities are recognized based on temporary differences between the financial reporting and tax basis of assets and liabilities using future expected enacted rates. The principal components of the deferred tax assets and liabilities at December 31, 2025 and 2024 are as follows:</w:t>
      </w:r>
    </w:p>
    <w:p>
      <w:pPr>
        <w:spacing w:after="0" w:line="17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3"/>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gridSpan w:val="5"/>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w w:val="77"/>
              </w:rPr>
              <w:t>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Net operating loss carryforwards . . . . . . . . . . . . . . . . . . . . . . . . . . . . . .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245,763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Tax credit carryforwards . . . . . . . . . . . . . . . . . . . . . . . . . . . . . . . . . . . . .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Deferred research and development expenses . . . . . . . . . . . . . . . . . . . .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Stock-based compensation . . . . . . . . . . . . . . . . . . . . . . . . . . . . . . . . . . .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Fixed assets . . . . . . . . . . . . . . . . . . . . . . . . . . . . . . . . . . . . . . . . . . . . . . .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Accrued expenses and other . . . . . . . . . . . . . . . . . . . . . . . . . . . . . . . . . . .</w:t>
            </w: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380,402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6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IPR&amp;D intangibles . . . . . . . . . . . . . . . . . . . . . . . . . . . . . . . . . . . . . . . . .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(6,840)</w:t>
            </w:r>
          </w:p>
        </w:tc>
        <w:tc>
          <w:tcPr>
            <w:tcW w:w="0" w:type="dxa"/>
            <w:vAlign w:val="bottom"/>
          </w:tcPr>
          <w:p>
            <w:pPr>
              <w:spacing w:after="0"/>
              <w:rPr>
                <w:sz w:val="1"/>
                <w:szCs w:val="1"/>
                <w:color w:val="auto"/>
              </w:rPr>
            </w:pPr>
          </w:p>
        </w:tc>
      </w:tr>
      <w:tr>
        <w:trPr>
          <w:trHeight w:val="250"/>
        </w:trPr>
        <w:tc>
          <w:tcPr>
            <w:tcW w:w="6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Other . . . . . . . . . . . . . . . . . . . . . . . . . . . . . . . . . . . . . . . . . . . . . . . . . . . . .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04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.Totaldeferredtaxassetsandliabilities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372,892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318,143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40" w:type="dxa"/>
            <w:vAlign w:val="bottom"/>
          </w:tcPr>
          <w:p>
            <w:pPr>
              <w:jc w:val="right"/>
              <w:ind w:right="2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 . . . . .Valuationallowance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(374,505)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(319,756)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jc w:val="right"/>
              <w:ind w:right="200"/>
              <w:spacing w:after="0" w:line="221" w:lineRule="exact"/>
              <w:rPr>
                <w:sz w:val="20"/>
                <w:szCs w:val="20"/>
                <w:color w:val="auto"/>
              </w:rPr>
            </w:pPr>
            <w:r>
              <w:rPr>
                <w:rFonts w:ascii="Times New Roman" w:cs="Times New Roman" w:eastAsia="Times New Roman" w:hAnsi="Times New Roman"/>
                <w:sz w:val="20"/>
                <w:szCs w:val="20"/>
                <w:color w:val="auto"/>
              </w:rPr>
              <w:t>. . . . . . . . . . . . . . . . . . . . . . . . . . . . . . . . . . . . . . .Netdeferredtaxliability</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(1,613)</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and state deferred tax assets and, as such, has maintained a full valuation allowance on its deferred tax assets. The Federal valuation allowance increased $49.0 million and the State valuation allowance increased $5.7 million during the year ended December 31, 2025, primarily due to net operating losses and tax credit carryforwards, offset by a reduction to the capitalized research and development under the One Big Beautiful Bill Act (“OBBBA”) and a reduction to stock compensation.</w:t>
      </w:r>
    </w:p>
    <w:p>
      <w:pPr>
        <w:spacing w:after="0" w:line="159"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The net deferred tax liability of $ 1.6 million at December 31, 2025 and 2024, relates to the temporary differences associated with the IPR&amp;D intangible assets acquired in previous business combinations and are not deductible for tax purposes.</w:t>
      </w:r>
    </w:p>
    <w:p>
      <w:pPr>
        <w:spacing w:after="0" w:line="12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had federal and state net operating loss carryforwards of $842.9 million and $1.0 billion, respectively, which may be available to offset certain future income tax liabilities. Federal and state net operating loss carryforwards begin to expire in 2026. As of December 31, 2025, the Company also had federal and state research and development tax credit carryforwards of $31.6 million and $7.5 million, respectively, which may be available to offset future income tax liabilities and begin to expire in 2040 and 2029, respectively.</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780"/>
          </w:cols>
          <w:pgMar w:left="540" w:top="1349" w:right="560" w:bottom="0" w:gutter="0" w:footer="0" w:header="0"/>
          <w:type w:val="continuous"/>
        </w:sectPr>
      </w:pPr>
    </w:p>
    <w:bookmarkStart w:id="180" w:name="page181"/>
    <w:bookmarkEnd w:id="180"/>
    <w:p>
      <w:pPr>
        <w:ind w:right="60" w:firstLine="360"/>
        <w:spacing w:after="0" w:line="247" w:lineRule="auto"/>
        <w:rPr>
          <w:sz w:val="20"/>
          <w:szCs w:val="20"/>
          <w:color w:val="auto"/>
        </w:rPr>
      </w:pPr>
      <w:r>
        <w:rPr>
          <w:rFonts w:ascii="Times New Roman" w:cs="Times New Roman" w:eastAsia="Times New Roman" w:hAnsi="Times New Roman"/>
          <w:sz w:val="20"/>
          <w:szCs w:val="20"/>
          <w:color w:val="auto"/>
        </w:rPr>
        <w:t>On July 4, 2025, OBBBA was enacted in the United States. The OBBBA includes significant corporate tax reforms, including (i) the permanent reinstatement of deducting domestic research and development expenditures as incurred (under prior law such expenditures were capitalized and amortized over five years) and (ii) the option to claim 100% accelerated depreciation deductions on qualified property. The corporate tax changes included in the OBBBA did not have a material impact on our effective income tax rate during tax year ended December 31, 2025, and we do not anticipate a material impact on our effective income tax rate in future periods.</w:t>
      </w:r>
    </w:p>
    <w:p>
      <w:pPr>
        <w:spacing w:after="0" w:line="161"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Utilization of the net operating loss carryforwards and research and credit carryforwards may be subject to a substantial annual limitation under Section 382 of the Internal Revenue Code of 1986, or Section 382, due to ownership changes that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performed a study under Internal Revenue Code Section 382 as of June 30, 2024, and concluded that a change in ownership following stock issuances in 2016 and 2020 triggered Section 382 limitations and approximately $758.7 million of federal NOL carryforwards and $48.7 million of federal tax credit carryforwards that were generated through June 30, 2020 will expire unutilized due to Section 382 and 383 limitations. The Company also estimated the amounts of State net operating loss and research and development tax credit carryforwards which will expire unutilized as a result of its annual limitations under Section 382. The Company has excluded these Federal and State tax attributes from the carryforward amounts disclosed above and in the deferred tax assets and liabilities table included in this footnote.</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and 2024, the Company did not have any unrecognized tax benefits.</w:t>
      </w:r>
    </w:p>
    <w:p>
      <w:pPr>
        <w:spacing w:after="0" w:line="200" w:lineRule="exact"/>
        <w:rPr>
          <w:sz w:val="20"/>
          <w:szCs w:val="20"/>
          <w:color w:val="auto"/>
        </w:rPr>
      </w:pPr>
    </w:p>
    <w:p>
      <w:pPr>
        <w:ind w:right="260" w:firstLine="361"/>
        <w:spacing w:after="0" w:line="252" w:lineRule="auto"/>
        <w:rPr>
          <w:sz w:val="20"/>
          <w:szCs w:val="20"/>
          <w:color w:val="auto"/>
        </w:rPr>
      </w:pPr>
      <w:r>
        <w:rPr>
          <w:rFonts w:ascii="Times New Roman" w:cs="Times New Roman" w:eastAsia="Times New Roman" w:hAnsi="Times New Roman"/>
          <w:sz w:val="20"/>
          <w:szCs w:val="20"/>
          <w:color w:val="auto"/>
        </w:rPr>
        <w:t>Massachusetts, New Jersey, New York and Connecticut are the jurisdictions in which the Company primarily operates or has operated and has income tax nexus. The Company is not currently under examination by these or any other jurisdictions for any tax year. Generally, in U.S. federal and state taxing jurisdictions, all years which generated net operating losses and/or tax credit carryforwards remain subject to examination to the extent those carryforwards are utilized in a subsequent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Retirement Savings Plan</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maintains a 401(k) Plan which is available to substantially all employees. Under the terms of the 401(k) Plan,</w:t>
      </w:r>
    </w:p>
    <w:p>
      <w:pPr>
        <w:spacing w:after="0" w:line="2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participants may elect to contribute up to 60% of their compensation or the statutory prescribed limits. The Company may make 50% matching contributions on up to 4% of a participant’s annual salary. Benefit expense for the 401(k) Plan was $0.6 million, $0.5 million and $0.5 million for the years ended December 31, 2025,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Kolltan Acquisition</w:t>
      </w:r>
    </w:p>
    <w:p>
      <w:pPr>
        <w:spacing w:after="0" w:line="204" w:lineRule="exact"/>
        <w:rPr>
          <w:sz w:val="20"/>
          <w:szCs w:val="20"/>
          <w:color w:val="auto"/>
        </w:rPr>
      </w:pPr>
    </w:p>
    <w:p>
      <w:pPr>
        <w:ind w:firstLine="360"/>
        <w:spacing w:after="0" w:line="249" w:lineRule="auto"/>
        <w:rPr>
          <w:sz w:val="20"/>
          <w:szCs w:val="20"/>
          <w:color w:val="auto"/>
        </w:rPr>
      </w:pPr>
      <w:r>
        <w:rPr>
          <w:rFonts w:ascii="Times New Roman" w:cs="Times New Roman" w:eastAsia="Times New Roman" w:hAnsi="Times New Roman"/>
          <w:sz w:val="20"/>
          <w:szCs w:val="20"/>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57" w:lineRule="exact"/>
        <w:rPr>
          <w:sz w:val="20"/>
          <w:szCs w:val="20"/>
          <w:color w:val="auto"/>
        </w:rPr>
      </w:pPr>
    </w:p>
    <w:p>
      <w:pPr>
        <w:ind w:right="220" w:firstLine="360"/>
        <w:spacing w:after="0" w:line="252" w:lineRule="auto"/>
        <w:rPr>
          <w:sz w:val="20"/>
          <w:szCs w:val="20"/>
          <w:color w:val="auto"/>
        </w:rPr>
      </w:pPr>
      <w:r>
        <w:rPr>
          <w:rFonts w:ascii="Times New Roman" w:cs="Times New Roman" w:eastAsia="Times New Roman" w:hAnsi="Times New Roman"/>
          <w:sz w:val="20"/>
          <w:szCs w:val="20"/>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54"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54" w:lineRule="exact"/>
        <w:rPr>
          <w:sz w:val="20"/>
          <w:szCs w:val="20"/>
          <w:color w:val="auto"/>
        </w:rPr>
      </w:pPr>
    </w:p>
    <w:p>
      <w:pPr>
        <w:jc w:val="both"/>
        <w:ind w:right="220" w:firstLine="360"/>
        <w:spacing w:after="0" w:line="259" w:lineRule="auto"/>
        <w:rPr>
          <w:sz w:val="20"/>
          <w:szCs w:val="20"/>
          <w:color w:val="auto"/>
        </w:rPr>
      </w:pPr>
      <w:r>
        <w:rPr>
          <w:rFonts w:ascii="Times New Roman" w:cs="Times New Roman" w:eastAsia="Times New Roman" w:hAnsi="Times New Roman"/>
          <w:sz w:val="20"/>
          <w:szCs w:val="20"/>
          <w:color w:val="auto"/>
        </w:rPr>
        <w:t>On July 15, 2022, the Company entered into a definitive settlement agreement between the Company and SRS (the “Settlement Agreement”) and the Company and SRS jointly filed a Stipulation of Dismissal with prejudice relating to the Litigation on July 19, 2022.</w:t>
      </w:r>
    </w:p>
    <w:p>
      <w:pPr>
        <w:sectPr>
          <w:pgSz w:w="11880" w:h="15480" w:orient="portrait"/>
          <w:cols w:equalWidth="0" w:num="1">
            <w:col w:w="10780"/>
          </w:cols>
          <w:pgMar w:left="540" w:top="134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780"/>
          </w:cols>
          <w:pgMar w:left="540" w:top="1349" w:right="560" w:bottom="0" w:gutter="0" w:footer="0" w:header="0"/>
          <w:type w:val="continuous"/>
        </w:sectPr>
      </w:pPr>
    </w:p>
    <w:bookmarkStart w:id="181" w:name="page182"/>
    <w:bookmarkEnd w:id="181"/>
    <w:p>
      <w:pPr>
        <w:ind w:right="80" w:firstLine="360"/>
        <w:spacing w:after="0" w:line="278" w:lineRule="auto"/>
        <w:rPr>
          <w:sz w:val="20"/>
          <w:szCs w:val="20"/>
          <w:color w:val="auto"/>
        </w:rPr>
      </w:pPr>
      <w:r>
        <w:rPr>
          <w:rFonts w:ascii="Times New Roman" w:cs="Times New Roman" w:eastAsia="Times New Roman" w:hAnsi="Times New Roman"/>
          <w:sz w:val="20"/>
          <w:szCs w:val="20"/>
          <w:color w:val="auto"/>
        </w:rPr>
        <w:t>Pursuant to the terms of the Settlement Agreement, all milestone payments provided for by the Merger Agreement were replaced in their entirety with the following payments, each of which is payable only once:</w:t>
      </w:r>
    </w:p>
    <w:p>
      <w:pPr>
        <w:spacing w:after="0" w:line="129" w:lineRule="exact"/>
        <w:rPr>
          <w:sz w:val="20"/>
          <w:szCs w:val="20"/>
          <w:color w:val="auto"/>
        </w:rPr>
      </w:pPr>
    </w:p>
    <w:p>
      <w:pPr>
        <w:ind w:left="720" w:hanging="360"/>
        <w:spacing w:after="0"/>
        <w:tabs>
          <w:tab w:leader="none" w:pos="7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paid $15.0 million upon execution of the Settlement Agreement (the “Initial Payment”).</w:t>
      </w:r>
    </w:p>
    <w:p>
      <w:pPr>
        <w:spacing w:after="0" w:line="199" w:lineRule="exact"/>
        <w:rPr>
          <w:rFonts w:ascii="Times New Roman" w:cs="Times New Roman" w:eastAsia="Times New Roman" w:hAnsi="Times New Roman"/>
          <w:sz w:val="20"/>
          <w:szCs w:val="20"/>
          <w:color w:val="auto"/>
        </w:rPr>
      </w:pPr>
    </w:p>
    <w:p>
      <w:pPr>
        <w:ind w:left="720" w:right="360" w:hanging="360"/>
        <w:spacing w:after="0" w:line="278" w:lineRule="auto"/>
        <w:tabs>
          <w:tab w:leader="none" w:pos="7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paid $12.5 million upon the Successful Completion (as defined in the Settlement Agreement) of a Phase 2 Clinical Trial (as defined in the Merger Agreement) of barzolvolimab.</w:t>
      </w:r>
    </w:p>
    <w:p>
      <w:pPr>
        <w:spacing w:after="0" w:line="127" w:lineRule="exact"/>
        <w:rPr>
          <w:rFonts w:ascii="Times New Roman" w:cs="Times New Roman" w:eastAsia="Times New Roman" w:hAnsi="Times New Roman"/>
          <w:sz w:val="20"/>
          <w:szCs w:val="20"/>
          <w:color w:val="auto"/>
        </w:rPr>
      </w:pPr>
    </w:p>
    <w:p>
      <w:pPr>
        <w:ind w:left="720" w:right="40" w:hanging="360"/>
        <w:spacing w:after="0" w:line="258" w:lineRule="auto"/>
        <w:tabs>
          <w:tab w:leader="none" w:pos="7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$52.5 million upon the first United States Food and Drug Administration or European Medicines Agency, or, in each case, any successor organization, regulatory approval of a Surviving Company Product (as defined in the Settlement Agreement).</w:t>
      </w:r>
    </w:p>
    <w:p>
      <w:pPr>
        <w:spacing w:after="0" w:line="148" w:lineRule="exact"/>
        <w:rPr>
          <w:sz w:val="20"/>
          <w:szCs w:val="20"/>
          <w:color w:val="auto"/>
        </w:rPr>
      </w:pPr>
    </w:p>
    <w:p>
      <w:pPr>
        <w:ind w:right="400" w:firstLine="360"/>
        <w:spacing w:after="0" w:line="278" w:lineRule="auto"/>
        <w:rPr>
          <w:sz w:val="20"/>
          <w:szCs w:val="20"/>
          <w:color w:val="auto"/>
        </w:rPr>
      </w:pPr>
      <w:r>
        <w:rPr>
          <w:rFonts w:ascii="Times New Roman" w:cs="Times New Roman" w:eastAsia="Times New Roman" w:hAnsi="Times New Roman"/>
          <w:sz w:val="20"/>
          <w:szCs w:val="20"/>
          <w:color w:val="auto"/>
        </w:rPr>
        <w:t>The above payment obligations replace, in their entirety, the contingent consideration in the form of development, regulatory approval and sales-based milestones of up to $172.5 million contained in the Merger Agreement.</w:t>
      </w:r>
    </w:p>
    <w:p>
      <w:pPr>
        <w:spacing w:after="0" w:line="127"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46"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20"/>
          <w:szCs w:val="20"/>
          <w:color w:val="auto"/>
        </w:rPr>
        <w:t>The Company paid the Initial Payment in cash in July 2022. The Company paid the second milestone for “successful completion” of a Phase 2 Clinical Trial of barzolvolimab in cash in November 2023.</w:t>
      </w:r>
    </w:p>
    <w:p>
      <w:pPr>
        <w:spacing w:after="0" w:line="127"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4). When and if the remaining payment described above becomes due, it shall be payable, at the Company’s sole election, in either cash or stock (as set forth in the Merger Agreement) or a combination thereof.</w:t>
      </w:r>
    </w:p>
    <w:p>
      <w:pPr>
        <w:sectPr>
          <w:pgSz w:w="11880" w:h="15480" w:orient="portrait"/>
          <w:cols w:equalWidth="0" w:num="1">
            <w:col w:w="10760"/>
          </w:cols>
          <w:pgMar w:left="540" w:top="134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760"/>
          </w:cols>
          <w:pgMar w:left="540" w:top="1349" w:right="580" w:bottom="0" w:gutter="0" w:footer="0" w:header="0"/>
          <w:type w:val="continuous"/>
        </w:sectPr>
      </w:pPr>
    </w:p>
    <w:bookmarkStart w:id="182" w:name="page183"/>
    <w:bookmarkEnd w:id="182"/>
    <w:p>
      <w:pPr>
        <w:ind w:right="840"/>
        <w:spacing w:after="0" w:line="287"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238" w:lineRule="exact"/>
        <w:rPr>
          <w:sz w:val="20"/>
          <w:szCs w:val="20"/>
          <w:color w:val="auto"/>
        </w:rPr>
      </w:pPr>
    </w:p>
    <w:p>
      <w:pPr>
        <w:jc w:val="both"/>
        <w:ind w:right="60" w:firstLine="360"/>
        <w:spacing w:after="0" w:line="247" w:lineRule="auto"/>
        <w:rPr>
          <w:sz w:val="20"/>
          <w:szCs w:val="20"/>
          <w:color w:val="auto"/>
        </w:rPr>
      </w:pPr>
      <w:r>
        <w:rPr>
          <w:rFonts w:ascii="Times New Roman" w:cs="Times New Roman" w:eastAsia="Times New Roman" w:hAnsi="Times New Roman"/>
          <w:sz w:val="20"/>
          <w:szCs w:val="20"/>
          <w:color w:val="auto"/>
        </w:rPr>
        <w:t>As of December 31, 2025, our management evaluated, with the participation of our Chief Executive Officer and Chief Financial Officer, the effectiveness of our disclosure controls and procedures (as defined in Rules 13a- 15(e) and 15d-15(e) under the Securities Exchange Act of 1934, as amended (the “Exchange Act”)). Based on that evaluation, our Chief Executive Officer and Chief Financial Officer concluded that our disclosure controls and procedures were effective at the reasonable assurance level as of</w:t>
      </w:r>
    </w:p>
    <w:p>
      <w:pPr>
        <w:spacing w:after="0" w:line="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December 31, 2025.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w:t>
      </w:r>
    </w:p>
    <w:p>
      <w:pPr>
        <w:spacing w:after="0" w:line="237" w:lineRule="exact"/>
        <w:rPr>
          <w:sz w:val="20"/>
          <w:szCs w:val="20"/>
          <w:color w:val="auto"/>
        </w:rPr>
      </w:pPr>
    </w:p>
    <w:p>
      <w:pPr>
        <w:ind w:firstLine="361"/>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our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5" w:lineRule="exact"/>
        <w:rPr>
          <w:sz w:val="20"/>
          <w:szCs w:val="20"/>
          <w:color w:val="auto"/>
        </w:rPr>
      </w:pPr>
    </w:p>
    <w:p>
      <w:pPr>
        <w:ind w:left="720" w:right="140" w:hanging="360"/>
        <w:spacing w:after="0" w:line="277" w:lineRule="auto"/>
        <w:tabs>
          <w:tab w:leader="none" w:pos="7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assets;</w:t>
      </w:r>
    </w:p>
    <w:p>
      <w:pPr>
        <w:spacing w:after="0" w:line="182" w:lineRule="exact"/>
        <w:rPr>
          <w:rFonts w:ascii="Arial" w:cs="Arial" w:eastAsia="Arial" w:hAnsi="Arial"/>
          <w:sz w:val="20"/>
          <w:szCs w:val="20"/>
          <w:color w:val="auto"/>
        </w:rPr>
      </w:pPr>
    </w:p>
    <w:p>
      <w:pPr>
        <w:ind w:left="720" w:right="460" w:hanging="360"/>
        <w:spacing w:after="0" w:line="259" w:lineRule="auto"/>
        <w:tabs>
          <w:tab w:leader="none" w:pos="7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198" w:lineRule="exact"/>
        <w:rPr>
          <w:rFonts w:ascii="Arial" w:cs="Arial" w:eastAsia="Arial" w:hAnsi="Arial"/>
          <w:sz w:val="20"/>
          <w:szCs w:val="20"/>
          <w:color w:val="auto"/>
        </w:rPr>
      </w:pPr>
    </w:p>
    <w:p>
      <w:pPr>
        <w:ind w:left="720" w:right="180" w:hanging="360"/>
        <w:spacing w:after="0" w:line="277" w:lineRule="auto"/>
        <w:tabs>
          <w:tab w:leader="none" w:pos="7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provide reasonable assurance regarding the prevention or timely detection of unauthorized acquisition, use or disposition of assets that could have a material effect on our financial statements.</w:t>
      </w:r>
    </w:p>
    <w:p>
      <w:pPr>
        <w:spacing w:after="0" w:line="168" w:lineRule="exact"/>
        <w:rPr>
          <w:sz w:val="20"/>
          <w:szCs w:val="20"/>
          <w:color w:val="auto"/>
        </w:rPr>
      </w:pPr>
    </w:p>
    <w:p>
      <w:pPr>
        <w:ind w:right="80" w:firstLine="360"/>
        <w:spacing w:after="0" w:line="25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780"/>
          </w:cols>
          <w:pgMar w:left="540" w:top="134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780"/>
          </w:cols>
          <w:pgMar w:left="540" w:top="1345" w:right="560" w:bottom="0" w:gutter="0" w:footer="0" w:header="0"/>
          <w:type w:val="continuous"/>
        </w:sectPr>
      </w:pPr>
    </w:p>
    <w:bookmarkStart w:id="183" w:name="page184"/>
    <w:bookmarkEnd w:id="183"/>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Based on this evaluation, our management concluded that our internal control over financial reporting was effective as of December 31, 2025.</w:t>
      </w:r>
    </w:p>
    <w:p>
      <w:pPr>
        <w:spacing w:after="0" w:line="198" w:lineRule="exact"/>
        <w:rPr>
          <w:sz w:val="20"/>
          <w:szCs w:val="20"/>
          <w:color w:val="auto"/>
        </w:rPr>
      </w:pPr>
    </w:p>
    <w:p>
      <w:pPr>
        <w:ind w:right="480" w:firstLine="360"/>
        <w:spacing w:after="0" w:line="258"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2025, has been audited by PricewaterhouseCoopers LLP, an independent registered public accounting firm, as stated in their report which appears in Item 8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237" w:lineRule="exact"/>
        <w:rPr>
          <w:sz w:val="20"/>
          <w:szCs w:val="20"/>
          <w:color w:val="auto"/>
        </w:rPr>
      </w:pPr>
    </w:p>
    <w:p>
      <w:pPr>
        <w:ind w:right="400" w:firstLine="360"/>
        <w:spacing w:after="0" w:line="278"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three months ended December 31, 2025 that have materially affected, or are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ind w:left="720" w:hanging="360"/>
        <w:spacing w:after="0"/>
        <w:tabs>
          <w:tab w:leader="none" w:pos="72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pacing w:after="0" w:line="24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months ended December 31, 2025, no director or officer of the Company adopted or terminated a “Rule</w:t>
      </w:r>
    </w:p>
    <w:p>
      <w:pPr>
        <w:spacing w:after="0" w:line="27" w:lineRule="exact"/>
        <w:rPr>
          <w:rFonts w:ascii="Times New Roman" w:cs="Times New Roman" w:eastAsia="Times New Roman" w:hAnsi="Times New Roman"/>
          <w:sz w:val="20"/>
          <w:szCs w:val="20"/>
          <w:color w:val="auto"/>
        </w:rPr>
      </w:pPr>
    </w:p>
    <w:p>
      <w:pPr>
        <w:ind w:left="72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10b5 - 1 trading agreement” or “non - Rule 10b5 - 1 trading agreement,” as each term is defined in Item 408 (a) of Regulation S - 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134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800"/>
          </w:cols>
          <w:pgMar w:left="540" w:top="1349" w:right="540" w:bottom="0" w:gutter="0" w:footer="0" w:header="0"/>
          <w:type w:val="continuous"/>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right="220" w:firstLine="360"/>
        <w:spacing w:after="0" w:line="247"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the definitive Proxy Statement for our 2026 Annual Meeting of Stockholders, or the 2026 Proxy Statement, under “Information Regarding Our Current Directors and Executive Officers,” “Delinquent Section 16(a) Reports,” “Code of Business Conduct and Ethics,” “Insider Trading Policy” and “The Board of Directors and Its Committees” and is incorporated herein by reference. If the 2026 Proxy Statement is not filed with the SEC within 120 days after the end of our most recent fiscal year, we will provide such information by means of an amendment to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the 2026 Proxy Statement under “Executive Compensation,” and “Compensation Committee Interlocks and Insider Participation,” and is incorporated herein by reference. If the 2026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4" w:lineRule="exact"/>
        <w:rPr>
          <w:sz w:val="20"/>
          <w:szCs w:val="20"/>
          <w:color w:val="auto"/>
        </w:rPr>
      </w:pPr>
    </w:p>
    <w:p>
      <w:pPr>
        <w:jc w:val="both"/>
        <w:ind w:right="340" w:firstLine="36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the 2026 Proxy Statement under “Security Ownership of Certain Beneficial Owners and Management” and “Equity Compensation Plan Information” and is incorporated herein by reference. If the 2026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4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the 2026 Proxy Statement under “Election of Directors” and “Approval of Related Person Transactions and Transactions with Related Persons” and is incorporated herein by reference. If the 2026 Proxy Statement is not filed with the SEC within 120 days after the end of our most recent fiscal year, we will provide such information by means of an amendment to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4"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the 2026 Proxy Statement under “Independent Registered Public Accounting Firm” and is incorporated herein by reference. If the 2026 Proxy Statement is not filed with the SEC within 120 days after the end of our most recent fiscal year, we will provide such information by means of an amendment to this Annual Report on Form 10-K.</w:t>
      </w:r>
    </w:p>
    <w:p>
      <w:pPr>
        <w:sectPr>
          <w:pgSz w:w="11880" w:h="15480" w:orient="portrait"/>
          <w:cols w:equalWidth="0" w:num="1">
            <w:col w:w="10780"/>
          </w:cols>
          <w:pgMar w:left="540" w:top="134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780"/>
          </w:cols>
          <w:pgMar w:left="540" w:top="1347" w:right="560" w:bottom="0" w:gutter="0" w:footer="0" w:header="0"/>
          <w:type w:val="continuous"/>
        </w:sectPr>
      </w:pPr>
    </w:p>
    <w:bookmarkStart w:id="185" w:name="page186"/>
    <w:bookmarkEnd w:id="185"/>
    <w:p>
      <w:pPr>
        <w:ind w:left="50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84" w:lineRule="exact"/>
        <w:rPr>
          <w:sz w:val="20"/>
          <w:szCs w:val="20"/>
          <w:color w:val="auto"/>
        </w:rPr>
      </w:pPr>
    </w:p>
    <w:p>
      <w:pPr>
        <w:ind w:left="720" w:hanging="720"/>
        <w:spacing w:after="0"/>
        <w:tabs>
          <w:tab w:leader="none" w:pos="7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Form 10-K:</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(1)  Financial Statements:</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Financial Statements and Supplementary Data are included in Part II Item 8 of this report.</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(2)  Financial Statement Schedules:</w:t>
      </w:r>
    </w:p>
    <w:p>
      <w:pPr>
        <w:spacing w:after="0" w:line="177" w:lineRule="exact"/>
        <w:rPr>
          <w:sz w:val="20"/>
          <w:szCs w:val="20"/>
          <w:color w:val="auto"/>
        </w:rPr>
      </w:pPr>
    </w:p>
    <w:p>
      <w:pPr>
        <w:ind w:right="600" w:firstLine="720"/>
        <w:spacing w:after="0" w:line="305" w:lineRule="auto"/>
        <w:rPr>
          <w:sz w:val="20"/>
          <w:szCs w:val="20"/>
          <w:color w:val="auto"/>
        </w:rPr>
      </w:pPr>
      <w:r>
        <w:rPr>
          <w:rFonts w:ascii="Times New Roman" w:cs="Times New Roman" w:eastAsia="Times New Roman" w:hAnsi="Times New Roman"/>
          <w:sz w:val="19"/>
          <w:szCs w:val="19"/>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(3)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6"/>
                <w:szCs w:val="16"/>
                <w:b w:val="1"/>
                <w:bCs w:val="1"/>
                <w:color w:val="auto"/>
              </w:rPr>
              <w:t>Incorporated by Reference to</w:t>
            </w: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55"/>
        </w:trPr>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Form and</w:t>
            </w:r>
          </w:p>
        </w:tc>
        <w:tc>
          <w:tcPr>
            <w:tcW w:w="66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72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SEC</w:t>
            </w:r>
          </w:p>
        </w:tc>
      </w:tr>
      <w:tr>
        <w:trPr>
          <w:trHeight w:val="203"/>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220" w:type="dxa"/>
            <w:vAlign w:val="bottom"/>
          </w:tcPr>
          <w:p>
            <w:pPr>
              <w:spacing w:after="0"/>
              <w:rPr>
                <w:sz w:val="17"/>
                <w:szCs w:val="17"/>
                <w:color w:val="auto"/>
              </w:rPr>
            </w:pPr>
          </w:p>
        </w:tc>
        <w:tc>
          <w:tcPr>
            <w:tcW w:w="44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 File No.</w:t>
            </w:r>
          </w:p>
        </w:tc>
        <w:tc>
          <w:tcPr>
            <w:tcW w:w="6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7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06"/>
        </w:trPr>
        <w:tc>
          <w:tcPr>
            <w:tcW w:w="5980" w:type="dxa"/>
            <w:vAlign w:val="bottom"/>
            <w:gridSpan w:val="5"/>
          </w:tcPr>
          <w:p>
            <w:pPr>
              <w:spacing w:after="0"/>
              <w:rPr>
                <w:sz w:val="20"/>
                <w:szCs w:val="20"/>
                <w:color w:val="auto"/>
              </w:rPr>
            </w:pPr>
            <w:r>
              <w:rPr>
                <w:rFonts w:ascii="Times New Roman" w:cs="Times New Roman" w:eastAsia="Times New Roman" w:hAnsi="Times New Roman"/>
                <w:sz w:val="19"/>
                <w:szCs w:val="19"/>
                <w:i w:val="1"/>
                <w:iCs w:val="1"/>
                <w:color w:val="auto"/>
              </w:rPr>
              <w:t>Plan of Acquisition, Reorganization, Arrangement, Liquidation or Succession</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1"/>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Sales Agreement, dated February 26, 2024, by and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10 – K</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1.1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2/26/24</w:t>
            </w:r>
          </w:p>
        </w:tc>
      </w:tr>
      <w:tr>
        <w:trPr>
          <w:trHeight w:val="218"/>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between Celldex Therapeutics, Inc. and Cantor</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w w:val="99"/>
              </w:rPr>
              <w:t>(000 - 15006)</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Fitzgerald &amp; Co.</w:t>
            </w: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Agreement and Plan of Merger, dated as of November 1,</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w w:val="94"/>
              </w:rPr>
              <w:t>8-K</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2.1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11/1/16</w:t>
            </w:r>
          </w:p>
        </w:tc>
      </w:tr>
      <w:tr>
        <w:trPr>
          <w:trHeight w:val="218"/>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2016, by and among Kolltan Pharmaceuticals, Inc.,</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8"/>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Celldex Therapeutics, Inc., Connemara Merger Sub</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1 Inc. and Connemara Merger Sub 2 LLC.</w:t>
            </w:r>
          </w:p>
        </w:tc>
        <w:tc>
          <w:tcPr>
            <w:tcW w:w="1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318"/>
        </w:trPr>
        <w:tc>
          <w:tcPr>
            <w:tcW w:w="5980" w:type="dxa"/>
            <w:vAlign w:val="bottom"/>
            <w:gridSpan w:val="5"/>
          </w:tcPr>
          <w:p>
            <w:pPr>
              <w:spacing w:after="0"/>
              <w:rPr>
                <w:sz w:val="20"/>
                <w:szCs w:val="20"/>
                <w:color w:val="auto"/>
              </w:rPr>
            </w:pPr>
            <w:r>
              <w:rPr>
                <w:rFonts w:ascii="Times New Roman" w:cs="Times New Roman" w:eastAsia="Times New Roman" w:hAnsi="Times New Roman"/>
                <w:sz w:val="19"/>
                <w:szCs w:val="19"/>
                <w:i w:val="1"/>
                <w:iCs w:val="1"/>
                <w:color w:val="auto"/>
              </w:rPr>
              <w:t>Articles of Incorporation and By-Laws</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Third Restated 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S-4</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7/16/98</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(333-59215)</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1"/>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Amendment of Third Restated Certificate</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S-4</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7/16/98</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(333-59215)</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Second Certificate of Amendment of Third Restated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S-4</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3.2</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7/16/98</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(333-59215)</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1"/>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Third Certificate of Amendment of Third Restated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10-Q</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5/10/02</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Fourth Certificate of Amendment of Third Restated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w w:val="94"/>
              </w:rPr>
              <w:t>8-K</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3/11/08</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1"/>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Fifth Certificate of Amendment of Third Restated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w w:val="94"/>
              </w:rPr>
              <w:t>8-K</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3.2</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3/11/08</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Sixth Certificate of Amendment of Third Restated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10-Q</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3.7</w:t>
            </w:r>
          </w:p>
        </w:tc>
        <w:tc>
          <w:tcPr>
            <w:tcW w:w="1540" w:type="dxa"/>
            <w:vAlign w:val="bottom"/>
            <w:gridSpan w:val="2"/>
          </w:tcPr>
          <w:p>
            <w:pPr>
              <w:jc w:val="center"/>
              <w:ind w:left="645"/>
              <w:spacing w:after="0"/>
              <w:rPr>
                <w:sz w:val="20"/>
                <w:szCs w:val="20"/>
                <w:color w:val="auto"/>
              </w:rPr>
            </w:pPr>
            <w:r>
              <w:rPr>
                <w:rFonts w:ascii="Times New Roman" w:cs="Times New Roman" w:eastAsia="Times New Roman" w:hAnsi="Times New Roman"/>
                <w:sz w:val="19"/>
                <w:szCs w:val="19"/>
                <w:color w:val="auto"/>
              </w:rPr>
              <w:t>11/10/08</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1"/>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Seventh Certificate of Amendment of Third Restated</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w w:val="94"/>
              </w:rPr>
              <w:t>8-K</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3.1</w:t>
            </w:r>
          </w:p>
        </w:tc>
        <w:tc>
          <w:tcPr>
            <w:tcW w:w="1540" w:type="dxa"/>
            <w:vAlign w:val="bottom"/>
            <w:gridSpan w:val="2"/>
          </w:tcPr>
          <w:p>
            <w:pPr>
              <w:jc w:val="center"/>
              <w:ind w:left="645"/>
              <w:spacing w:after="0"/>
              <w:rPr>
                <w:sz w:val="20"/>
                <w:szCs w:val="20"/>
                <w:color w:val="auto"/>
              </w:rPr>
            </w:pPr>
            <w:r>
              <w:rPr>
                <w:rFonts w:ascii="Times New Roman" w:cs="Times New Roman" w:eastAsia="Times New Roman" w:hAnsi="Times New Roman"/>
                <w:sz w:val="19"/>
                <w:szCs w:val="19"/>
                <w:color w:val="auto"/>
                <w:w w:val="98"/>
              </w:rPr>
              <w:t>2/8/19</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Certificate of Incorporation</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Second Amended and Restated By-Laws of Celldex</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10-Q</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3.1</w:t>
            </w:r>
          </w:p>
        </w:tc>
        <w:tc>
          <w:tcPr>
            <w:tcW w:w="1540" w:type="dxa"/>
            <w:vAlign w:val="bottom"/>
            <w:gridSpan w:val="2"/>
          </w:tcPr>
          <w:p>
            <w:pPr>
              <w:jc w:val="center"/>
              <w:ind w:left="625"/>
              <w:spacing w:after="0"/>
              <w:rPr>
                <w:sz w:val="20"/>
                <w:szCs w:val="20"/>
                <w:color w:val="auto"/>
              </w:rPr>
            </w:pPr>
            <w:r>
              <w:rPr>
                <w:rFonts w:ascii="Times New Roman" w:cs="Times New Roman" w:eastAsia="Times New Roman" w:hAnsi="Times New Roman"/>
                <w:sz w:val="19"/>
                <w:szCs w:val="19"/>
                <w:color w:val="auto"/>
                <w:w w:val="99"/>
              </w:rPr>
              <w:t>11/9/22</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Therapeutics, Inc., dated November 3, 2022</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318"/>
        </w:trPr>
        <w:tc>
          <w:tcPr>
            <w:tcW w:w="5980" w:type="dxa"/>
            <w:vAlign w:val="bottom"/>
            <w:gridSpan w:val="5"/>
          </w:tcPr>
          <w:p>
            <w:pPr>
              <w:spacing w:after="0"/>
              <w:rPr>
                <w:sz w:val="20"/>
                <w:szCs w:val="20"/>
                <w:color w:val="auto"/>
              </w:rPr>
            </w:pPr>
            <w:r>
              <w:rPr>
                <w:rFonts w:ascii="Times New Roman" w:cs="Times New Roman" w:eastAsia="Times New Roman" w:hAnsi="Times New Roman"/>
                <w:sz w:val="19"/>
                <w:szCs w:val="19"/>
                <w:i w:val="1"/>
                <w:iCs w:val="1"/>
                <w:color w:val="auto"/>
              </w:rPr>
              <w:t>Instruments Defining the Rights of Security Holders</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3"/>
        </w:trPr>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w:t>
            </w:r>
          </w:p>
        </w:tc>
        <w:tc>
          <w:tcPr>
            <w:tcW w:w="220" w:type="dxa"/>
            <w:vAlign w:val="bottom"/>
          </w:tcPr>
          <w:p>
            <w:pPr>
              <w:spacing w:after="0"/>
              <w:rPr>
                <w:sz w:val="24"/>
                <w:szCs w:val="24"/>
                <w:color w:val="auto"/>
              </w:rPr>
            </w:pPr>
          </w:p>
        </w:tc>
        <w:tc>
          <w:tcPr>
            <w:tcW w:w="500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Specimen of Common Stock Certificate</w:t>
            </w: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w w:val="94"/>
              </w:rPr>
              <w:t>8-K</w:t>
            </w:r>
          </w:p>
        </w:tc>
        <w:tc>
          <w:tcPr>
            <w:tcW w:w="1760" w:type="dxa"/>
            <w:vAlign w:val="bottom"/>
            <w:gridSpan w:val="2"/>
          </w:tcPr>
          <w:p>
            <w:pPr>
              <w:jc w:val="center"/>
              <w:ind w:left="585"/>
              <w:spacing w:after="0"/>
              <w:rPr>
                <w:sz w:val="20"/>
                <w:szCs w:val="20"/>
                <w:color w:val="auto"/>
              </w:rPr>
            </w:pPr>
            <w:r>
              <w:rPr>
                <w:rFonts w:ascii="Times New Roman" w:cs="Times New Roman" w:eastAsia="Times New Roman" w:hAnsi="Times New Roman"/>
                <w:sz w:val="19"/>
                <w:szCs w:val="19"/>
                <w:color w:val="auto"/>
              </w:rPr>
              <w:t>4.1</w:t>
            </w:r>
          </w:p>
        </w:tc>
        <w:tc>
          <w:tcPr>
            <w:tcW w:w="1540" w:type="dxa"/>
            <w:vAlign w:val="bottom"/>
            <w:gridSpan w:val="2"/>
          </w:tcPr>
          <w:p>
            <w:pPr>
              <w:jc w:val="center"/>
              <w:ind w:left="645"/>
              <w:spacing w:after="0"/>
              <w:rPr>
                <w:sz w:val="20"/>
                <w:szCs w:val="20"/>
                <w:color w:val="auto"/>
              </w:rPr>
            </w:pPr>
            <w:r>
              <w:rPr>
                <w:rFonts w:ascii="Times New Roman" w:cs="Times New Roman" w:eastAsia="Times New Roman" w:hAnsi="Times New Roman"/>
                <w:sz w:val="19"/>
                <w:szCs w:val="19"/>
                <w:color w:val="auto"/>
                <w:w w:val="98"/>
              </w:rPr>
              <w:t>2/8/19</w:t>
            </w:r>
          </w:p>
        </w:tc>
      </w:tr>
      <w:tr>
        <w:trPr>
          <w:trHeight w:val="255"/>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20" w:type="dxa"/>
            <w:vAlign w:val="bottom"/>
          </w:tcPr>
          <w:p>
            <w:pPr>
              <w:jc w:val="center"/>
              <w:ind w:right="267"/>
              <w:spacing w:after="0"/>
              <w:rPr>
                <w:sz w:val="20"/>
                <w:szCs w:val="20"/>
                <w:color w:val="auto"/>
              </w:rPr>
            </w:pPr>
            <w:r>
              <w:rPr>
                <w:rFonts w:ascii="Times New Roman" w:cs="Times New Roman" w:eastAsia="Times New Roman" w:hAnsi="Times New Roman"/>
                <w:sz w:val="19"/>
                <w:szCs w:val="19"/>
                <w:color w:val="auto"/>
              </w:rPr>
              <w:t>(000-15006)</w:t>
            </w: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800"/>
          </w:cols>
          <w:pgMar w:left="540" w:top="1347" w:right="540" w:bottom="0" w:gutter="0" w:footer="0" w:header="0"/>
          <w:type w:val="continuous"/>
        </w:sectPr>
      </w:pPr>
    </w:p>
    <w:bookmarkStart w:id="186" w:name="page187"/>
    <w:bookmarkEnd w:id="186"/>
    <w:tbl>
      <w:tblPr>
        <w:tblLayout w:type="fixed"/>
        <w:tblInd w:w="520" w:type="dxa"/>
        <w:tblCellMar>
          <w:top w:w="0" w:type="dxa"/>
          <w:left w:w="0" w:type="dxa"/>
          <w:bottom w:w="0" w:type="dxa"/>
          <w:right w:w="0" w:type="dxa"/>
        </w:tblCellMar>
      </w:tblPr>
      <w:tr>
        <w:trPr>
          <w:trHeight w:val="218"/>
        </w:trPr>
        <w:tc>
          <w:tcPr>
            <w:tcW w:w="3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2"/>
              </w:rPr>
              <w:t>4.2</w:t>
            </w:r>
          </w:p>
        </w:tc>
        <w:tc>
          <w:tcPr>
            <w:tcW w:w="4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Certificate of Designations, Preferences and Rights of a</w:t>
            </w:r>
          </w:p>
        </w:tc>
        <w:tc>
          <w:tcPr>
            <w:tcW w:w="2120" w:type="dxa"/>
            <w:vAlign w:val="bottom"/>
          </w:tcPr>
          <w:p>
            <w:pPr>
              <w:jc w:val="center"/>
              <w:ind w:right="305"/>
              <w:spacing w:after="0"/>
              <w:rPr>
                <w:sz w:val="20"/>
                <w:szCs w:val="20"/>
                <w:color w:val="auto"/>
              </w:rPr>
            </w:pPr>
            <w:r>
              <w:rPr>
                <w:rFonts w:ascii="Times New Roman" w:cs="Times New Roman" w:eastAsia="Times New Roman" w:hAnsi="Times New Roman"/>
                <w:sz w:val="19"/>
                <w:szCs w:val="19"/>
                <w:color w:val="auto"/>
                <w:w w:val="94"/>
              </w:rPr>
              <w:t>8-A</w:t>
            </w:r>
          </w:p>
        </w:tc>
        <w:tc>
          <w:tcPr>
            <w:tcW w:w="164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3.1</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11/8/04</w:t>
            </w:r>
          </w:p>
        </w:tc>
      </w:tr>
      <w:tr>
        <w:trPr>
          <w:trHeight w:val="218"/>
        </w:trPr>
        <w:tc>
          <w:tcPr>
            <w:tcW w:w="36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Series of Preferred Stock classifying and designating the</w:t>
            </w:r>
          </w:p>
        </w:tc>
        <w:tc>
          <w:tcPr>
            <w:tcW w:w="2120" w:type="dxa"/>
            <w:vAlign w:val="bottom"/>
          </w:tcPr>
          <w:p>
            <w:pPr>
              <w:jc w:val="center"/>
              <w:ind w:right="305"/>
              <w:spacing w:after="0"/>
              <w:rPr>
                <w:sz w:val="20"/>
                <w:szCs w:val="20"/>
                <w:color w:val="auto"/>
              </w:rPr>
            </w:pPr>
            <w:r>
              <w:rPr>
                <w:rFonts w:ascii="Times New Roman" w:cs="Times New Roman" w:eastAsia="Times New Roman" w:hAnsi="Times New Roman"/>
                <w:sz w:val="19"/>
                <w:szCs w:val="19"/>
                <w:color w:val="auto"/>
              </w:rPr>
              <w:t>(000-15006)</w:t>
            </w: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36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Series C-1 Junior Participating Cumulative Preferred</w:t>
            </w:r>
          </w:p>
        </w:tc>
        <w:tc>
          <w:tcPr>
            <w:tcW w:w="2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5"/>
        </w:trPr>
        <w:tc>
          <w:tcPr>
            <w:tcW w:w="360" w:type="dxa"/>
            <w:vAlign w:val="bottom"/>
          </w:tcPr>
          <w:p>
            <w:pPr>
              <w:spacing w:after="0"/>
              <w:rPr>
                <w:sz w:val="22"/>
                <w:szCs w:val="22"/>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Stock</w:t>
            </w:r>
          </w:p>
        </w:tc>
        <w:tc>
          <w:tcPr>
            <w:tcW w:w="2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302"/>
        </w:trPr>
        <w:tc>
          <w:tcPr>
            <w:tcW w:w="3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2"/>
              </w:rPr>
              <w:t>4.3</w:t>
            </w:r>
          </w:p>
        </w:tc>
        <w:tc>
          <w:tcPr>
            <w:tcW w:w="48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Description of Securities</w:t>
            </w:r>
          </w:p>
        </w:tc>
        <w:tc>
          <w:tcPr>
            <w:tcW w:w="2120" w:type="dxa"/>
            <w:vAlign w:val="bottom"/>
          </w:tcPr>
          <w:p>
            <w:pPr>
              <w:jc w:val="center"/>
              <w:ind w:right="305"/>
              <w:spacing w:after="0"/>
              <w:rPr>
                <w:sz w:val="20"/>
                <w:szCs w:val="20"/>
                <w:color w:val="auto"/>
              </w:rPr>
            </w:pPr>
            <w:r>
              <w:rPr>
                <w:rFonts w:ascii="Times New Roman" w:cs="Times New Roman" w:eastAsia="Times New Roman" w:hAnsi="Times New Roman"/>
                <w:sz w:val="19"/>
                <w:szCs w:val="19"/>
                <w:color w:val="auto"/>
              </w:rPr>
              <w:t>10-K</w:t>
            </w:r>
          </w:p>
        </w:tc>
        <w:tc>
          <w:tcPr>
            <w:tcW w:w="164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4.3</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2/28/23</w:t>
            </w:r>
          </w:p>
        </w:tc>
      </w:tr>
      <w:tr>
        <w:trPr>
          <w:trHeight w:val="255"/>
        </w:trPr>
        <w:tc>
          <w:tcPr>
            <w:tcW w:w="36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120" w:type="dxa"/>
            <w:vAlign w:val="bottom"/>
          </w:tcPr>
          <w:p>
            <w:pPr>
              <w:jc w:val="center"/>
              <w:ind w:right="305"/>
              <w:spacing w:after="0"/>
              <w:rPr>
                <w:sz w:val="20"/>
                <w:szCs w:val="20"/>
                <w:color w:val="auto"/>
              </w:rPr>
            </w:pPr>
            <w:r>
              <w:rPr>
                <w:rFonts w:ascii="Times New Roman" w:cs="Times New Roman" w:eastAsia="Times New Roman" w:hAnsi="Times New Roman"/>
                <w:sz w:val="19"/>
                <w:szCs w:val="19"/>
                <w:color w:val="auto"/>
              </w:rPr>
              <w:t>(000-15006)</w:t>
            </w:r>
          </w:p>
        </w:tc>
        <w:tc>
          <w:tcPr>
            <w:tcW w:w="164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Material Contracts-License, Collaboration, Supply and Distribution Agreements</w:t>
      </w:r>
    </w:p>
    <w:p>
      <w:pPr>
        <w:sectPr>
          <w:pgSz w:w="11880" w:h="15480" w:orient="portrait"/>
          <w:cols w:equalWidth="0" w:num="1">
            <w:col w:w="10680"/>
          </w:cols>
          <w:pgMar w:left="540" w:top="1351" w:right="660" w:bottom="0" w:gutter="0" w:footer="0" w:header="0"/>
        </w:sectPr>
      </w:pPr>
    </w:p>
    <w:p>
      <w:pPr>
        <w:spacing w:after="0" w:line="97" w:lineRule="exact"/>
        <w:rPr>
          <w:sz w:val="20"/>
          <w:szCs w:val="20"/>
          <w:color w:val="auto"/>
        </w:rPr>
      </w:pPr>
    </w:p>
    <w:p>
      <w:pPr>
        <w:ind w:left="1020" w:right="200" w:hanging="678"/>
        <w:spacing w:after="0" w:line="259" w:lineRule="auto"/>
        <w:tabs>
          <w:tab w:leader="none" w:pos="1000" w:val="left"/>
        </w:tabs>
        <w:rPr>
          <w:sz w:val="20"/>
          <w:szCs w:val="20"/>
          <w:color w:val="auto"/>
        </w:rPr>
      </w:pPr>
      <w:r>
        <w:rPr>
          <w:rFonts w:ascii="Times New Roman" w:cs="Times New Roman" w:eastAsia="Times New Roman" w:hAnsi="Times New Roman"/>
          <w:sz w:val="19"/>
          <w:szCs w:val="19"/>
          <w:color w:val="auto"/>
        </w:rPr>
        <w:t>*10.1</w:t>
        <w:tab/>
        <w:t>Amended and Restated License Agreement by and between the Company and Yale University dated as of July 26,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Material Contracts-Other</w:t>
      </w:r>
    </w:p>
    <w:p>
      <w:pPr>
        <w:spacing w:after="0" w:line="97"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8"/>
          <w:szCs w:val="18"/>
          <w:color w:val="auto"/>
        </w:rPr>
        <w:t>Confidential Settlement Agreement and Mutual Release,</w:t>
      </w:r>
    </w:p>
    <w:p>
      <w:pPr>
        <w:spacing w:after="0" w:line="28" w:lineRule="exact"/>
        <w:rPr>
          <w:sz w:val="20"/>
          <w:szCs w:val="20"/>
          <w:color w:val="auto"/>
        </w:rPr>
      </w:pPr>
    </w:p>
    <w:p>
      <w:pPr>
        <w:ind w:left="1020" w:right="100"/>
        <w:spacing w:after="0" w:line="243" w:lineRule="auto"/>
        <w:rPr>
          <w:sz w:val="20"/>
          <w:szCs w:val="20"/>
          <w:color w:val="auto"/>
        </w:rPr>
      </w:pPr>
      <w:r>
        <w:rPr>
          <w:rFonts w:ascii="Times New Roman" w:cs="Times New Roman" w:eastAsia="Times New Roman" w:hAnsi="Times New Roman"/>
          <w:sz w:val="19"/>
          <w:szCs w:val="19"/>
          <w:color w:val="auto"/>
        </w:rPr>
        <w:t>dated July 15, 2022, by and between Shareholder Representatives Services LLC, solely in its capacity as Stockholders Representative, and Celldex Therapeutics,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Contracts- Management Contracts and Compensatory Plans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10-Q</w:t>
      </w:r>
    </w:p>
    <w:p>
      <w:pPr>
        <w:spacing w:after="0" w:line="2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(000-15006)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8-K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(000-15006)</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8"/>
          <w:szCs w:val="18"/>
          <w:color w:val="auto"/>
        </w:rPr>
        <w:t>11/9/22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8"/>
          <w:szCs w:val="18"/>
          <w:color w:val="auto"/>
        </w:rPr>
        <w:t>7/18/22</w:t>
      </w:r>
    </w:p>
    <w:p>
      <w:pPr>
        <w:spacing w:after="0" w:line="1292" w:lineRule="exact"/>
        <w:rPr>
          <w:sz w:val="20"/>
          <w:szCs w:val="20"/>
          <w:color w:val="auto"/>
        </w:rPr>
      </w:pPr>
    </w:p>
    <w:p>
      <w:pPr>
        <w:sectPr>
          <w:pgSz w:w="11880" w:h="15480" w:orient="portrait"/>
          <w:cols w:equalWidth="0" w:num="3">
            <w:col w:w="5360" w:space="720"/>
            <w:col w:w="1740" w:space="720"/>
            <w:col w:w="2140"/>
          </w:cols>
          <w:pgMar w:left="540" w:top="1351" w:right="660" w:bottom="0" w:gutter="0" w:footer="0" w:header="0"/>
          <w:type w:val="continuous"/>
        </w:sectPr>
      </w:pPr>
    </w:p>
    <w:p>
      <w:pPr>
        <w:ind w:left="980" w:right="300" w:hanging="639"/>
        <w:spacing w:after="0" w:line="279" w:lineRule="auto"/>
        <w:tabs>
          <w:tab w:leader="none" w:pos="960" w:val="left"/>
        </w:tabs>
        <w:rPr>
          <w:sz w:val="20"/>
          <w:szCs w:val="20"/>
          <w:color w:val="auto"/>
        </w:rPr>
      </w:pPr>
      <w:r>
        <w:rPr>
          <w:rFonts w:ascii="Times New Roman" w:cs="Times New Roman" w:eastAsia="Times New Roman" w:hAnsi="Times New Roman"/>
          <w:sz w:val="19"/>
          <w:szCs w:val="19"/>
          <w:color w:val="auto"/>
        </w:rPr>
        <w:t>†10.3</w:t>
        <w:tab/>
        <w:t>Amendment No. 3 to Celldex Therapeutics, Inc. 2021 Omnibus Equity Incentive Plan</w:t>
      </w:r>
    </w:p>
    <w:p>
      <w:pPr>
        <w:spacing w:after="0" w:line="28" w:lineRule="exact"/>
        <w:rPr>
          <w:sz w:val="20"/>
          <w:szCs w:val="20"/>
          <w:color w:val="auto"/>
        </w:rPr>
      </w:pPr>
    </w:p>
    <w:p>
      <w:pPr>
        <w:ind w:left="1020" w:right="280" w:hanging="679"/>
        <w:spacing w:after="0" w:line="279" w:lineRule="auto"/>
        <w:tabs>
          <w:tab w:leader="none" w:pos="1000" w:val="left"/>
        </w:tabs>
        <w:rPr>
          <w:sz w:val="20"/>
          <w:szCs w:val="20"/>
          <w:color w:val="auto"/>
        </w:rPr>
      </w:pPr>
      <w:r>
        <w:rPr>
          <w:rFonts w:ascii="Times New Roman" w:cs="Times New Roman" w:eastAsia="Times New Roman" w:hAnsi="Times New Roman"/>
          <w:sz w:val="19"/>
          <w:szCs w:val="19"/>
          <w:color w:val="auto"/>
        </w:rPr>
        <w:t>†10.4</w:t>
        <w:tab/>
        <w:t>Amendment No. 2 to Celldex Therapeutics, Inc. 2021 Omnibus Equity Incentive Plan</w:t>
      </w:r>
    </w:p>
    <w:p>
      <w:pPr>
        <w:spacing w:after="0" w:line="30" w:lineRule="exact"/>
        <w:rPr>
          <w:sz w:val="20"/>
          <w:szCs w:val="20"/>
          <w:color w:val="auto"/>
        </w:rPr>
      </w:pPr>
    </w:p>
    <w:p>
      <w:pPr>
        <w:ind w:left="1020" w:right="640" w:hanging="679"/>
        <w:spacing w:after="0" w:line="308" w:lineRule="auto"/>
        <w:tabs>
          <w:tab w:leader="none" w:pos="1000" w:val="left"/>
        </w:tabs>
        <w:rPr>
          <w:sz w:val="20"/>
          <w:szCs w:val="20"/>
          <w:color w:val="auto"/>
        </w:rPr>
      </w:pPr>
      <w:r>
        <w:rPr>
          <w:rFonts w:ascii="Times New Roman" w:cs="Times New Roman" w:eastAsia="Times New Roman" w:hAnsi="Times New Roman"/>
          <w:sz w:val="18"/>
          <w:szCs w:val="18"/>
          <w:color w:val="auto"/>
        </w:rPr>
        <w:t>†10.5</w:t>
        <w:tab/>
        <w:t>Celldex Therapeutics, Inc. 2021 Omnibus Equity Incentive Plan (as amended June 15, 2023)</w:t>
      </w:r>
    </w:p>
    <w:p>
      <w:pPr>
        <w:spacing w:after="0" w:line="5" w:lineRule="exact"/>
        <w:rPr>
          <w:sz w:val="20"/>
          <w:szCs w:val="20"/>
          <w:color w:val="auto"/>
        </w:rPr>
      </w:pPr>
    </w:p>
    <w:p>
      <w:pPr>
        <w:ind w:left="1020" w:right="640" w:hanging="679"/>
        <w:spacing w:after="0" w:line="279" w:lineRule="auto"/>
        <w:tabs>
          <w:tab w:leader="none" w:pos="1000" w:val="left"/>
        </w:tabs>
        <w:rPr>
          <w:sz w:val="20"/>
          <w:szCs w:val="20"/>
          <w:color w:val="auto"/>
        </w:rPr>
      </w:pPr>
      <w:r>
        <w:rPr>
          <w:rFonts w:ascii="Times New Roman" w:cs="Times New Roman" w:eastAsia="Times New Roman" w:hAnsi="Times New Roman"/>
          <w:sz w:val="19"/>
          <w:szCs w:val="19"/>
          <w:color w:val="auto"/>
        </w:rPr>
        <w:t>†10.6</w:t>
        <w:tab/>
        <w:t>Celldex Therapeutics, Inc. 2021 Omnibus Equity Incentive Plan</w:t>
      </w:r>
    </w:p>
    <w:p>
      <w:pPr>
        <w:spacing w:after="0" w:line="30" w:lineRule="exact"/>
        <w:rPr>
          <w:sz w:val="20"/>
          <w:szCs w:val="20"/>
          <w:color w:val="auto"/>
        </w:rPr>
      </w:pPr>
    </w:p>
    <w:p>
      <w:pPr>
        <w:jc w:val="both"/>
        <w:ind w:left="1020" w:right="120" w:hanging="679"/>
        <w:spacing w:after="0" w:line="259" w:lineRule="auto"/>
        <w:tabs>
          <w:tab w:leader="none" w:pos="1000" w:val="left"/>
        </w:tabs>
        <w:rPr>
          <w:sz w:val="20"/>
          <w:szCs w:val="20"/>
          <w:color w:val="auto"/>
        </w:rPr>
      </w:pPr>
      <w:r>
        <w:rPr>
          <w:rFonts w:ascii="Times New Roman" w:cs="Times New Roman" w:eastAsia="Times New Roman" w:hAnsi="Times New Roman"/>
          <w:sz w:val="19"/>
          <w:szCs w:val="19"/>
          <w:color w:val="auto"/>
        </w:rPr>
        <w:t>†10.7</w:t>
        <w:tab/>
        <w:t>Celldex Therapeutics, Inc. Amended and Restated 2008 Stock Option and Incentive Plan (as amended, effective June 18, 2020).</w:t>
      </w:r>
    </w:p>
    <w:p>
      <w:pPr>
        <w:spacing w:after="0" w:line="47" w:lineRule="exact"/>
        <w:rPr>
          <w:sz w:val="20"/>
          <w:szCs w:val="20"/>
          <w:color w:val="auto"/>
        </w:rPr>
      </w:pPr>
    </w:p>
    <w:p>
      <w:pPr>
        <w:jc w:val="both"/>
        <w:ind w:left="1020" w:right="120" w:hanging="679"/>
        <w:spacing w:after="0" w:line="259" w:lineRule="auto"/>
        <w:tabs>
          <w:tab w:leader="none" w:pos="1000" w:val="left"/>
        </w:tabs>
        <w:rPr>
          <w:sz w:val="20"/>
          <w:szCs w:val="20"/>
          <w:color w:val="auto"/>
        </w:rPr>
      </w:pPr>
      <w:r>
        <w:rPr>
          <w:rFonts w:ascii="Times New Roman" w:cs="Times New Roman" w:eastAsia="Times New Roman" w:hAnsi="Times New Roman"/>
          <w:sz w:val="19"/>
          <w:szCs w:val="19"/>
          <w:color w:val="auto"/>
        </w:rPr>
        <w:t>†10.8</w:t>
        <w:tab/>
        <w:t>Celldex Therapeutics, Inc. Amended and Restated 2004 Employee Stock Purchase Plan (effective as of June 19, 2019)</w:t>
      </w:r>
    </w:p>
    <w:p>
      <w:pPr>
        <w:spacing w:after="0" w:line="49" w:lineRule="exact"/>
        <w:rPr>
          <w:sz w:val="20"/>
          <w:szCs w:val="20"/>
          <w:color w:val="auto"/>
        </w:rPr>
      </w:pPr>
    </w:p>
    <w:p>
      <w:pPr>
        <w:ind w:left="1020" w:right="180" w:hanging="679"/>
        <w:spacing w:after="0" w:line="259" w:lineRule="auto"/>
        <w:tabs>
          <w:tab w:leader="none" w:pos="1000" w:val="left"/>
        </w:tabs>
        <w:rPr>
          <w:sz w:val="20"/>
          <w:szCs w:val="20"/>
          <w:color w:val="auto"/>
        </w:rPr>
      </w:pPr>
      <w:r>
        <w:rPr>
          <w:rFonts w:ascii="Times New Roman" w:cs="Times New Roman" w:eastAsia="Times New Roman" w:hAnsi="Times New Roman"/>
          <w:sz w:val="19"/>
          <w:szCs w:val="19"/>
          <w:color w:val="auto"/>
        </w:rPr>
        <w:t>†10.9</w:t>
        <w:tab/>
        <w:t>Amended and Restated Employment Agreement, dated as of December 8, 2025, by and between Anthony S. Marucci and Celldex Therapeutics, Inc.</w:t>
      </w:r>
    </w:p>
    <w:p>
      <w:pPr>
        <w:spacing w:after="0" w:line="47" w:lineRule="exact"/>
        <w:rPr>
          <w:sz w:val="20"/>
          <w:szCs w:val="20"/>
          <w:color w:val="auto"/>
        </w:rPr>
      </w:pPr>
    </w:p>
    <w:p>
      <w:pPr>
        <w:ind w:left="980" w:hanging="739"/>
        <w:spacing w:after="0" w:line="259" w:lineRule="auto"/>
        <w:tabs>
          <w:tab w:leader="none" w:pos="960" w:val="left"/>
        </w:tabs>
        <w:rPr>
          <w:sz w:val="20"/>
          <w:szCs w:val="20"/>
          <w:color w:val="auto"/>
        </w:rPr>
      </w:pPr>
      <w:r>
        <w:rPr>
          <w:rFonts w:ascii="Times New Roman" w:cs="Times New Roman" w:eastAsia="Times New Roman" w:hAnsi="Times New Roman"/>
          <w:sz w:val="19"/>
          <w:szCs w:val="19"/>
          <w:color w:val="auto"/>
        </w:rPr>
        <w:t>†10.10</w:t>
        <w:tab/>
        <w:t>Amended and Restated Employment Agreement, dated as of December 8, 2025, by and between Sam Martin and Celldex Therapeutics,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18"/>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w w:val="94"/>
              </w:rPr>
              <w:t>8-K</w:t>
            </w:r>
          </w:p>
        </w:tc>
        <w:tc>
          <w:tcPr>
            <w:tcW w:w="172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10.1</w:t>
            </w:r>
          </w:p>
        </w:tc>
        <w:tc>
          <w:tcPr>
            <w:tcW w:w="11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8"/>
              </w:rPr>
              <w:t>6/6/25</w:t>
            </w:r>
          </w:p>
        </w:tc>
        <w:tc>
          <w:tcPr>
            <w:tcW w:w="0" w:type="dxa"/>
            <w:vAlign w:val="bottom"/>
          </w:tcPr>
          <w:p>
            <w:pPr>
              <w:spacing w:after="0"/>
              <w:rPr>
                <w:sz w:val="1"/>
                <w:szCs w:val="1"/>
                <w:color w:val="auto"/>
              </w:rPr>
            </w:pPr>
          </w:p>
        </w:tc>
      </w:tr>
      <w:tr>
        <w:trPr>
          <w:trHeight w:val="255"/>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rPr>
              <w:t>(000-15006)</w:t>
            </w:r>
          </w:p>
        </w:tc>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w w:val="94"/>
              </w:rPr>
              <w:t>8-K</w:t>
            </w:r>
          </w:p>
        </w:tc>
        <w:tc>
          <w:tcPr>
            <w:tcW w:w="172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10.1</w:t>
            </w:r>
          </w:p>
        </w:tc>
        <w:tc>
          <w:tcPr>
            <w:tcW w:w="118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6/14/24</w:t>
            </w:r>
          </w:p>
        </w:tc>
        <w:tc>
          <w:tcPr>
            <w:tcW w:w="0" w:type="dxa"/>
            <w:vAlign w:val="bottom"/>
          </w:tcPr>
          <w:p>
            <w:pPr>
              <w:spacing w:after="0"/>
              <w:rPr>
                <w:sz w:val="1"/>
                <w:szCs w:val="1"/>
                <w:color w:val="auto"/>
              </w:rPr>
            </w:pPr>
          </w:p>
        </w:tc>
      </w:tr>
      <w:tr>
        <w:trPr>
          <w:trHeight w:val="255"/>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rPr>
              <w:t>(000-15006)</w:t>
            </w:r>
          </w:p>
        </w:tc>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w w:val="94"/>
              </w:rPr>
              <w:t>8-K</w:t>
            </w:r>
          </w:p>
        </w:tc>
        <w:tc>
          <w:tcPr>
            <w:tcW w:w="172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10.1</w:t>
            </w:r>
          </w:p>
        </w:tc>
        <w:tc>
          <w:tcPr>
            <w:tcW w:w="118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6/15/23</w:t>
            </w:r>
          </w:p>
        </w:tc>
        <w:tc>
          <w:tcPr>
            <w:tcW w:w="0" w:type="dxa"/>
            <w:vAlign w:val="bottom"/>
          </w:tcPr>
          <w:p>
            <w:pPr>
              <w:spacing w:after="0"/>
              <w:rPr>
                <w:sz w:val="1"/>
                <w:szCs w:val="1"/>
                <w:color w:val="auto"/>
              </w:rPr>
            </w:pPr>
          </w:p>
        </w:tc>
      </w:tr>
      <w:tr>
        <w:trPr>
          <w:trHeight w:val="255"/>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rPr>
              <w:t>(000-15006)</w:t>
            </w:r>
          </w:p>
        </w:tc>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w w:val="94"/>
              </w:rPr>
              <w:t>8-K</w:t>
            </w:r>
          </w:p>
        </w:tc>
        <w:tc>
          <w:tcPr>
            <w:tcW w:w="172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10.1</w:t>
            </w:r>
          </w:p>
        </w:tc>
        <w:tc>
          <w:tcPr>
            <w:tcW w:w="118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6/17/21</w:t>
            </w:r>
          </w:p>
        </w:tc>
        <w:tc>
          <w:tcPr>
            <w:tcW w:w="0" w:type="dxa"/>
            <w:vAlign w:val="bottom"/>
          </w:tcPr>
          <w:p>
            <w:pPr>
              <w:spacing w:after="0"/>
              <w:rPr>
                <w:sz w:val="1"/>
                <w:szCs w:val="1"/>
                <w:color w:val="auto"/>
              </w:rPr>
            </w:pPr>
          </w:p>
        </w:tc>
      </w:tr>
      <w:tr>
        <w:trPr>
          <w:trHeight w:val="255"/>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rPr>
              <w:t>(000-15006)</w:t>
            </w:r>
          </w:p>
        </w:tc>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700" w:type="dxa"/>
            <w:vAlign w:val="bottom"/>
            <w:vMerge w:val="restart"/>
          </w:tcPr>
          <w:p>
            <w:pPr>
              <w:jc w:val="center"/>
              <w:ind w:right="645"/>
              <w:spacing w:after="0"/>
              <w:rPr>
                <w:sz w:val="20"/>
                <w:szCs w:val="20"/>
                <w:color w:val="auto"/>
              </w:rPr>
            </w:pPr>
            <w:r>
              <w:rPr>
                <w:rFonts w:ascii="Times New Roman" w:cs="Times New Roman" w:eastAsia="Times New Roman" w:hAnsi="Times New Roman"/>
                <w:sz w:val="19"/>
                <w:szCs w:val="19"/>
                <w:color w:val="auto"/>
                <w:w w:val="94"/>
              </w:rPr>
              <w:t>8-K</w:t>
            </w:r>
          </w:p>
        </w:tc>
        <w:tc>
          <w:tcPr>
            <w:tcW w:w="172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10.1</w:t>
            </w:r>
          </w:p>
        </w:tc>
        <w:tc>
          <w:tcPr>
            <w:tcW w:w="118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6/18/20</w:t>
            </w: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rPr>
              <w:t>(000-15006)</w:t>
            </w:r>
          </w:p>
        </w:tc>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1700" w:type="dxa"/>
            <w:vAlign w:val="bottom"/>
            <w:vMerge w:val="restart"/>
          </w:tcPr>
          <w:p>
            <w:pPr>
              <w:jc w:val="center"/>
              <w:ind w:right="645"/>
              <w:spacing w:after="0"/>
              <w:rPr>
                <w:sz w:val="20"/>
                <w:szCs w:val="20"/>
                <w:color w:val="auto"/>
              </w:rPr>
            </w:pPr>
            <w:r>
              <w:rPr>
                <w:rFonts w:ascii="Times New Roman" w:cs="Times New Roman" w:eastAsia="Times New Roman" w:hAnsi="Times New Roman"/>
                <w:sz w:val="19"/>
                <w:szCs w:val="19"/>
                <w:color w:val="auto"/>
                <w:w w:val="94"/>
              </w:rPr>
              <w:t>8-K</w:t>
            </w:r>
          </w:p>
        </w:tc>
        <w:tc>
          <w:tcPr>
            <w:tcW w:w="1720" w:type="dxa"/>
            <w:vAlign w:val="bottom"/>
          </w:tcPr>
          <w:p>
            <w:pPr>
              <w:jc w:val="right"/>
              <w:ind w:right="525"/>
              <w:spacing w:after="0"/>
              <w:rPr>
                <w:sz w:val="20"/>
                <w:szCs w:val="20"/>
                <w:color w:val="auto"/>
              </w:rPr>
            </w:pPr>
            <w:r>
              <w:rPr>
                <w:rFonts w:ascii="Times New Roman" w:cs="Times New Roman" w:eastAsia="Times New Roman" w:hAnsi="Times New Roman"/>
                <w:sz w:val="19"/>
                <w:szCs w:val="19"/>
                <w:color w:val="auto"/>
              </w:rPr>
              <w:t>10.2</w:t>
            </w:r>
          </w:p>
        </w:tc>
        <w:tc>
          <w:tcPr>
            <w:tcW w:w="118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6/19/19</w:t>
            </w:r>
          </w:p>
        </w:tc>
        <w:tc>
          <w:tcPr>
            <w:tcW w:w="0" w:type="dxa"/>
            <w:vAlign w:val="bottom"/>
          </w:tcPr>
          <w:p>
            <w:pPr>
              <w:spacing w:after="0"/>
              <w:rPr>
                <w:sz w:val="1"/>
                <w:szCs w:val="1"/>
                <w:color w:val="auto"/>
              </w:rPr>
            </w:pPr>
          </w:p>
        </w:tc>
      </w:tr>
      <w:tr>
        <w:trPr>
          <w:trHeight w:val="123"/>
        </w:trPr>
        <w:tc>
          <w:tcPr>
            <w:tcW w:w="170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1700" w:type="dxa"/>
            <w:vAlign w:val="bottom"/>
          </w:tcPr>
          <w:p>
            <w:pPr>
              <w:jc w:val="center"/>
              <w:ind w:right="645"/>
              <w:spacing w:after="0"/>
              <w:rPr>
                <w:sz w:val="20"/>
                <w:szCs w:val="20"/>
                <w:color w:val="auto"/>
              </w:rPr>
            </w:pPr>
            <w:r>
              <w:rPr>
                <w:rFonts w:ascii="Times New Roman" w:cs="Times New Roman" w:eastAsia="Times New Roman" w:hAnsi="Times New Roman"/>
                <w:sz w:val="19"/>
                <w:szCs w:val="19"/>
                <w:color w:val="auto"/>
              </w:rPr>
              <w:t>(000-15006)</w:t>
            </w:r>
          </w:p>
        </w:tc>
        <w:tc>
          <w:tcPr>
            <w:tcW w:w="1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537" w:lineRule="exact"/>
        <w:rPr>
          <w:sz w:val="20"/>
          <w:szCs w:val="20"/>
          <w:color w:val="auto"/>
        </w:rPr>
      </w:pPr>
    </w:p>
    <w:p>
      <w:pPr>
        <w:sectPr>
          <w:pgSz w:w="11880" w:h="15480" w:orient="portrait"/>
          <w:cols w:equalWidth="0" w:num="2">
            <w:col w:w="5380" w:space="620"/>
            <w:col w:w="4680"/>
          </w:cols>
          <w:pgMar w:left="540" w:top="1351" w:right="660" w:bottom="0" w:gutter="0" w:footer="0" w:header="0"/>
          <w:type w:val="continuous"/>
        </w:sectPr>
      </w:pPr>
    </w:p>
    <w:tbl>
      <w:tblPr>
        <w:tblLayout w:type="fixed"/>
        <w:tblInd w:w="240" w:type="dxa"/>
        <w:tblCellMar>
          <w:top w:w="0" w:type="dxa"/>
          <w:left w:w="0" w:type="dxa"/>
          <w:bottom w:w="0" w:type="dxa"/>
          <w:right w:w="0" w:type="dxa"/>
        </w:tblCellMar>
      </w:tblPr>
      <w:tr>
        <w:trPr>
          <w:trHeight w:val="218"/>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†10.11   Amended and Restated Employment Agreement, dated</w:t>
            </w:r>
          </w:p>
        </w:tc>
        <w:tc>
          <w:tcPr>
            <w:tcW w:w="1500" w:type="dxa"/>
            <w:vAlign w:val="bottom"/>
          </w:tcPr>
          <w:p>
            <w:pPr>
              <w:ind w:left="38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18"/>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as of December 8, 2025, by and between Tibor Keler,</w:t>
            </w:r>
          </w:p>
        </w:tc>
        <w:tc>
          <w:tcPr>
            <w:tcW w:w="1500" w:type="dxa"/>
            <w:vAlign w:val="bottom"/>
          </w:tcPr>
          <w:p>
            <w:pPr>
              <w:spacing w:after="0"/>
              <w:rPr>
                <w:sz w:val="18"/>
                <w:szCs w:val="18"/>
                <w:color w:val="auto"/>
              </w:rPr>
            </w:pPr>
          </w:p>
        </w:tc>
      </w:tr>
      <w:tr>
        <w:trPr>
          <w:trHeight w:val="255"/>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Ph.D. and Celldex Therapeutics, Inc.</w:t>
            </w:r>
          </w:p>
        </w:tc>
        <w:tc>
          <w:tcPr>
            <w:tcW w:w="1500" w:type="dxa"/>
            <w:vAlign w:val="bottom"/>
          </w:tcPr>
          <w:p>
            <w:pPr>
              <w:spacing w:after="0"/>
              <w:rPr>
                <w:sz w:val="22"/>
                <w:szCs w:val="22"/>
                <w:color w:val="auto"/>
              </w:rPr>
            </w:pPr>
          </w:p>
        </w:tc>
      </w:tr>
      <w:tr>
        <w:trPr>
          <w:trHeight w:val="281"/>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†10.12   Amended and Restated Employment Agreement, dated</w:t>
            </w:r>
          </w:p>
        </w:tc>
        <w:tc>
          <w:tcPr>
            <w:tcW w:w="1500" w:type="dxa"/>
            <w:vAlign w:val="bottom"/>
          </w:tcPr>
          <w:p>
            <w:pPr>
              <w:ind w:left="38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20"/>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as of December 8, 2025, by and between Ronald A.</w:t>
            </w:r>
          </w:p>
        </w:tc>
        <w:tc>
          <w:tcPr>
            <w:tcW w:w="1500" w:type="dxa"/>
            <w:vAlign w:val="bottom"/>
          </w:tcPr>
          <w:p>
            <w:pPr>
              <w:spacing w:after="0"/>
              <w:rPr>
                <w:sz w:val="19"/>
                <w:szCs w:val="19"/>
                <w:color w:val="auto"/>
              </w:rPr>
            </w:pPr>
          </w:p>
        </w:tc>
      </w:tr>
      <w:tr>
        <w:trPr>
          <w:trHeight w:val="255"/>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Pepin, Ph.D. and Celldex Therapeutics, Inc.</w:t>
            </w:r>
          </w:p>
        </w:tc>
        <w:tc>
          <w:tcPr>
            <w:tcW w:w="1500" w:type="dxa"/>
            <w:vAlign w:val="bottom"/>
          </w:tcPr>
          <w:p>
            <w:pPr>
              <w:spacing w:after="0"/>
              <w:rPr>
                <w:sz w:val="22"/>
                <w:szCs w:val="22"/>
                <w:color w:val="auto"/>
              </w:rPr>
            </w:pPr>
          </w:p>
        </w:tc>
      </w:tr>
      <w:tr>
        <w:trPr>
          <w:trHeight w:val="281"/>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†10.13   Amended and Restated Employment Agreement, dated</w:t>
            </w:r>
          </w:p>
        </w:tc>
        <w:tc>
          <w:tcPr>
            <w:tcW w:w="1500" w:type="dxa"/>
            <w:vAlign w:val="bottom"/>
          </w:tcPr>
          <w:p>
            <w:pPr>
              <w:ind w:left="38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18"/>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as of December 8, 2025, by and between Sarah</w:t>
            </w:r>
          </w:p>
        </w:tc>
        <w:tc>
          <w:tcPr>
            <w:tcW w:w="1500" w:type="dxa"/>
            <w:vAlign w:val="bottom"/>
          </w:tcPr>
          <w:p>
            <w:pPr>
              <w:spacing w:after="0"/>
              <w:rPr>
                <w:sz w:val="18"/>
                <w:szCs w:val="18"/>
                <w:color w:val="auto"/>
              </w:rPr>
            </w:pPr>
          </w:p>
        </w:tc>
      </w:tr>
      <w:tr>
        <w:trPr>
          <w:trHeight w:val="255"/>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Cavanaugh and Celldex Therapeutics, Inc.</w:t>
            </w:r>
          </w:p>
        </w:tc>
        <w:tc>
          <w:tcPr>
            <w:tcW w:w="1500" w:type="dxa"/>
            <w:vAlign w:val="bottom"/>
          </w:tcPr>
          <w:p>
            <w:pPr>
              <w:spacing w:after="0"/>
              <w:rPr>
                <w:sz w:val="22"/>
                <w:szCs w:val="22"/>
                <w:color w:val="auto"/>
              </w:rPr>
            </w:pPr>
          </w:p>
        </w:tc>
      </w:tr>
      <w:tr>
        <w:trPr>
          <w:trHeight w:val="283"/>
        </w:trPr>
        <w:tc>
          <w:tcPr>
            <w:tcW w:w="5380" w:type="dxa"/>
            <w:vAlign w:val="bottom"/>
          </w:tcPr>
          <w:p>
            <w:pPr>
              <w:spacing w:after="0"/>
              <w:rPr>
                <w:sz w:val="20"/>
                <w:szCs w:val="20"/>
                <w:color w:val="auto"/>
              </w:rPr>
            </w:pPr>
            <w:r>
              <w:rPr>
                <w:rFonts w:ascii="Times New Roman" w:cs="Times New Roman" w:eastAsia="Times New Roman" w:hAnsi="Times New Roman"/>
                <w:sz w:val="19"/>
                <w:szCs w:val="19"/>
                <w:color w:val="auto"/>
              </w:rPr>
              <w:t>†10.14   Amended and Restated Employment Agreement, dated</w:t>
            </w:r>
          </w:p>
        </w:tc>
        <w:tc>
          <w:tcPr>
            <w:tcW w:w="1500" w:type="dxa"/>
            <w:vAlign w:val="bottom"/>
          </w:tcPr>
          <w:p>
            <w:pPr>
              <w:ind w:left="38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18"/>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as of December 8, 2025, by and between Margo Heath-</w:t>
            </w:r>
          </w:p>
        </w:tc>
        <w:tc>
          <w:tcPr>
            <w:tcW w:w="1500" w:type="dxa"/>
            <w:vAlign w:val="bottom"/>
          </w:tcPr>
          <w:p>
            <w:pPr>
              <w:spacing w:after="0"/>
              <w:rPr>
                <w:sz w:val="18"/>
                <w:szCs w:val="18"/>
                <w:color w:val="auto"/>
              </w:rPr>
            </w:pPr>
          </w:p>
        </w:tc>
      </w:tr>
      <w:tr>
        <w:trPr>
          <w:trHeight w:val="255"/>
        </w:trPr>
        <w:tc>
          <w:tcPr>
            <w:tcW w:w="5380" w:type="dxa"/>
            <w:vAlign w:val="bottom"/>
          </w:tcPr>
          <w:p>
            <w:pPr>
              <w:ind w:left="780"/>
              <w:spacing w:after="0"/>
              <w:rPr>
                <w:sz w:val="20"/>
                <w:szCs w:val="20"/>
                <w:color w:val="auto"/>
              </w:rPr>
            </w:pPr>
            <w:r>
              <w:rPr>
                <w:rFonts w:ascii="Times New Roman" w:cs="Times New Roman" w:eastAsia="Times New Roman" w:hAnsi="Times New Roman"/>
                <w:sz w:val="19"/>
                <w:szCs w:val="19"/>
                <w:color w:val="auto"/>
              </w:rPr>
              <w:t>Chiozzi, M.D. and Celldex Therapeutics, Inc.</w:t>
            </w:r>
          </w:p>
        </w:tc>
        <w:tc>
          <w:tcPr>
            <w:tcW w:w="150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680"/>
          </w:cols>
          <w:pgMar w:left="540" w:top="1351" w:right="660" w:bottom="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680"/>
          </w:cols>
          <w:pgMar w:left="540" w:top="1351" w:right="660" w:bottom="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218"/>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†10.15</w:t>
            </w: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Amended and Restated Employment Agreement, dated</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8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as of December 8, 2025, by and between Elizabeth</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Crowley and Celldex Therapeutics, Inc.</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†10.16</w:t>
            </w: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Amended and Restated Employment Agreement, dated</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8"/>
        </w:trPr>
        <w:tc>
          <w:tcPr>
            <w:tcW w:w="8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as of December 8, 2025, by and between Diane Young,</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M.D. and Celldex Therapeutics, Inc.</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†10.17</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Amended and Restated Employment Agreement, dated as</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8"/>
        </w:trPr>
        <w:tc>
          <w:tcPr>
            <w:tcW w:w="8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of December 8, 2025, by and between Freddy Jimenez</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and Celldex Therapeutics, Inc.</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†10.18</w:t>
            </w: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Employment Agreement, dated as of November 10,</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10-Q</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260" w:type="dxa"/>
            <w:vAlign w:val="bottom"/>
          </w:tcPr>
          <w:p>
            <w:pPr>
              <w:jc w:val="center"/>
              <w:ind w:left="485"/>
              <w:spacing w:after="0"/>
              <w:rPr>
                <w:sz w:val="20"/>
                <w:szCs w:val="20"/>
                <w:color w:val="auto"/>
              </w:rPr>
            </w:pPr>
            <w:r>
              <w:rPr>
                <w:rFonts w:ascii="Times New Roman" w:cs="Times New Roman" w:eastAsia="Times New Roman" w:hAnsi="Times New Roman"/>
                <w:sz w:val="19"/>
                <w:szCs w:val="19"/>
                <w:color w:val="auto"/>
              </w:rPr>
              <w:t>11/10/25</w:t>
            </w:r>
          </w:p>
        </w:tc>
      </w:tr>
      <w:tr>
        <w:trPr>
          <w:trHeight w:val="218"/>
        </w:trPr>
        <w:tc>
          <w:tcPr>
            <w:tcW w:w="820" w:type="dxa"/>
            <w:vAlign w:val="bottom"/>
          </w:tcPr>
          <w:p>
            <w:pPr>
              <w:spacing w:after="0"/>
              <w:rPr>
                <w:sz w:val="18"/>
                <w:szCs w:val="18"/>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2025, by and between Teri Lawver and Celldex</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Therapeutics, Inc.</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†10.19</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Celldex Therapeutics, Inc. 2021 Plan Form of Restricted</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w w:val="94"/>
              </w:rPr>
              <w:t>8-K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6/17/21</w:t>
            </w: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Stock Award Agreement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†10.20</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Celldex Therapeutics, Inc. 2021 Plan Form of Incentive</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w w:val="94"/>
              </w:rPr>
              <w:t>8-K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6/17/21</w:t>
            </w: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Stock Option Grant Agreement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†10.21</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Celldex Therapeutics, Inc. 2021 Plan Form of</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w w:val="94"/>
              </w:rPr>
              <w:t>8-K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6/17/21</w:t>
            </w: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Nonqualified Stock Option Grant Agreement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†10.22</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Celldex Therapeutics, Inc. 2021 Plan Form of Restricted</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w w:val="94"/>
              </w:rPr>
              <w:t>8-K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6/17/21</w:t>
            </w: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Stock Unit Award Agreement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†10.23</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2008 Plan Form of Stock Option Agreement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10-Q</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8/08/18</w:t>
            </w:r>
          </w:p>
        </w:tc>
      </w:tr>
      <w:tr>
        <w:trPr>
          <w:trHeight w:val="255"/>
        </w:trPr>
        <w:tc>
          <w:tcPr>
            <w:tcW w:w="8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†10.24</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2008 Plan Form of Restricted Stock Award</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10-K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10.42</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3/12/10</w:t>
            </w:r>
          </w:p>
        </w:tc>
      </w:tr>
      <w:tr>
        <w:trPr>
          <w:trHeight w:val="255"/>
        </w:trPr>
        <w:tc>
          <w:tcPr>
            <w:tcW w:w="8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19.1</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Celldex Therapeutics, Inc. Insider Trading Policy</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10-K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19.1</w:t>
            </w:r>
          </w:p>
        </w:tc>
        <w:tc>
          <w:tcPr>
            <w:tcW w:w="1260" w:type="dxa"/>
            <w:vAlign w:val="bottom"/>
          </w:tcPr>
          <w:p>
            <w:pPr>
              <w:jc w:val="center"/>
              <w:ind w:left="505"/>
              <w:spacing w:after="0"/>
              <w:rPr>
                <w:sz w:val="20"/>
                <w:szCs w:val="20"/>
                <w:color w:val="auto"/>
              </w:rPr>
            </w:pPr>
            <w:r>
              <w:rPr>
                <w:rFonts w:ascii="Times New Roman" w:cs="Times New Roman" w:eastAsia="Times New Roman" w:hAnsi="Times New Roman"/>
                <w:sz w:val="19"/>
                <w:szCs w:val="19"/>
                <w:color w:val="auto"/>
                <w:w w:val="99"/>
              </w:rPr>
              <w:t>2/27/25</w:t>
            </w:r>
          </w:p>
        </w:tc>
      </w:tr>
      <w:tr>
        <w:trPr>
          <w:trHeight w:val="255"/>
        </w:trPr>
        <w:tc>
          <w:tcPr>
            <w:tcW w:w="8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18"/>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21.1</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Subsidiaries of Celldex Therapeutics, Inc.</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23.1</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Consent of PricewaterhouseCoopers LLP, an Independent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Registered Public Accounting Firm</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18"/>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31.1</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Certification of President and Chief Executive Officer</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31.2</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Certification of Senior Vice President and Chief</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Financial Officer</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19"/>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32</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Section 1350 Certifications</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Furnished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1"/>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†97</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Celldex Therapeutics, Inc. Compensation Recovery</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10-K</w:t>
            </w:r>
          </w:p>
        </w:tc>
        <w:tc>
          <w:tcPr>
            <w:tcW w:w="16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97</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2/26/24</w:t>
            </w: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Policy</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(000-15006)</w:t>
            </w: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83"/>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101.INS</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Inline XBRL Instance Document - the instance document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8"/>
        </w:trPr>
        <w:tc>
          <w:tcPr>
            <w:tcW w:w="8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does not appear in the Interactive Data File because its</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8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XBRL tags are embedded within the Inline XBRL</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5"/>
        </w:trPr>
        <w:tc>
          <w:tcPr>
            <w:tcW w:w="820" w:type="dxa"/>
            <w:vAlign w:val="bottom"/>
          </w:tcPr>
          <w:p>
            <w:pPr>
              <w:spacing w:after="0"/>
              <w:rPr>
                <w:sz w:val="22"/>
                <w:szCs w:val="22"/>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document</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18"/>
        </w:trPr>
        <w:tc>
          <w:tcPr>
            <w:tcW w:w="8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6"/>
              </w:rPr>
              <w:t>101.SCH</w:t>
            </w:r>
          </w:p>
        </w:tc>
        <w:tc>
          <w:tcPr>
            <w:tcW w:w="47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c>
          <w:tcPr>
            <w:tcW w:w="2300" w:type="dxa"/>
            <w:vAlign w:val="bottom"/>
          </w:tcPr>
          <w:p>
            <w:pPr>
              <w:jc w:val="center"/>
              <w:ind w:right="285"/>
              <w:spacing w:after="0"/>
              <w:rPr>
                <w:sz w:val="20"/>
                <w:szCs w:val="20"/>
                <w:color w:val="auto"/>
              </w:rPr>
            </w:pPr>
            <w:r>
              <w:rPr>
                <w:rFonts w:ascii="Times New Roman" w:cs="Times New Roman" w:eastAsia="Times New Roman" w:hAnsi="Times New Roman"/>
                <w:sz w:val="19"/>
                <w:szCs w:val="19"/>
                <w:color w:val="auto"/>
              </w:rPr>
              <w:t>Filed herewith</w:t>
            </w: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10720"/>
          </w:cols>
          <w:pgMar w:left="600" w:top="1351"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720"/>
          </w:cols>
          <w:pgMar w:left="600" w:top="1351" w:right="560" w:bottom="0" w:gutter="0" w:footer="0" w:header="0"/>
          <w:type w:val="continuous"/>
        </w:sectPr>
      </w:pPr>
    </w:p>
    <w:bookmarkStart w:id="188" w:name="page189"/>
    <w:bookmarkEnd w:id="188"/>
    <w:tbl>
      <w:tblPr>
        <w:tblLayout w:type="fixed"/>
        <w:tblInd w:w="40" w:type="dxa"/>
        <w:tblCellMar>
          <w:top w:w="0" w:type="dxa"/>
          <w:left w:w="0" w:type="dxa"/>
          <w:bottom w:w="0" w:type="dxa"/>
          <w:right w:w="0" w:type="dxa"/>
        </w:tblCellMar>
      </w:tblPr>
      <w:tr>
        <w:trPr>
          <w:trHeight w:val="218"/>
        </w:trPr>
        <w:tc>
          <w:tcPr>
            <w:tcW w:w="8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8"/>
              </w:rPr>
              <w:t>101.CAL</w:t>
            </w: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Calculation Linkbase</w:t>
            </w:r>
          </w:p>
        </w:tc>
        <w:tc>
          <w:tcPr>
            <w:tcW w:w="142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55"/>
        </w:trPr>
        <w:tc>
          <w:tcPr>
            <w:tcW w:w="840" w:type="dxa"/>
            <w:vAlign w:val="bottom"/>
          </w:tcPr>
          <w:p>
            <w:pPr>
              <w:spacing w:after="0"/>
              <w:rPr>
                <w:sz w:val="22"/>
                <w:szCs w:val="22"/>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Document</w:t>
            </w:r>
          </w:p>
        </w:tc>
        <w:tc>
          <w:tcPr>
            <w:tcW w:w="1420" w:type="dxa"/>
            <w:vAlign w:val="bottom"/>
          </w:tcPr>
          <w:p>
            <w:pPr>
              <w:spacing w:after="0"/>
              <w:rPr>
                <w:sz w:val="22"/>
                <w:szCs w:val="22"/>
                <w:color w:val="auto"/>
              </w:rPr>
            </w:pPr>
          </w:p>
        </w:tc>
      </w:tr>
      <w:tr>
        <w:trPr>
          <w:trHeight w:val="281"/>
        </w:trPr>
        <w:tc>
          <w:tcPr>
            <w:tcW w:w="8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101.DEF</w:t>
            </w: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Definition Linkbase</w:t>
            </w:r>
          </w:p>
        </w:tc>
        <w:tc>
          <w:tcPr>
            <w:tcW w:w="142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55"/>
        </w:trPr>
        <w:tc>
          <w:tcPr>
            <w:tcW w:w="840" w:type="dxa"/>
            <w:vAlign w:val="bottom"/>
          </w:tcPr>
          <w:p>
            <w:pPr>
              <w:spacing w:after="0"/>
              <w:rPr>
                <w:sz w:val="22"/>
                <w:szCs w:val="22"/>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Document</w:t>
            </w:r>
          </w:p>
        </w:tc>
        <w:tc>
          <w:tcPr>
            <w:tcW w:w="1420" w:type="dxa"/>
            <w:vAlign w:val="bottom"/>
          </w:tcPr>
          <w:p>
            <w:pPr>
              <w:spacing w:after="0"/>
              <w:rPr>
                <w:sz w:val="22"/>
                <w:szCs w:val="22"/>
                <w:color w:val="auto"/>
              </w:rPr>
            </w:pPr>
          </w:p>
        </w:tc>
      </w:tr>
      <w:tr>
        <w:trPr>
          <w:trHeight w:val="283"/>
        </w:trPr>
        <w:tc>
          <w:tcPr>
            <w:tcW w:w="8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8"/>
              </w:rPr>
              <w:t>101.LAB</w:t>
            </w: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Label Linkbase</w:t>
            </w:r>
          </w:p>
        </w:tc>
        <w:tc>
          <w:tcPr>
            <w:tcW w:w="142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55"/>
        </w:trPr>
        <w:tc>
          <w:tcPr>
            <w:tcW w:w="840" w:type="dxa"/>
            <w:vAlign w:val="bottom"/>
          </w:tcPr>
          <w:p>
            <w:pPr>
              <w:spacing w:after="0"/>
              <w:rPr>
                <w:sz w:val="22"/>
                <w:szCs w:val="22"/>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Document</w:t>
            </w:r>
          </w:p>
        </w:tc>
        <w:tc>
          <w:tcPr>
            <w:tcW w:w="1420" w:type="dxa"/>
            <w:vAlign w:val="bottom"/>
          </w:tcPr>
          <w:p>
            <w:pPr>
              <w:spacing w:after="0"/>
              <w:rPr>
                <w:sz w:val="22"/>
                <w:szCs w:val="22"/>
                <w:color w:val="auto"/>
              </w:rPr>
            </w:pPr>
          </w:p>
        </w:tc>
      </w:tr>
      <w:tr>
        <w:trPr>
          <w:trHeight w:val="281"/>
        </w:trPr>
        <w:tc>
          <w:tcPr>
            <w:tcW w:w="84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101.PRE</w:t>
            </w: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Inline XBRL Taxonomy Extension Presentation Linkbase</w:t>
            </w:r>
          </w:p>
        </w:tc>
        <w:tc>
          <w:tcPr>
            <w:tcW w:w="1420" w:type="dxa"/>
            <w:vAlign w:val="bottom"/>
          </w:tcPr>
          <w:p>
            <w:pPr>
              <w:ind w:left="300"/>
              <w:spacing w:after="0"/>
              <w:rPr>
                <w:sz w:val="20"/>
                <w:szCs w:val="20"/>
                <w:color w:val="auto"/>
              </w:rPr>
            </w:pPr>
            <w:r>
              <w:rPr>
                <w:rFonts w:ascii="Times New Roman" w:cs="Times New Roman" w:eastAsia="Times New Roman" w:hAnsi="Times New Roman"/>
                <w:sz w:val="19"/>
                <w:szCs w:val="19"/>
                <w:color w:val="auto"/>
                <w:w w:val="99"/>
              </w:rPr>
              <w:t>Filed herewith</w:t>
            </w:r>
          </w:p>
        </w:tc>
      </w:tr>
      <w:tr>
        <w:trPr>
          <w:trHeight w:val="255"/>
        </w:trPr>
        <w:tc>
          <w:tcPr>
            <w:tcW w:w="840" w:type="dxa"/>
            <w:vAlign w:val="bottom"/>
          </w:tcPr>
          <w:p>
            <w:pPr>
              <w:spacing w:after="0"/>
              <w:rPr>
                <w:sz w:val="22"/>
                <w:szCs w:val="22"/>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Document</w:t>
            </w:r>
          </w:p>
        </w:tc>
        <w:tc>
          <w:tcPr>
            <w:tcW w:w="1420" w:type="dxa"/>
            <w:vAlign w:val="bottom"/>
          </w:tcPr>
          <w:p>
            <w:pPr>
              <w:spacing w:after="0"/>
              <w:rPr>
                <w:sz w:val="22"/>
                <w:szCs w:val="22"/>
                <w:color w:val="auto"/>
              </w:rPr>
            </w:pPr>
          </w:p>
        </w:tc>
      </w:tr>
    </w:tbl>
    <w:p>
      <w:pPr>
        <w:spacing w:after="0" w:line="64" w:lineRule="exact"/>
        <w:rPr>
          <w:sz w:val="20"/>
          <w:szCs w:val="20"/>
          <w:color w:val="auto"/>
        </w:rPr>
      </w:pPr>
    </w:p>
    <w:p>
      <w:pPr>
        <w:ind w:left="980" w:right="5740" w:hanging="502"/>
        <w:spacing w:after="0" w:line="279" w:lineRule="auto"/>
        <w:tabs>
          <w:tab w:leader="none" w:pos="980" w:val="left"/>
        </w:tabs>
        <w:numPr>
          <w:ilvl w:val="2"/>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as Inline XBRL and contained in Exhibit 101)</w:t>
      </w:r>
    </w:p>
    <w:p>
      <w:pPr>
        <w:spacing w:after="0" w:line="158" w:lineRule="exact"/>
        <w:rPr>
          <w:rFonts w:ascii="Times New Roman" w:cs="Times New Roman" w:eastAsia="Times New Roman" w:hAnsi="Times New Roman"/>
          <w:sz w:val="19"/>
          <w:szCs w:val="19"/>
          <w:color w:val="auto"/>
        </w:rPr>
      </w:pPr>
    </w:p>
    <w:p>
      <w:pPr>
        <w:ind w:left="360" w:hanging="360"/>
        <w:spacing w:after="0" w:line="249" w:lineRule="auto"/>
        <w:tabs>
          <w:tab w:leader="none" w:pos="361"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confidential portions of this exhibit were redacted. Celldex Therapeutics, Inc. agrees to furnish supplementally to the U.S. Securities and Exchange Commission a copy of any omitted schedule and/or exhibit upon request. The confidential portions of this exhibit were omitted by means of marking such portions with asterisks because the identified confidential portions (i) are not material, (ii) would be competitively harmful if publicly disclosed and (iii) contain information that Celldex Therapeutics, Inc, customarily and actually treats as private or confidential.</w:t>
      </w:r>
    </w:p>
    <w:p>
      <w:pPr>
        <w:spacing w:after="0" w:line="157"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compensation plan, contract or arrangement.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-1029970</wp:posOffset>
                </wp:positionV>
                <wp:extent cx="171386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0999pt" to="134.95pt,-81.0999pt" o:allowincell="f" strokecolor="#000000" strokeweight="1.02pt"/>
            </w:pict>
          </mc:Fallback>
        </mc:AlternateConten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760"/>
          </w:cols>
          <w:pgMar w:left="540" w:top="1351" w:right="580" w:bottom="0" w:gutter="0" w:footer="0" w:header="0"/>
        </w:sectPr>
      </w:pPr>
    </w:p>
    <w:bookmarkStart w:id="189" w:name="page190"/>
    <w:bookmarkEnd w:id="189"/>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32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CELLDEX THERAPEUTICS, INC.</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0" w:type="dxa"/>
            <w:vAlign w:val="bottom"/>
          </w:tcPr>
          <w:p>
            <w:pPr>
              <w:ind w:left="5400"/>
              <w:spacing w:after="0"/>
              <w:rPr>
                <w:sz w:val="20"/>
                <w:szCs w:val="20"/>
                <w:color w:val="auto"/>
              </w:rPr>
            </w:pPr>
            <w:r>
              <w:rPr>
                <w:rFonts w:ascii="Times New Roman" w:cs="Times New Roman" w:eastAsia="Times New Roman" w:hAnsi="Times New Roman"/>
                <w:sz w:val="20"/>
                <w:szCs w:val="20"/>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ANTHONY S. MARUCCI</w:t>
            </w:r>
          </w:p>
        </w:tc>
      </w:tr>
      <w:tr>
        <w:trPr>
          <w:trHeight w:val="201"/>
        </w:trPr>
        <w:tc>
          <w:tcPr>
            <w:tcW w:w="580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Date</w:t>
            </w:r>
          </w:p>
        </w:tc>
        <w:tc>
          <w:tcPr>
            <w:tcW w:w="5000" w:type="dxa"/>
            <w:vAlign w:val="bottom"/>
          </w:tcPr>
          <w:p>
            <w:pPr>
              <w:jc w:val="center"/>
              <w:spacing w:after="0" w:line="201" w:lineRule="exact"/>
              <w:rPr>
                <w:sz w:val="20"/>
                <w:szCs w:val="20"/>
                <w:color w:val="auto"/>
              </w:rPr>
            </w:pPr>
            <w:r>
              <w:rPr>
                <w:rFonts w:ascii="Times New Roman" w:cs="Times New Roman" w:eastAsia="Times New Roman" w:hAnsi="Times New Roman"/>
                <w:sz w:val="20"/>
                <w:szCs w:val="20"/>
                <w:color w:val="auto"/>
                <w:w w:val="99"/>
              </w:rPr>
              <w:t>Anthony S. Marucci</w:t>
            </w:r>
          </w:p>
        </w:tc>
      </w:tr>
      <w:tr>
        <w:trPr>
          <w:trHeight w:val="267"/>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February 25, 2026</w:t>
            </w:r>
          </w:p>
        </w:tc>
        <w:tc>
          <w:tcPr>
            <w:tcW w:w="50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President and Chief Executive Officer</w:t>
            </w:r>
          </w:p>
        </w:tc>
      </w:tr>
    </w:tbl>
    <w:p>
      <w:pPr>
        <w:spacing w:after="0" w:line="193" w:lineRule="exact"/>
        <w:rPr>
          <w:sz w:val="20"/>
          <w:szCs w:val="20"/>
          <w:color w:val="auto"/>
        </w:rPr>
      </w:pPr>
    </w:p>
    <w:p>
      <w:pPr>
        <w:ind w:right="440" w:firstLine="3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300" w:type="dxa"/>
            <w:vAlign w:val="bottom"/>
          </w:tcPr>
          <w:p>
            <w:pPr>
              <w:spacing w:after="0"/>
              <w:rPr>
                <w:sz w:val="17"/>
                <w:szCs w:val="17"/>
                <w:color w:val="auto"/>
              </w:rPr>
            </w:pPr>
          </w:p>
        </w:tc>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8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50"/>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ANTHONY S. MARUCCI</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Anthony S. Marucci</w:t>
            </w:r>
          </w:p>
        </w:tc>
        <w:tc>
          <w:tcPr>
            <w:tcW w:w="300" w:type="dxa"/>
            <w:vAlign w:val="bottom"/>
          </w:tcPr>
          <w:p>
            <w:pPr>
              <w:spacing w:after="0"/>
              <w:rPr>
                <w:sz w:val="22"/>
                <w:szCs w:val="22"/>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SAM MARTIN</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Senior Vice President,</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199"/>
        </w:trPr>
        <w:tc>
          <w:tcPr>
            <w:tcW w:w="28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Sam Martin</w:t>
            </w:r>
          </w:p>
        </w:tc>
        <w:tc>
          <w:tcPr>
            <w:tcW w:w="300" w:type="dxa"/>
            <w:vAlign w:val="bottom"/>
          </w:tcPr>
          <w:p>
            <w:pPr>
              <w:spacing w:after="0"/>
              <w:rPr>
                <w:sz w:val="17"/>
                <w:szCs w:val="17"/>
                <w:color w:val="auto"/>
              </w:rPr>
            </w:pPr>
          </w:p>
        </w:tc>
        <w:tc>
          <w:tcPr>
            <w:tcW w:w="58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rPr>
              <w:t>Chief Financial Officer and Treasurer</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67"/>
        </w:trPr>
        <w:tc>
          <w:tcPr>
            <w:tcW w:w="2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444"/>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HARRY H. PENNER, JR.</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 Chair of the Board of Directors</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Harry H. Penner, Jr.</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KEITH L. BROWNLIE</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Keith L. Brownlie</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CHERYL L. COHEN</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Cheryl L. Cohen</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5"/>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HERBERT J. CONRAD</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Herbert J. Conrad</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RITA I. JAIN, M.D,</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Rita I. Jain, M.D.</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JAMES J. MARINO</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James J. Marino</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5"/>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GARRY A. NEIL, M.D.</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Garry A. Neil, M.D.</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42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DENICE TORRES</w:t>
            </w:r>
          </w:p>
        </w:tc>
        <w:tc>
          <w:tcPr>
            <w:tcW w:w="300" w:type="dxa"/>
            <w:vAlign w:val="bottom"/>
          </w:tcPr>
          <w:p>
            <w:pPr>
              <w:spacing w:after="0"/>
              <w:rPr>
                <w:sz w:val="24"/>
                <w:szCs w:val="24"/>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2026</w:t>
            </w:r>
          </w:p>
        </w:tc>
      </w:tr>
      <w:tr>
        <w:trPr>
          <w:trHeight w:val="256"/>
        </w:trPr>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Denice Torres</w:t>
            </w:r>
          </w:p>
        </w:tc>
        <w:tc>
          <w:tcPr>
            <w:tcW w:w="30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10800"/>
          </w:cols>
          <w:pgMar w:left="540" w:top="134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10800"/>
          </w:cols>
          <w:pgMar w:left="540" w:top="1347" w:right="540" w:bottom="0" w:gutter="0" w:footer="0" w:header="0"/>
          <w:type w:val="continuous"/>
        </w:sectPr>
      </w:pPr>
    </w:p>
    <w:bookmarkStart w:id="190" w:name="page191"/>
    <w:bookmarkEnd w:id="19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Anthony S. Marucci, certify that:</w:t>
      </w:r>
    </w:p>
    <w:p>
      <w:pPr>
        <w:spacing w:after="0" w:line="240" w:lineRule="exact"/>
        <w:rPr>
          <w:sz w:val="20"/>
          <w:szCs w:val="20"/>
          <w:color w:val="auto"/>
        </w:rPr>
      </w:pPr>
    </w:p>
    <w:p>
      <w:pPr>
        <w:ind w:left="720" w:hanging="360"/>
        <w:spacing w:after="0"/>
        <w:tabs>
          <w:tab w:leader="none" w:pos="7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Celldex Therapeutics, Inc.;</w:t>
      </w:r>
    </w:p>
    <w:p>
      <w:pPr>
        <w:spacing w:after="0" w:line="239" w:lineRule="exact"/>
        <w:rPr>
          <w:rFonts w:ascii="Times New Roman" w:cs="Times New Roman" w:eastAsia="Times New Roman" w:hAnsi="Times New Roman"/>
          <w:sz w:val="20"/>
          <w:szCs w:val="20"/>
          <w:color w:val="auto"/>
        </w:rPr>
      </w:pPr>
    </w:p>
    <w:p>
      <w:pPr>
        <w:ind w:right="260" w:firstLine="360"/>
        <w:spacing w:after="0" w:line="259" w:lineRule="auto"/>
        <w:tabs>
          <w:tab w:leader="none" w:pos="7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20"/>
          <w:szCs w:val="20"/>
          <w:color w:val="auto"/>
        </w:rPr>
      </w:pPr>
    </w:p>
    <w:p>
      <w:pPr>
        <w:jc w:val="both"/>
        <w:ind w:firstLine="360"/>
        <w:spacing w:after="0" w:line="259" w:lineRule="auto"/>
        <w:tabs>
          <w:tab w:leader="none" w:pos="7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Times New Roman" w:cs="Times New Roman" w:eastAsia="Times New Roman" w:hAnsi="Times New Roman"/>
          <w:sz w:val="20"/>
          <w:szCs w:val="20"/>
          <w:color w:val="auto"/>
        </w:rPr>
      </w:pPr>
    </w:p>
    <w:p>
      <w:pPr>
        <w:ind w:right="40" w:firstLine="359"/>
        <w:spacing w:after="0" w:line="259" w:lineRule="auto"/>
        <w:tabs>
          <w:tab w:leader="none" w:pos="7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85" w:lineRule="exact"/>
        <w:rPr>
          <w:rFonts w:ascii="Times New Roman" w:cs="Times New Roman" w:eastAsia="Times New Roman" w:hAnsi="Times New Roman"/>
          <w:sz w:val="20"/>
          <w:szCs w:val="20"/>
          <w:color w:val="auto"/>
        </w:rPr>
      </w:pPr>
    </w:p>
    <w:p>
      <w:pPr>
        <w:ind w:left="360" w:right="60" w:firstLine="359"/>
        <w:spacing w:after="0" w:line="259" w:lineRule="auto"/>
        <w:tabs>
          <w:tab w:leader="none" w:pos="14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20"/>
          <w:szCs w:val="20"/>
          <w:color w:val="auto"/>
        </w:rPr>
      </w:pPr>
    </w:p>
    <w:p>
      <w:pPr>
        <w:jc w:val="both"/>
        <w:ind w:left="360" w:firstLine="359"/>
        <w:spacing w:after="0" w:line="259" w:lineRule="auto"/>
        <w:tabs>
          <w:tab w:leader="none" w:pos="14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20"/>
          <w:szCs w:val="20"/>
          <w:color w:val="auto"/>
        </w:rPr>
      </w:pPr>
    </w:p>
    <w:p>
      <w:pPr>
        <w:jc w:val="both"/>
        <w:ind w:left="360" w:right="300" w:firstLine="360"/>
        <w:spacing w:after="0" w:line="259" w:lineRule="auto"/>
        <w:tabs>
          <w:tab w:leader="none" w:pos="1439"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Times New Roman" w:cs="Times New Roman" w:eastAsia="Times New Roman" w:hAnsi="Times New Roman"/>
          <w:sz w:val="20"/>
          <w:szCs w:val="20"/>
          <w:color w:val="auto"/>
        </w:rPr>
      </w:pPr>
    </w:p>
    <w:p>
      <w:pPr>
        <w:jc w:val="both"/>
        <w:ind w:left="360" w:right="160" w:firstLine="359"/>
        <w:spacing w:after="0" w:line="259" w:lineRule="auto"/>
        <w:tabs>
          <w:tab w:leader="none" w:pos="14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20"/>
          <w:szCs w:val="20"/>
          <w:color w:val="auto"/>
        </w:rPr>
      </w:pPr>
    </w:p>
    <w:p>
      <w:pPr>
        <w:ind w:right="240" w:firstLine="359"/>
        <w:spacing w:after="0" w:line="259" w:lineRule="auto"/>
        <w:tabs>
          <w:tab w:leader="none" w:pos="72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20"/>
          <w:szCs w:val="20"/>
          <w:color w:val="auto"/>
        </w:rPr>
      </w:pPr>
    </w:p>
    <w:p>
      <w:pPr>
        <w:ind w:left="360" w:right="60" w:firstLine="360"/>
        <w:spacing w:after="0" w:line="259" w:lineRule="auto"/>
        <w:tabs>
          <w:tab w:leader="none" w:pos="14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Times New Roman" w:cs="Times New Roman" w:eastAsia="Times New Roman" w:hAnsi="Times New Roman"/>
          <w:sz w:val="20"/>
          <w:szCs w:val="20"/>
          <w:color w:val="auto"/>
        </w:rPr>
      </w:pPr>
    </w:p>
    <w:p>
      <w:pPr>
        <w:ind w:left="360" w:right="80" w:firstLine="360"/>
        <w:spacing w:after="0" w:line="277" w:lineRule="auto"/>
        <w:tabs>
          <w:tab w:leader="none" w:pos="144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25, 2026</w:t>
            </w:r>
          </w:p>
        </w:tc>
        <w:tc>
          <w:tcPr>
            <w:tcW w:w="712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By /s/ ANTHONY S. MARUCCI</w:t>
            </w: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Name: Anthony S. Marucci</w:t>
            </w:r>
          </w:p>
        </w:tc>
      </w:tr>
      <w:tr>
        <w:trPr>
          <w:trHeight w:val="267"/>
        </w:trPr>
        <w:tc>
          <w:tcPr>
            <w:tcW w:w="36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President and Chief Executive Officer</w:t>
            </w:r>
          </w:p>
        </w:tc>
      </w:tr>
    </w:tbl>
    <w:p>
      <w:pPr>
        <w:sectPr>
          <w:pgSz w:w="11880" w:h="15480" w:orient="portrait"/>
          <w:cols w:equalWidth="0" w:num="1">
            <w:col w:w="10800"/>
          </w:cols>
          <w:pgMar w:left="540" w:top="516" w:right="5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Sam Martin, certify that:</w:t>
      </w:r>
    </w:p>
    <w:p>
      <w:pPr>
        <w:spacing w:after="0" w:line="240" w:lineRule="exact"/>
        <w:rPr>
          <w:sz w:val="20"/>
          <w:szCs w:val="20"/>
          <w:color w:val="auto"/>
        </w:rPr>
      </w:pPr>
    </w:p>
    <w:p>
      <w:pPr>
        <w:ind w:left="720" w:hanging="360"/>
        <w:spacing w:after="0"/>
        <w:tabs>
          <w:tab w:leader="none" w:pos="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Celldex Therapeutics, Inc.;</w:t>
      </w:r>
    </w:p>
    <w:p>
      <w:pPr>
        <w:spacing w:after="0" w:line="239" w:lineRule="exact"/>
        <w:rPr>
          <w:rFonts w:ascii="Times New Roman" w:cs="Times New Roman" w:eastAsia="Times New Roman" w:hAnsi="Times New Roman"/>
          <w:sz w:val="20"/>
          <w:szCs w:val="20"/>
          <w:color w:val="auto"/>
        </w:rPr>
      </w:pPr>
    </w:p>
    <w:p>
      <w:pPr>
        <w:ind w:right="260" w:firstLine="360"/>
        <w:spacing w:after="0" w:line="259" w:lineRule="auto"/>
        <w:tabs>
          <w:tab w:leader="none" w:pos="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20"/>
          <w:szCs w:val="20"/>
          <w:color w:val="auto"/>
        </w:rPr>
      </w:pPr>
    </w:p>
    <w:p>
      <w:pPr>
        <w:jc w:val="both"/>
        <w:ind w:firstLine="360"/>
        <w:spacing w:after="0" w:line="259" w:lineRule="auto"/>
        <w:tabs>
          <w:tab w:leader="none" w:pos="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Times New Roman" w:cs="Times New Roman" w:eastAsia="Times New Roman" w:hAnsi="Times New Roman"/>
          <w:sz w:val="20"/>
          <w:szCs w:val="20"/>
          <w:color w:val="auto"/>
        </w:rPr>
      </w:pPr>
    </w:p>
    <w:p>
      <w:pPr>
        <w:ind w:right="40" w:firstLine="359"/>
        <w:spacing w:after="0" w:line="259" w:lineRule="auto"/>
        <w:tabs>
          <w:tab w:leader="none" w:pos="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185" w:lineRule="exact"/>
        <w:rPr>
          <w:rFonts w:ascii="Times New Roman" w:cs="Times New Roman" w:eastAsia="Times New Roman" w:hAnsi="Times New Roman"/>
          <w:sz w:val="20"/>
          <w:szCs w:val="20"/>
          <w:color w:val="auto"/>
        </w:rPr>
      </w:pPr>
    </w:p>
    <w:p>
      <w:pPr>
        <w:ind w:left="360" w:right="60" w:firstLine="359"/>
        <w:spacing w:after="0" w:line="259" w:lineRule="auto"/>
        <w:tabs>
          <w:tab w:leader="none" w:pos="14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20"/>
          <w:szCs w:val="20"/>
          <w:color w:val="auto"/>
        </w:rPr>
      </w:pPr>
    </w:p>
    <w:p>
      <w:pPr>
        <w:jc w:val="both"/>
        <w:ind w:left="360" w:firstLine="359"/>
        <w:spacing w:after="0" w:line="259" w:lineRule="auto"/>
        <w:tabs>
          <w:tab w:leader="none" w:pos="14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20"/>
          <w:szCs w:val="20"/>
          <w:color w:val="auto"/>
        </w:rPr>
      </w:pPr>
    </w:p>
    <w:p>
      <w:pPr>
        <w:jc w:val="both"/>
        <w:ind w:left="360" w:right="300" w:firstLine="360"/>
        <w:spacing w:after="0" w:line="259" w:lineRule="auto"/>
        <w:tabs>
          <w:tab w:leader="none" w:pos="1439"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Times New Roman" w:cs="Times New Roman" w:eastAsia="Times New Roman" w:hAnsi="Times New Roman"/>
          <w:sz w:val="20"/>
          <w:szCs w:val="20"/>
          <w:color w:val="auto"/>
        </w:rPr>
      </w:pPr>
    </w:p>
    <w:p>
      <w:pPr>
        <w:jc w:val="both"/>
        <w:ind w:left="360" w:right="160" w:firstLine="359"/>
        <w:spacing w:after="0" w:line="259" w:lineRule="auto"/>
        <w:tabs>
          <w:tab w:leader="none" w:pos="14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20"/>
          <w:szCs w:val="20"/>
          <w:color w:val="auto"/>
        </w:rPr>
      </w:pPr>
    </w:p>
    <w:p>
      <w:pPr>
        <w:ind w:right="240" w:firstLine="359"/>
        <w:spacing w:after="0" w:line="259" w:lineRule="auto"/>
        <w:tabs>
          <w:tab w:leader="none" w:pos="7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20"/>
          <w:szCs w:val="20"/>
          <w:color w:val="auto"/>
        </w:rPr>
      </w:pPr>
    </w:p>
    <w:p>
      <w:pPr>
        <w:ind w:left="360" w:right="60" w:firstLine="360"/>
        <w:spacing w:after="0" w:line="259" w:lineRule="auto"/>
        <w:tabs>
          <w:tab w:leader="none" w:pos="14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Times New Roman" w:cs="Times New Roman" w:eastAsia="Times New Roman" w:hAnsi="Times New Roman"/>
          <w:sz w:val="20"/>
          <w:szCs w:val="20"/>
          <w:color w:val="auto"/>
        </w:rPr>
      </w:pPr>
    </w:p>
    <w:p>
      <w:pPr>
        <w:ind w:left="360" w:right="80" w:firstLine="360"/>
        <w:spacing w:after="0" w:line="277" w:lineRule="auto"/>
        <w:tabs>
          <w:tab w:leader="none" w:pos="14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25, 2026</w:t>
            </w:r>
          </w:p>
        </w:tc>
        <w:tc>
          <w:tcPr>
            <w:tcW w:w="712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By /s/ SAM MARTIN</w:t>
            </w:r>
          </w:p>
        </w:tc>
      </w:tr>
      <w:tr>
        <w:trPr>
          <w:trHeight w:val="199"/>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8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Name: Sam Martin</w:t>
            </w:r>
          </w:p>
        </w:tc>
      </w:tr>
      <w:tr>
        <w:trPr>
          <w:trHeight w:val="267"/>
        </w:trPr>
        <w:tc>
          <w:tcPr>
            <w:tcW w:w="36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Senior Vice President and Chief Financial Officer</w:t>
            </w:r>
          </w:p>
        </w:tc>
      </w:tr>
    </w:tbl>
    <w:p>
      <w:pPr>
        <w:sectPr>
          <w:pgSz w:w="11880" w:h="15480" w:orient="portrait"/>
          <w:cols w:equalWidth="0" w:num="1">
            <w:col w:w="10800"/>
          </w:cols>
          <w:pgMar w:left="540" w:top="516" w:right="5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CHIEF FINANCIAL OFFICER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11"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2025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25, 2026</w:t>
            </w:r>
          </w:p>
        </w:tc>
        <w:tc>
          <w:tcPr>
            <w:tcW w:w="712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By: /s/ ANTHONY S. MARUCCI</w:t>
            </w: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Name: Anthony S. Marucci</w:t>
            </w:r>
          </w:p>
        </w:tc>
      </w:tr>
      <w:tr>
        <w:trPr>
          <w:trHeight w:val="267"/>
        </w:trPr>
        <w:tc>
          <w:tcPr>
            <w:tcW w:w="36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President and Chief Executive Officer</w:t>
            </w:r>
          </w:p>
        </w:tc>
      </w:tr>
      <w:tr>
        <w:trPr>
          <w:trHeight w:val="443"/>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25, 2026</w:t>
            </w:r>
          </w:p>
        </w:tc>
        <w:tc>
          <w:tcPr>
            <w:tcW w:w="7120" w:type="dxa"/>
            <w:vAlign w:val="bottom"/>
            <w:gridSpan w:val="2"/>
          </w:tcPr>
          <w:p>
            <w:pPr>
              <w:ind w:left="1720"/>
              <w:spacing w:after="0"/>
              <w:rPr>
                <w:sz w:val="20"/>
                <w:szCs w:val="20"/>
                <w:color w:val="auto"/>
              </w:rPr>
            </w:pPr>
            <w:r>
              <w:rPr>
                <w:rFonts w:ascii="Times New Roman" w:cs="Times New Roman" w:eastAsia="Times New Roman" w:hAnsi="Times New Roman"/>
                <w:sz w:val="20"/>
                <w:szCs w:val="20"/>
                <w:color w:val="auto"/>
              </w:rPr>
              <w:t>By: /s/ SAM MARTIN</w:t>
            </w:r>
          </w:p>
        </w:tc>
      </w:tr>
      <w:tr>
        <w:trPr>
          <w:trHeight w:val="201"/>
        </w:trPr>
        <w:tc>
          <w:tcPr>
            <w:tcW w:w="3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0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20"/>
                <w:szCs w:val="20"/>
                <w:color w:val="auto"/>
              </w:rPr>
              <w:t>Name: Sam Martin</w:t>
            </w:r>
          </w:p>
        </w:tc>
      </w:tr>
      <w:tr>
        <w:trPr>
          <w:trHeight w:val="267"/>
        </w:trPr>
        <w:tc>
          <w:tcPr>
            <w:tcW w:w="36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i w:val="1"/>
                <w:iCs w:val="1"/>
                <w:color w:val="auto"/>
              </w:rPr>
              <w:t>Senior Vice President and Chief Financial Officer</w:t>
            </w:r>
          </w:p>
        </w:tc>
      </w:tr>
    </w:tbl>
    <w:p>
      <w:pPr>
        <w:spacing w:after="0" w:line="193" w:lineRule="exact"/>
        <w:rPr>
          <w:sz w:val="20"/>
          <w:szCs w:val="20"/>
          <w:color w:val="auto"/>
        </w:rPr>
      </w:pPr>
    </w:p>
    <w:p>
      <w:pPr>
        <w:ind w:right="400" w:firstLine="360"/>
        <w:spacing w:after="0" w:line="278" w:lineRule="auto"/>
        <w:rPr>
          <w:sz w:val="20"/>
          <w:szCs w:val="20"/>
          <w:color w:val="auto"/>
        </w:rPr>
      </w:pPr>
      <w:r>
        <w:rPr>
          <w:rFonts w:ascii="Times New Roman" w:cs="Times New Roman" w:eastAsia="Times New Roman" w:hAnsi="Times New Roman"/>
          <w:sz w:val="20"/>
          <w:szCs w:val="20"/>
          <w:color w:val="auto"/>
        </w:rPr>
        <w:t>This certification shall not be deemed “filed” for any purpose, nor shall it be deemed to be incorporated by reference into any filing under the Securities Act of 1933 or the Exchange Act.</w:t>
      </w:r>
    </w:p>
    <w:sectPr>
      <w:pgSz w:w="11880" w:h="15480" w:orient="portrait"/>
      <w:cols w:equalWidth="0" w:num="1">
        <w:col w:w="10800"/>
      </w:cols>
      <w:pgMar w:left="540" w:top="516" w:right="5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lowerRoman"/>
      <w:start w:val="2"/>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1)"/>
      <w:numFmt w:val="lowerRoman"/>
      <w:start w:val="2"/>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1)"/>
      <w:numFmt w:val="decimal"/>
      <w:start w:val="1"/>
    </w:lvl>
  </w:abstractNum>
  <w:abstractNum w:abstractNumId="20">
    <w:nsid w:val="613EFDC5"/>
    <w:multiLevelType w:val="hybridMultilevel"/>
    <w:lvl w:ilvl="0">
      <w:lvlJc w:val="left"/>
      <w:lvlText w:val="(%1)"/>
      <w:numFmt w:val="lowerRoman"/>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1)"/>
      <w:numFmt w:val="decimal"/>
      <w:start w:val="1"/>
    </w:lvl>
  </w:abstractNum>
  <w:abstractNum w:abstractNumId="23">
    <w:nsid w:val="42963E5A"/>
    <w:multiLevelType w:val="hybridMultilevel"/>
    <w:lvl w:ilvl="0">
      <w:lvlJc w:val="left"/>
      <w:lvlText w:val="(%1)"/>
      <w:numFmt w:val="decimal"/>
      <w:start w:val="1"/>
    </w:lvl>
  </w:abstractNum>
  <w:abstractNum w:abstractNumId="24">
    <w:nsid w:val="A0382C5"/>
    <w:multiLevelType w:val="hybridMultilevel"/>
    <w:lvl w:ilvl="0">
      <w:lvlJc w:val="left"/>
      <w:lvlText w:val="(%1)"/>
      <w:numFmt w:val="decimal"/>
      <w:start w:val="1"/>
    </w:lvl>
  </w:abstractNum>
  <w:abstractNum w:abstractNumId="25">
    <w:nsid w:val="8F2B15E"/>
    <w:multiLevelType w:val="hybridMultilevel"/>
    <w:lvl w:ilvl="0">
      <w:lvlJc w:val="left"/>
      <w:lvlText w:val="(%1)"/>
      <w:numFmt w:val="decimal"/>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1)"/>
      <w:numFmt w:val="decimal"/>
      <w:start w:val="1"/>
    </w:lvl>
  </w:abstractNum>
  <w:abstractNum w:abstractNumId="28">
    <w:nsid w:val="68EB2F63"/>
    <w:multiLevelType w:val="hybridMultilevel"/>
    <w:lvl w:ilvl="0">
      <w:lvlJc w:val="left"/>
      <w:lvlText w:val="(%1)"/>
      <w:numFmt w:val="decimal"/>
      <w:start w:val="1"/>
    </w:lvl>
  </w:abstractNum>
  <w:abstractNum w:abstractNumId="29">
    <w:nsid w:val="4962813B"/>
    <w:multiLevelType w:val="hybridMultilevel"/>
    <w:lvl w:ilvl="0">
      <w:lvlJc w:val="left"/>
      <w:lvlText w:val="(%1)"/>
      <w:numFmt w:val="upperLetter"/>
      <w:start w:val="2"/>
    </w:lvl>
  </w:abstractNum>
  <w:abstractNum w:abstractNumId="30">
    <w:nsid w:val="60B6DF70"/>
    <w:multiLevelType w:val="hybridMultilevel"/>
    <w:lvl w:ilvl="0">
      <w:lvlJc w:val="left"/>
      <w:lvlText w:val="(%1)"/>
      <w:numFmt w:val="decimal"/>
      <w:start w:val="1"/>
    </w:lvl>
  </w:abstractNum>
  <w:abstractNum w:abstractNumId="31">
    <w:nsid w:val="6A5EE64"/>
    <w:multiLevelType w:val="hybridMultilevel"/>
    <w:lvl w:ilvl="0">
      <w:lvlJc w:val="left"/>
      <w:lvlText w:val="%1"/>
      <w:numFmt w:val="decimal"/>
      <w:start w:val="1"/>
    </w:lvl>
    <w:lvl w:ilvl="1">
      <w:lvlJc w:val="left"/>
      <w:lvlText w:val="(%2)"/>
      <w:numFmt w:val="lowerLetter"/>
      <w:start w:val="1"/>
    </w:lvl>
  </w:abstractNum>
  <w:abstractNum w:abstractNumId="32">
    <w:nsid w:val="14330624"/>
    <w:multiLevelType w:val="hybridMultilevel"/>
    <w:lvl w:ilvl="0">
      <w:lvlJc w:val="left"/>
      <w:lvlText w:val="(%1)"/>
      <w:numFmt w:val="decimal"/>
      <w:start w:val="3"/>
    </w:lvl>
    <w:lvl w:ilvl="1">
      <w:lvlJc w:val="left"/>
      <w:lvlText w:val="%2"/>
      <w:numFmt w:val="lowerLetter"/>
      <w:start w:val="1"/>
    </w:lvl>
  </w:abstractNum>
  <w:abstractNum w:abstractNumId="33">
    <w:nsid w:val="7FFFCA11"/>
    <w:multiLevelType w:val="hybridMultilevel"/>
    <w:lvl w:ilvl="0">
      <w:lvlJc w:val="left"/>
      <w:lvlText w:val="(%1)"/>
      <w:numFmt w:val="decimal"/>
      <w:start w:val="1"/>
    </w:lvl>
  </w:abstractNum>
  <w:abstractNum w:abstractNumId="34">
    <w:nsid w:val="1A27709E"/>
    <w:multiLevelType w:val="hybridMultilevel"/>
    <w:lvl w:ilvl="0">
      <w:lvlJc w:val="left"/>
      <w:lvlText w:val="(%1)"/>
      <w:numFmt w:val="decimal"/>
      <w:start w:val="1"/>
    </w:lvl>
  </w:abstractNum>
  <w:abstractNum w:abstractNumId="35">
    <w:nsid w:val="71EA1109"/>
    <w:multiLevelType w:val="hybridMultilevel"/>
    <w:lvl w:ilvl="0">
      <w:lvlJc w:val="left"/>
      <w:lvlText w:val="%1."/>
      <w:numFmt w:val="decimal"/>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1)"/>
      <w:numFmt w:val="decimal"/>
      <w:start w:val="1"/>
    </w:lvl>
  </w:abstractNum>
  <w:abstractNum w:abstractNumId="40">
    <w:nsid w:val="94211F2"/>
    <w:multiLevelType w:val="hybridMultilevel"/>
    <w:lvl w:ilvl="0">
      <w:lvlJc w:val="left"/>
      <w:lvlText w:val="(%1)"/>
      <w:numFmt w:val="decimal"/>
      <w:start w:val="4"/>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lowerLetter"/>
      <w:start w:val="1"/>
    </w:lvl>
  </w:abstractNum>
  <w:abstractNum w:abstractNumId="44">
    <w:nsid w:val="1716703B"/>
    <w:multiLevelType w:val="hybridMultilevel"/>
    <w:lvl w:ilvl="0">
      <w:lvlJc w:val="left"/>
      <w:lvlText w:val="(%1)"/>
      <w:numFmt w:val="lowerLetter"/>
      <w:start w:val="4"/>
    </w:lvl>
  </w:abstractNum>
  <w:abstractNum w:abstractNumId="45">
    <w:nsid w:val="14E17E33"/>
    <w:multiLevelType w:val="hybridMultilevel"/>
    <w:lvl w:ilvl="0">
      <w:lvlJc w:val="left"/>
      <w:lvlText w:val="(%1)"/>
      <w:numFmt w:val="lowerLetter"/>
      <w:start w:val="7"/>
    </w:lvl>
  </w:abstractNum>
  <w:abstractNum w:abstractNumId="46">
    <w:nsid w:val="3222E7CD"/>
    <w:multiLevelType w:val="hybridMultilevel"/>
    <w:lvl w:ilvl="0">
      <w:lvlJc w:val="left"/>
      <w:lvlText w:val="(%1)"/>
      <w:numFmt w:val="lowerRoman"/>
      <w:start w:val="2"/>
    </w:lvl>
  </w:abstractNum>
  <w:abstractNum w:abstractNumId="47">
    <w:nsid w:val="74DE0EE3"/>
    <w:multiLevelType w:val="hybridMultilevel"/>
    <w:lvl w:ilvl="0">
      <w:lvlJc w:val="left"/>
      <w:lvlText w:val="(%1)"/>
      <w:numFmt w:val="lowerRoman"/>
      <w:start w:val="4"/>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1."/>
      <w:numFmt w:val="decimal"/>
      <w:start w:val="1"/>
    </w:lvl>
  </w:abstractNum>
  <w:abstractNum w:abstractNumId="50">
    <w:nsid w:val="46B7D447"/>
    <w:multiLevelType w:val="hybridMultilevel"/>
    <w:lvl w:ilvl="0">
      <w:lvlJc w:val="left"/>
      <w:lvlText w:val="%1."/>
      <w:numFmt w:val="decimal"/>
      <w:start w:val="2"/>
    </w:lvl>
  </w:abstractNum>
  <w:abstractNum w:abstractNumId="51">
    <w:nsid w:val="4A2AC315"/>
    <w:multiLevelType w:val="hybridMultilevel"/>
    <w:lvl w:ilvl="0">
      <w:lvlJc w:val="left"/>
      <w:lvlText w:val="%1"/>
      <w:numFmt w:val="decimal"/>
      <w:start w:val="1"/>
    </w:lvl>
    <w:lvl w:ilvl="1">
      <w:lvlJc w:val="left"/>
      <w:lvlText w:val="(%2)"/>
      <w:numFmt w:val="lowerRoman"/>
      <w:start w:val="3"/>
    </w:lvl>
  </w:abstractNum>
  <w:abstractNum w:abstractNumId="52">
    <w:nsid w:val="39EE015C"/>
    <w:multiLevelType w:val="hybridMultilevel"/>
    <w:lvl w:ilvl="0">
      <w:lvlJc w:val="left"/>
      <w:lvlText w:val="%1."/>
      <w:numFmt w:val="decimal"/>
      <w:start w:val="3"/>
    </w:lvl>
    <w:lvl w:ilvl="1">
      <w:lvlJc w:val="left"/>
      <w:lvlText w:val="%2"/>
      <w:numFmt w:val="lowerRoman"/>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lvl w:ilvl="1">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
      <w:numFmt w:val="bullet"/>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
      <w:numFmt w:val="bullet"/>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
      <w:numFmt w:val="bullet"/>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
      <w:numFmt w:val="bullet"/>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
      <w:numFmt w:val="bullet"/>
      <w:start w:val="1"/>
    </w:lvl>
  </w:abstractNum>
  <w:abstractNum w:abstractNumId="91">
    <w:nsid w:val="415E286C"/>
    <w:multiLevelType w:val="hybridMultilevel"/>
    <w:lvl w:ilvl="0">
      <w:lvlJc w:val="left"/>
      <w:lvlText w:val="•"/>
      <w:numFmt w:val="bullet"/>
      <w:start w:val="1"/>
    </w:lvl>
  </w:abstractNum>
  <w:abstractNum w:abstractNumId="92">
    <w:nsid w:val="7C58FD05"/>
    <w:multiLevelType w:val="hybridMultilevel"/>
    <w:lvl w:ilvl="0">
      <w:lvlJc w:val="left"/>
      <w:lvlText w:val="•"/>
      <w:numFmt w:val="bullet"/>
      <w:start w:val="1"/>
    </w:lvl>
  </w:abstractNum>
  <w:abstractNum w:abstractNumId="93">
    <w:nsid w:val="23D86AAC"/>
    <w:multiLevelType w:val="hybridMultilevel"/>
    <w:lvl w:ilvl="0">
      <w:lvlJc w:val="left"/>
      <w:lvlText w:val="•"/>
      <w:numFmt w:val="bullet"/>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
      <w:numFmt w:val="bullet"/>
      <w:start w:val="1"/>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
      <w:numFmt w:val="bullet"/>
      <w:start w:val="1"/>
    </w:lvl>
  </w:abstractNum>
  <w:abstractNum w:abstractNumId="98">
    <w:nsid w:val="4BD8591A"/>
    <w:multiLevelType w:val="hybridMultilevel"/>
    <w:lvl w:ilvl="0">
      <w:lvlJc w:val="left"/>
      <w:lvlText w:val="•"/>
      <w:numFmt w:val="bullet"/>
      <w:start w:val="1"/>
    </w:lvl>
  </w:abstractNum>
  <w:abstractNum w:abstractNumId="99">
    <w:nsid w:val="78DF6A55"/>
    <w:multiLevelType w:val="hybridMultilevel"/>
    <w:lvl w:ilvl="0">
      <w:lvlJc w:val="left"/>
      <w:lvlText w:val="•"/>
      <w:numFmt w:val="bullet"/>
      <w:start w:val="1"/>
    </w:lvl>
  </w:abstractNum>
  <w:abstractNum w:abstractNumId="100">
    <w:nsid w:val="39B7AAA2"/>
    <w:multiLevelType w:val="hybridMultilevel"/>
    <w:lvl w:ilvl="0">
      <w:lvlJc w:val="left"/>
      <w:lvlText w:val="•"/>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1)"/>
      <w:numFmt w:val="lowerRoman"/>
      <w:start w:val="1"/>
    </w:lvl>
  </w:abstractNum>
  <w:abstractNum w:abstractNumId="103">
    <w:nsid w:val="379E21B5"/>
    <w:multiLevelType w:val="hybridMultilevel"/>
    <w:lvl w:ilvl="0">
      <w:lvlJc w:val="left"/>
      <w:lvlText w:val="•"/>
      <w:numFmt w:val="bullet"/>
      <w:start w:val="1"/>
    </w:lvl>
  </w:abstractNum>
  <w:abstractNum w:abstractNumId="104">
    <w:nsid w:val="69E373"/>
    <w:multiLevelType w:val="hybridMultilevel"/>
    <w:lvl w:ilvl="0">
      <w:lvlJc w:val="left"/>
      <w:lvlText w:val="(%1)"/>
      <w:numFmt w:val="decimal"/>
      <w:start w:val="1"/>
    </w:lvl>
  </w:abstractNum>
  <w:abstractNum w:abstractNumId="105">
    <w:nsid w:val="2C27173B"/>
    <w:multiLevelType w:val="hybridMultilevel"/>
    <w:lvl w:ilvl="0">
      <w:lvlJc w:val="left"/>
      <w:lvlText w:val="•"/>
      <w:numFmt w:val="bullet"/>
      <w:start w:val="1"/>
    </w:lvl>
    <w:lvl w:ilvl="1">
      <w:lvlJc w:val="left"/>
      <w:lvlText w:val="−"/>
      <w:numFmt w:val="bullet"/>
      <w:start w:val="1"/>
    </w:lvl>
  </w:abstractNum>
  <w:abstractNum w:abstractNumId="106">
    <w:nsid w:val="4C9B0904"/>
    <w:multiLevelType w:val="hybridMultilevel"/>
    <w:lvl w:ilvl="0">
      <w:lvlJc w:val="left"/>
      <w:lvlText w:val="•"/>
      <w:numFmt w:val="bullet"/>
      <w:start w:val="1"/>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
      <w:numFmt w:val="bullet"/>
      <w:start w:val="1"/>
    </w:lvl>
  </w:abstractNum>
  <w:abstractNum w:abstractNumId="111">
    <w:nsid w:val="3DB012B3"/>
    <w:multiLevelType w:val="hybridMultilevel"/>
    <w:lvl w:ilvl="0">
      <w:lvlJc w:val="left"/>
      <w:lvlText w:val="•"/>
      <w:numFmt w:val="bullet"/>
      <w:start w:val="1"/>
    </w:lvl>
  </w:abstractNum>
  <w:abstractNum w:abstractNumId="112">
    <w:nsid w:val="2708C9AF"/>
    <w:multiLevelType w:val="hybridMultilevel"/>
    <w:lvl w:ilvl="0">
      <w:lvlJc w:val="left"/>
      <w:lvlText w:val="•"/>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
      <w:numFmt w:val="bullet"/>
      <w:start w:val="1"/>
    </w:lvl>
  </w:abstractNum>
  <w:abstractNum w:abstractNumId="119">
    <w:nsid w:val="56438D15"/>
    <w:multiLevelType w:val="hybridMultilevel"/>
    <w:lvl w:ilvl="0">
      <w:lvlJc w:val="left"/>
      <w:lvlText w:val="&amp;"/>
      <w:numFmt w:val="bullet"/>
      <w:start w:val="1"/>
    </w:lvl>
  </w:abstractNum>
  <w:abstractNum w:abstractNumId="120">
    <w:nsid w:val="519E3149"/>
    <w:multiLevelType w:val="hybridMultilevel"/>
    <w:lvl w:ilvl="0">
      <w:lvlJc w:val="left"/>
      <w:lvlText w:val="(%1)"/>
      <w:numFmt w:val="lowerLetter"/>
      <w:start w:val="1"/>
    </w:lvl>
  </w:abstractNum>
  <w:abstractNum w:abstractNumId="121">
    <w:nsid w:val="2C6E4AFD"/>
    <w:multiLevelType w:val="hybridMultilevel"/>
    <w:lvl w:ilvl="0">
      <w:lvlJc w:val="left"/>
      <w:lvlText w:val="(%1)"/>
      <w:numFmt w:val="lowerLetter"/>
      <w:start w:val="2"/>
    </w:lvl>
  </w:abstractNum>
  <w:abstractNum w:abstractNumId="122">
    <w:nsid w:val="17A1B582"/>
    <w:multiLevelType w:val="hybridMultilevel"/>
    <w:lvl w:ilvl="0">
      <w:lvlJc w:val="left"/>
      <w:lvlText w:val="(%1)"/>
      <w:numFmt w:val="lowerRoman"/>
      <w:start w:val="2"/>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1)"/>
      <w:numFmt w:val="lowerRoman"/>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upperLetter"/>
      <w:start w:val="1"/>
    </w:lvl>
  </w:abstractNum>
  <w:abstractNum w:abstractNumId="128">
    <w:nsid w:val="19E21BB2"/>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129">
    <w:nsid w:val="75E0858A"/>
    <w:multiLevelType w:val="hybridMultilevel"/>
    <w:lvl w:ilvl="0">
      <w:lvlJc w:val="left"/>
      <w:lvlText w:val="%1."/>
      <w:numFmt w:val="decimal"/>
      <w:start w:val="1"/>
    </w:lvl>
    <w:lvl w:ilvl="1">
      <w:lvlJc w:val="left"/>
      <w:lvlText w:val="(%2)"/>
      <w:numFmt w:val="lowerLetter"/>
      <w:start w:val="1"/>
    </w:lvl>
  </w:abstractNum>
  <w:abstractNum w:abstractNumId="130">
    <w:nsid w:val="57A61A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2026-04-29T07:04:34Z</dcterms:created>
  <dcterms:modified xsi:type="dcterms:W3CDTF">2026-04-29T07:04:34Z</dcterms:modified>
</cp:coreProperties>
</file>