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0-15006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2, 2010, 31,886,930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June 30, 2010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4"/>
          <w:szCs w:val="24"/>
          <w:color w:val="auto"/>
        </w:rPr>
      </w:pPr>
    </w:p>
    <w:p>
      <w:pPr>
        <w:ind w:left="10880"/>
        <w:spacing w:after="0"/>
        <w:rPr>
          <w:sz w:val="20"/>
          <w:szCs w:val="20"/>
          <w:color w:val="auto"/>
        </w:rPr>
      </w:pPr>
      <w:r>
        <w:rPr>
          <w:rFonts w:ascii="Arial" w:cs="Arial" w:eastAsia="Arial" w:hAnsi="Arial"/>
          <w:sz w:val="11"/>
          <w:szCs w:val="11"/>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6745605</wp:posOffset>
            </wp:positionH>
            <wp:positionV relativeFrom="paragraph">
              <wp:posOffset>28575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I—Financial Information</w:t>
        </w:r>
      </w:hyperlink>
    </w:p>
    <w:p>
      <w:pPr>
        <w:spacing w:after="0" w:line="209" w:lineRule="exact"/>
        <w:rPr>
          <w:sz w:val="24"/>
          <w:szCs w:val="24"/>
          <w:color w:val="auto"/>
        </w:rPr>
      </w:pPr>
    </w:p>
    <w:p>
      <w:pPr>
        <w:ind w:left="1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Unaudited Financial Statements.</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June 30, 2010 and December 31, 2009</w:t>
              </w:r>
            </w:hyperlink>
          </w:p>
        </w:tc>
        <w:tc>
          <w:tcPr>
            <w:tcW w:w="18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40" w:type="dxa"/>
            <w:vAlign w:val="bottom"/>
            <w:gridSpan w:val="1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and Six Months Ended June 30, 2010 and 2009</w:t>
              </w:r>
            </w:hyperlink>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tcBorders>
              <w:top w:val="single" w:sz="8" w:color="0000EE"/>
            </w:tcBorders>
            <w:gridSpan w:val="1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Statements of Cash Flows for the Six Months Ended June 30, 2010 and 2009</w:t>
              </w:r>
            </w:hyperlink>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580" w:type="dxa"/>
            <w:vAlign w:val="bottom"/>
            <w:tcBorders>
              <w:top w:val="single" w:sz="8" w:color="0000EE"/>
            </w:tcBorders>
            <w:gridSpan w:val="4"/>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 Management’s Discussion and Analysis of Financial Condition and Results of Operations.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40" w:type="dxa"/>
            <w:vAlign w:val="bottom"/>
            <w:tcBorders>
              <w:top w:val="single" w:sz="8" w:color="0000EE"/>
            </w:tcBorders>
            <w:gridSpan w:val="1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 Quantitative and Qualitative Disclosures About Market Risk.</w:t>
              </w:r>
            </w:hyperlink>
          </w:p>
        </w:tc>
        <w:tc>
          <w:tcPr>
            <w:tcW w:w="7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3"/>
          </w:tcPr>
          <w:p>
            <w:pPr>
              <w:spacing w:after="0"/>
              <w:rPr>
                <w:sz w:val="24"/>
                <w:szCs w:val="24"/>
                <w:color w:val="auto"/>
              </w:rPr>
            </w:pPr>
          </w:p>
        </w:tc>
        <w:tc>
          <w:tcPr>
            <w:tcW w:w="28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7960" w:type="dxa"/>
            <w:vAlign w:val="bottom"/>
            <w:gridSpan w:val="18"/>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 Other Information</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1. Legal Proceedings.</w:t>
              </w:r>
            </w:hyperlink>
          </w:p>
        </w:tc>
        <w:tc>
          <w:tcPr>
            <w:tcW w:w="572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top w:val="single" w:sz="8" w:color="0000EE"/>
            </w:tcBorders>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1A. Risk Factors.</w:t>
              </w:r>
            </w:hyperlink>
          </w:p>
        </w:tc>
        <w:tc>
          <w:tcPr>
            <w:tcW w:w="584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Borders>
              <w:top w:val="single" w:sz="8" w:color="0000EE"/>
            </w:tcBorders>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 Exhibits.</w:t>
              </w:r>
            </w:hyperlink>
          </w:p>
        </w:tc>
        <w:tc>
          <w:tcPr>
            <w:tcW w:w="614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Borders>
              <w:top w:val="single" w:sz="8" w:color="0000EE"/>
            </w:tcBorders>
            <w:gridSpan w:val="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658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6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 Index</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3"/>
          </w:tcPr>
          <w:p>
            <w:pPr>
              <w:spacing w:after="0"/>
              <w:rPr>
                <w:sz w:val="24"/>
                <w:szCs w:val="24"/>
                <w:color w:val="auto"/>
              </w:rPr>
            </w:pPr>
          </w:p>
        </w:tc>
        <w:tc>
          <w:tcPr>
            <w:tcW w:w="4940" w:type="dxa"/>
            <w:vAlign w:val="bottom"/>
            <w:gridSpan w:val="10"/>
          </w:tcPr>
          <w:p>
            <w:pPr>
              <w:jc w:val="center"/>
              <w:ind w:left="4030"/>
              <w:spacing w:after="0"/>
              <w:rPr>
                <w:sz w:val="20"/>
                <w:szCs w:val="20"/>
                <w:color w:val="auto"/>
              </w:rPr>
            </w:pPr>
            <w:r>
              <w:rPr>
                <w:rFonts w:ascii="Arial" w:cs="Arial" w:eastAsia="Arial" w:hAnsi="Arial"/>
                <w:sz w:val="18"/>
                <w:szCs w:val="18"/>
                <w:color w:val="auto"/>
                <w:w w:val="99"/>
              </w:rPr>
              <w:t>2</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60" w:type="dxa"/>
            <w:vAlign w:val="bottom"/>
            <w:gridSpan w:val="1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960" w:type="dxa"/>
            <w:vAlign w:val="bottom"/>
            <w:gridSpan w:val="18"/>
          </w:tcPr>
          <w:p>
            <w:pPr>
              <w:spacing w:after="0"/>
              <w:rPr>
                <w:sz w:val="20"/>
                <w:szCs w:val="20"/>
                <w:color w:val="auto"/>
              </w:rPr>
            </w:pPr>
            <w:r>
              <w:rPr>
                <w:rFonts w:ascii="Arial" w:cs="Arial" w:eastAsia="Arial" w:hAnsi="Arial"/>
                <w:sz w:val="18"/>
                <w:szCs w:val="18"/>
                <w:b w:val="1"/>
                <w:bCs w:val="1"/>
                <w:color w:val="auto"/>
              </w:rPr>
              <w:t>PART I—FINANCIAL INFORMATION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960" w:type="dxa"/>
            <w:vAlign w:val="bottom"/>
            <w:gridSpan w:val="18"/>
          </w:tcPr>
          <w:p>
            <w:pPr>
              <w:spacing w:after="0" w:line="194" w:lineRule="exact"/>
              <w:rPr>
                <w:sz w:val="20"/>
                <w:szCs w:val="20"/>
                <w:color w:val="auto"/>
              </w:rPr>
            </w:pPr>
            <w:r>
              <w:rPr>
                <w:rFonts w:ascii="Arial" w:cs="Arial" w:eastAsia="Arial" w:hAnsi="Arial"/>
                <w:sz w:val="18"/>
                <w:szCs w:val="18"/>
                <w:b w:val="1"/>
                <w:bCs w:val="1"/>
                <w:color w:val="auto"/>
              </w:rPr>
              <w:t>Item 1. Unaudited Financial Statements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90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rPr>
              <w:t>CELLDEX THERAPEUTICS,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0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4"/>
          </w:tcPr>
          <w:p>
            <w:pPr>
              <w:jc w:val="center"/>
              <w:ind w:right="168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0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2010</w:t>
            </w:r>
          </w:p>
        </w:tc>
        <w:tc>
          <w:tcPr>
            <w:tcW w:w="120" w:type="dxa"/>
            <w:vAlign w:val="bottom"/>
          </w:tcPr>
          <w:p>
            <w:pPr>
              <w:spacing w:after="0"/>
              <w:rPr>
                <w:sz w:val="24"/>
                <w:szCs w:val="24"/>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December 31, 2009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top w:val="single" w:sz="8" w:color="CCEEFF"/>
            </w:tcBorders>
            <w:gridSpan w:val="17"/>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6"/>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50,674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Accounts and Other Receivables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6"/>
          </w:tcPr>
          <w:p>
            <w:pPr>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760" w:type="dxa"/>
            <w:vAlign w:val="bottom"/>
            <w:tcBorders>
              <w:top w:val="single" w:sz="8" w:color="CCEEFF"/>
            </w:tcBorders>
            <w:gridSpan w:val="16"/>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27,801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760" w:type="dxa"/>
            <w:vAlign w:val="bottom"/>
            <w:tcBorders>
              <w:bottom w:val="single" w:sz="8" w:color="CCEEFF"/>
            </w:tcBorders>
            <w:gridSpan w:val="16"/>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121,571</w:t>
            </w:r>
          </w:p>
        </w:tc>
        <w:tc>
          <w:tcPr>
            <w:tcW w:w="3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140,364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6"/>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1,073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6"/>
          </w:tcPr>
          <w:p>
            <w:pPr>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5,285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76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Current Portion of Long-Term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6"/>
          </w:tcPr>
          <w:p>
            <w:pPr>
              <w:spacing w:after="0"/>
              <w:rPr>
                <w:sz w:val="20"/>
                <w:szCs w:val="20"/>
                <w:color w:val="auto"/>
              </w:rPr>
            </w:pPr>
            <w:r>
              <w:rPr>
                <w:rFonts w:ascii="Arial" w:cs="Arial" w:eastAsia="Arial" w:hAnsi="Arial"/>
                <w:sz w:val="18"/>
                <w:szCs w:val="18"/>
                <w:color w:val="auto"/>
              </w:rPr>
              <w:t>Convertible Subordinated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12,048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760" w:type="dxa"/>
            <w:vAlign w:val="bottom"/>
            <w:tcBorders>
              <w:top w:val="single" w:sz="8" w:color="CCEEFF"/>
            </w:tcBorders>
            <w:gridSpan w:val="16"/>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23,714</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Convertible Subordinated Debt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5,798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760" w:type="dxa"/>
            <w:vAlign w:val="bottom"/>
            <w:tcBorders>
              <w:top w:val="single" w:sz="8" w:color="CCEEFF"/>
            </w:tcBorders>
            <w:gridSpan w:val="16"/>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60" w:type="dxa"/>
            <w:vAlign w:val="bottom"/>
            <w:gridSpan w:val="16"/>
          </w:tcPr>
          <w:p>
            <w:pPr>
              <w:spacing w:after="0" w:line="201" w:lineRule="exact"/>
              <w:rPr>
                <w:sz w:val="20"/>
                <w:szCs w:val="20"/>
                <w:color w:val="auto"/>
              </w:rPr>
            </w:pPr>
            <w:r>
              <w:rPr>
                <w:rFonts w:ascii="Arial" w:cs="Arial" w:eastAsia="Arial" w:hAnsi="Arial"/>
                <w:sz w:val="18"/>
                <w:szCs w:val="18"/>
                <w:color w:val="auto"/>
                <w:w w:val="99"/>
              </w:rPr>
              <w:t>Convertible Preferred Stock, $.01 Par Value; 3,000,000 Shares Authorized; No Shares Issued and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760" w:type="dxa"/>
            <w:vAlign w:val="bottom"/>
            <w:gridSpan w:val="16"/>
          </w:tcPr>
          <w:p>
            <w:pPr>
              <w:ind w:left="160"/>
              <w:spacing w:after="0"/>
              <w:rPr>
                <w:sz w:val="20"/>
                <w:szCs w:val="20"/>
                <w:color w:val="auto"/>
              </w:rPr>
            </w:pPr>
            <w:r>
              <w:rPr>
                <w:rFonts w:ascii="Arial" w:cs="Arial" w:eastAsia="Arial" w:hAnsi="Arial"/>
                <w:sz w:val="18"/>
                <w:szCs w:val="18"/>
                <w:color w:val="auto"/>
              </w:rPr>
              <w:t>Outstanding at June 30, 2010 and December 31, 2009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760" w:type="dxa"/>
            <w:vAlign w:val="bottom"/>
            <w:gridSpan w:val="16"/>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297,000,000 Shares Authorized; 31,886,930 and 31,685,061 Shares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760" w:type="dxa"/>
            <w:vAlign w:val="bottom"/>
            <w:gridSpan w:val="16"/>
            <w:shd w:val="clear" w:color="auto" w:fill="CCEEFF"/>
          </w:tcPr>
          <w:p>
            <w:pPr>
              <w:ind w:left="160"/>
              <w:spacing w:after="0"/>
              <w:rPr>
                <w:sz w:val="20"/>
                <w:szCs w:val="20"/>
                <w:color w:val="auto"/>
              </w:rPr>
            </w:pPr>
            <w:r>
              <w:rPr>
                <w:rFonts w:ascii="Arial" w:cs="Arial" w:eastAsia="Arial" w:hAnsi="Arial"/>
                <w:sz w:val="18"/>
                <w:szCs w:val="18"/>
                <w:color w:val="auto"/>
              </w:rPr>
              <w:t>Issued and Outstanding at June 30, 2010 and December 31, 2009, respectively</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16"/>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231,093</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228,863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-6606540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-6606540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2,658</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2,546</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(173,781)</w:t>
            </w:r>
          </w:p>
        </w:tc>
        <w:tc>
          <w:tcPr>
            <w:tcW w:w="4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(157,674)</w:t>
            </w:r>
          </w:p>
        </w:tc>
      </w:tr>
      <w:tr>
        <w:trPr>
          <w:trHeight w:val="210"/>
        </w:trPr>
        <w:tc>
          <w:tcPr>
            <w:tcW w:w="5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60,002</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72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360" w:type="dxa"/>
            <w:vAlign w:val="bottom"/>
          </w:tcPr>
          <w:p>
            <w:pPr>
              <w:spacing w:after="0"/>
              <w:rPr>
                <w:sz w:val="18"/>
                <w:szCs w:val="18"/>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121,571</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2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8"/>
              </w:rPr>
              <w:t>June 30, 2010</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98"/>
              </w:rPr>
              <w:t>June 30, 2009</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June 30, 2010</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96"/>
              </w:rPr>
              <w:t>June 30, 2009</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1,497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2,746</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Product Royalties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7,256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6,433</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13,694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3,511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0"/>
        </w:trPr>
        <w:tc>
          <w:tcPr>
            <w:tcW w:w="4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2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Basic and Diluted Net Loss Per Common Share (Note 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w w:val="94"/>
              </w:rPr>
              <w:t>Shares Used in Calculating Basic and Diluted Net Loss per Share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31,815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15,834</w:t>
            </w:r>
          </w:p>
        </w:tc>
        <w:tc>
          <w:tcPr>
            <w:tcW w:w="160" w:type="dxa"/>
            <w:vAlign w:val="bottom"/>
          </w:tcPr>
          <w:p>
            <w:pPr>
              <w:spacing w:after="0"/>
              <w:rPr>
                <w:sz w:val="17"/>
                <w:szCs w:val="17"/>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31,755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15,826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(Note 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June 30, 2010</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8"/>
              </w:rPr>
              <w:t>June 30, 2009</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(16,107)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(16,408)</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1,608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1,336</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Amortization and Accretion of Marketable Securities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Sales and Maturities of Marketable Securities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(Gain) loss on Sale or Disposal of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Accounts and Other Receivables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and Other Current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w:t>
            </w: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Deferred Revenue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Long-Term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0"/>
        </w:trPr>
        <w:tc>
          <w:tcPr>
            <w:tcW w:w="7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Pr>
          <w:p>
            <w:pPr>
              <w:ind w:left="160"/>
              <w:spacing w:after="0" w:line="196" w:lineRule="exact"/>
              <w:rPr>
                <w:sz w:val="20"/>
                <w:szCs w:val="20"/>
                <w:color w:val="auto"/>
              </w:rPr>
            </w:pPr>
            <w:r>
              <w:rPr>
                <w:rFonts w:ascii="Arial" w:cs="Arial" w:eastAsia="Arial" w:hAnsi="Arial"/>
                <w:sz w:val="18"/>
                <w:szCs w:val="18"/>
                <w:color w:val="auto"/>
              </w:rPr>
              <w:t>Net Cash Used in Operating Activities</w:t>
            </w: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(16,615)</w:t>
            </w:r>
          </w:p>
        </w:tc>
        <w:tc>
          <w:tcPr>
            <w:tcW w:w="440" w:type="dxa"/>
            <w:vAlign w:val="bottom"/>
          </w:tcPr>
          <w:p>
            <w:pPr>
              <w:spacing w:after="0"/>
              <w:rPr>
                <w:sz w:val="17"/>
                <w:szCs w:val="17"/>
                <w:color w:val="auto"/>
              </w:rPr>
            </w:pP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(13,522)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19,252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(43,875)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Provided by Investing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616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Other Long-Term Liabilities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(41,844)</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57,002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44,257</w:t>
            </w:r>
          </w:p>
        </w:tc>
        <w:tc>
          <w:tcPr>
            <w:tcW w:w="0" w:type="dxa"/>
            <w:vAlign w:val="bottom"/>
          </w:tcPr>
          <w:p>
            <w:pPr>
              <w:spacing w:after="0"/>
              <w:rPr>
                <w:sz w:val="1"/>
                <w:szCs w:val="1"/>
                <w:color w:val="auto"/>
              </w:rPr>
            </w:pPr>
          </w:p>
        </w:tc>
      </w:tr>
      <w:tr>
        <w:trPr>
          <w:trHeight w:val="250"/>
        </w:trPr>
        <w:tc>
          <w:tcPr>
            <w:tcW w:w="6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2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Flow Information</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to Executive Officers</w:t>
            </w:r>
          </w:p>
        </w:tc>
        <w:tc>
          <w:tcPr>
            <w:tcW w:w="22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2009, which are included in the Company’s Annual Report on Form 10-K filed with the Securities and Exchange Commission (“SEC”) on March 12, 2010.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AVANT Merger</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On March 7, 2008, the Company (formerly known as AVANT Immunotherapeutics, Inc.) (“AVANT”) merged with Celldex Research Corporation (formerly known as Celldex Therapeutics, Inc.) (“Celldex Research”), a privately-held company, (the “AVANT Merger”). Effective October 1, 2008, the Company changed its name from AVANT Immunotherapeutics, Inc. to Celldex Therapeutics, Inc. The AVANT Merger was accounted for using the former purchase method of accounting and was treated as an acquisition by Celldex Research of AVANT, with Celldex Research being considered the accounting acquirer even though AVANT was the issuer of common stock and the surviving legal entity in the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CuraGen Corporation (“CuraGen”)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more fully discussed in Note 12, on October 1, 2009, CuraGen, a former publicly-traded company, merged with a wholly-owned subsidiary (“Merger Sub”) of the Company (the “CuraGen Merger”). Following the CuraGen Merger, the financial statements reflect the financial position, results of operation and cash flows of the combined companies. On December 31, 2009, the Company completed the merger of the Merger Sub with and into Celldex pursuant to a short-form merger effected under Delaware law. As a result, the separate corporate existence of CuraGen has ceased and the Company has succeeded to all rights, privileges, powers and franchises of CuraGen.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0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six months ended June 30, 2010 are consistent with those discussed in Note 2 to the consolidated financial statements in our Annual Report on Form 10-K for the year ended December 31, 2009, except for the adoption of new accounting standards during the first six months of 2010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ectPr>
          <w:pgSz w:w="11900" w:h="16838" w:orient="portrait"/>
          <w:cols w:equalWidth="0" w:num="1">
            <w:col w:w="11420"/>
          </w:cols>
          <w:pgMar w:left="240" w:top="140" w:right="239" w:bottom="181" w:gutter="0" w:footer="0" w:header="0"/>
        </w:sectPr>
      </w:pPr>
    </w:p>
    <w:bookmarkStart w:id="4" w:name="page5"/>
    <w:bookmarkEnd w:id="4"/>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January 2010, the Company adopted a new U.S. GAAP accounting standard which requires additional disclosure about the amounts of and reasons for significant transfers in and out of Level 1 and Level 2 fair value measurements. This standard also clarifies existing disclosure requirements related to the level of disaggregation of fair value measurements for each class of assets and liabilities and disclosures about inputs and valuation techniques used to measure fair value for both recurring and nonrecurring Level 2 and Level 3 measurements. As this newly issued accounting standard only requires enhanced disclosure, the adoption of this standard did not impact the Company’s financial position or results of operations. In addition, effective for interim and annual periods beginning January 1, 2011, this standard will require additional disclosure and require an entity to present disaggregated information about activity in Level 3 fair value measurements on a gross basis, rather than as one net amount.</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January 2010, the Company adopted a new U.S. GAAP accounting standard which amends existing revenue recognition accounting guidance to provide accounting principles and application guidance on whether multiple deliverables exist, how the arrangement should be separated, and the consideration allocated. This new guidance eliminates the requirement to establish objective evidence of fair value of undelivered products and services and instead provides for separate revenue recognition based upon management’s estimate of the selling price for an undelivered item when there is no other means to determine the fair value of that undelivered item. The old guidance previously required that the fair value of the undelivered item be the price of the item either sold in a separate transaction between unrelated third parties or the price charged for each item when the item is sold separately by the vendor. This was difficult to determine when the product was not individually sold because of its unique features. Under the old guidance, if the fair value of all of the undelivered elements in the arrangement was not determinable, then revenue was deferred until all of the items were delivered or fair value was determined. The adoption of the new standard was done on a prospective basis and did not impact the Company’s financial position or results of operations. This standard may impact the Company in the event it completes future transactions or modifies existing collaborative relationships.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2010 and 2009, comprehensive loss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(9,525)</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(8,705)</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(16,408)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Unrealized foreign exchange translation gain (loss)</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other comprehensive (loss) gain</w:t>
            </w:r>
          </w:p>
        </w:tc>
        <w:tc>
          <w:tcPr>
            <w:tcW w:w="5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560" w:type="dxa"/>
            <w:vAlign w:val="bottom"/>
          </w:tcPr>
          <w:p>
            <w:pPr>
              <w:spacing w:after="0"/>
              <w:rPr>
                <w:sz w:val="19"/>
                <w:szCs w:val="19"/>
                <w:color w:val="auto"/>
              </w:rPr>
            </w:pPr>
          </w:p>
        </w:tc>
        <w:tc>
          <w:tcPr>
            <w:tcW w:w="860" w:type="dxa"/>
            <w:vAlign w:val="bottom"/>
            <w:tcBorders>
              <w:top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(9,530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(8,708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potentially dilutive common shares that have not been included in the net loss per common share calculations because the effect would have been anti-dilutive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5"/>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4,176,328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2,719,983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Convertible debt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353,563</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4,537,891</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2,719,983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The fair value of the Company’s assets and liabilities reflects the Company’s estimate of the exchange price that would be received for an asset or paid to transfer a liability (an exit price) in an orderly transaction between market participants on the measurement date. Market participants are buyers and sellers in the principal market that are (i) independent, (ii) knowledgeable, (iii) able to transact, and (iv) willing to transact.</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 for identical assets or liabilities. An active market for an asset or liability is a</w:t>
      </w:r>
    </w:p>
    <w:p>
      <w:pPr>
        <w:sectPr>
          <w:pgSz w:w="11900" w:h="16838" w:orient="portrait"/>
          <w:cols w:equalWidth="0" w:num="1">
            <w:col w:w="11420"/>
          </w:cols>
          <w:pgMar w:left="240" w:top="125" w:right="239" w:bottom="0" w:gutter="0" w:footer="0" w:header="0"/>
        </w:sectPr>
      </w:pPr>
    </w:p>
    <w:bookmarkStart w:id="5" w:name="page6"/>
    <w:bookmarkEnd w:id="5"/>
    <w:p>
      <w:pPr>
        <w:spacing w:after="0" w:line="62" w:lineRule="exact"/>
        <w:rPr>
          <w:sz w:val="20"/>
          <w:szCs w:val="20"/>
          <w:color w:val="auto"/>
        </w:rPr>
      </w:pPr>
    </w:p>
    <w:p>
      <w:pPr>
        <w:ind w:left="1160" w:right="600"/>
        <w:spacing w:after="0" w:line="258" w:lineRule="auto"/>
        <w:rPr>
          <w:sz w:val="20"/>
          <w:szCs w:val="20"/>
          <w:color w:val="auto"/>
        </w:rPr>
      </w:pPr>
      <w:r>
        <w:rPr>
          <w:rFonts w:ascii="Arial" w:cs="Arial" w:eastAsia="Arial" w:hAnsi="Arial"/>
          <w:sz w:val="18"/>
          <w:szCs w:val="18"/>
          <w:color w:val="auto"/>
        </w:rPr>
        <w:t>market in which transactions for the asset or liability occur with sufficient frequency and volume to provide pricing information on an ongoing basis.</w:t>
      </w:r>
    </w:p>
    <w:p>
      <w:pPr>
        <w:spacing w:after="0" w:line="1" w:lineRule="exact"/>
        <w:rPr>
          <w:sz w:val="20"/>
          <w:szCs w:val="20"/>
          <w:color w:val="auto"/>
        </w:rPr>
      </w:pPr>
    </w:p>
    <w:p>
      <w:pPr>
        <w:ind w:left="1160" w:right="460" w:hanging="1160"/>
        <w:spacing w:after="0" w:line="250" w:lineRule="auto"/>
        <w:tabs>
          <w:tab w:leader="none" w:pos="1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in active markets for similar assets or liabilities and quoted prices for identical assets or liabilities in markets that are not active.</w:t>
      </w:r>
    </w:p>
    <w:p>
      <w:pPr>
        <w:spacing w:after="0" w:line="1" w:lineRule="exact"/>
        <w:rPr>
          <w:sz w:val="20"/>
          <w:szCs w:val="20"/>
          <w:color w:val="auto"/>
        </w:rPr>
      </w:pPr>
    </w:p>
    <w:p>
      <w:pPr>
        <w:ind w:left="1160" w:right="600" w:hanging="1160"/>
        <w:spacing w:after="0" w:line="261" w:lineRule="auto"/>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the Company’s assessment of the assumptions that market participants would use in pricing the asset or liability.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2010</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13,710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13,710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50,674</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50,674</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64,384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24"/>
                <w:szCs w:val="2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24"/>
                <w:szCs w:val="2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2009</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53,780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53,780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25,451</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25,451</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79,231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Marketable securities have been valued by a third party pricing service at each balance sheet date, using observable market inputs that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Based on current market interest rates available to the Company for long-term liabilities with similar terms and maturities, the Company believes the fair value of the loan payable and note payable approximates its carrying value at June 30, 2010.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June 30, 2010, the estimated fair value of the Company’s outstanding $12.5 million in CuraGen Debt was approximately $11.3 million based on quoted market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cash, cash equivalents and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tcPr>
          <w:p>
            <w:pPr>
              <w:jc w:val="center"/>
              <w:ind w:left="275"/>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257"/>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June 30, 2010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tcPr>
          <w:p>
            <w:pPr>
              <w:jc w:val="center"/>
              <w:ind w:left="275"/>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257"/>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65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Cash and money market funds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15,158</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15,158</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obligations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15,860</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16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15,883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13,546</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13,659</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government obligations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29,406</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14,277</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14,243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21,205</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(102)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50,611</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(102)</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3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65,769</w:t>
            </w:r>
          </w:p>
        </w:tc>
        <w:tc>
          <w:tcPr>
            <w:tcW w:w="30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ind w:right="855"/>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ind w:right="837"/>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(102</w:t>
            </w:r>
          </w:p>
        </w:tc>
        <w:tc>
          <w:tcPr>
            <w:tcW w:w="2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65,832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tcPr>
          <w:p>
            <w:pPr>
              <w:jc w:val="center"/>
              <w:ind w:left="275"/>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2009</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tcPr>
          <w:p>
            <w:pPr>
              <w:jc w:val="center"/>
              <w:ind w:left="275"/>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257"/>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65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Cash and money market funds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57,002</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57,002</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obligations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9,698</w:t>
            </w:r>
          </w:p>
        </w:tc>
        <w:tc>
          <w:tcPr>
            <w:tcW w:w="300" w:type="dxa"/>
            <w:vAlign w:val="bottom"/>
          </w:tcPr>
          <w:p>
            <w:pPr>
              <w:spacing w:after="0"/>
              <w:rPr>
                <w:sz w:val="18"/>
                <w:szCs w:val="18"/>
                <w:color w:val="auto"/>
              </w:rPr>
            </w:pP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9,703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government obligations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16,827</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3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8,672</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180"/>
              <w:spacing w:after="0" w:line="199" w:lineRule="exact"/>
              <w:rPr>
                <w:sz w:val="20"/>
                <w:szCs w:val="20"/>
                <w:color w:val="auto"/>
              </w:rPr>
            </w:pPr>
            <w:r>
              <w:rPr>
                <w:rFonts w:ascii="Arial" w:cs="Arial" w:eastAsia="Arial" w:hAnsi="Arial"/>
                <w:sz w:val="18"/>
                <w:szCs w:val="18"/>
                <w:color w:val="auto"/>
              </w:rPr>
              <w:t>Total marketable securities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25,499</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55"/>
              <w:spacing w:after="0" w:line="199"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37"/>
              <w:spacing w:after="0" w:line="199"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jc w:val="right"/>
              <w:ind w:right="30"/>
              <w:spacing w:after="0" w:line="199"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25,451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tabs>
          <w:tab w:leader="none" w:pos="4980" w:val="left"/>
          <w:tab w:leader="none" w:pos="5860" w:val="left"/>
          <w:tab w:leader="none" w:pos="6640" w:val="left"/>
          <w:tab w:leader="none" w:pos="7860" w:val="left"/>
          <w:tab w:leader="none" w:pos="8300" w:val="left"/>
          <w:tab w:leader="none" w:pos="9420" w:val="left"/>
          <w:tab w:leader="none" w:pos="9940" w:val="left"/>
          <w:tab w:leader="none" w:pos="10800" w:val="left"/>
        </w:tabs>
        <w:rPr>
          <w:sz w:val="20"/>
          <w:szCs w:val="20"/>
          <w:color w:val="auto"/>
        </w:rPr>
      </w:pPr>
      <w:r>
        <w:rPr>
          <w:rFonts w:ascii="Arial" w:cs="Arial" w:eastAsia="Arial" w:hAnsi="Arial"/>
          <w:sz w:val="18"/>
          <w:szCs w:val="18"/>
          <w:color w:val="auto"/>
        </w:rPr>
        <w:t>Total cash, cash equivalents and marketable securities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82,501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w:t>
        <w:tab/>
        <w:t>$</w:t>
      </w:r>
      <w:r>
        <w:rPr>
          <w:sz w:val="20"/>
          <w:szCs w:val="20"/>
          <w:color w:val="auto"/>
        </w:rPr>
        <w:tab/>
      </w:r>
      <w:r>
        <w:rPr>
          <w:rFonts w:ascii="Arial" w:cs="Arial" w:eastAsia="Arial" w:hAnsi="Arial"/>
          <w:sz w:val="18"/>
          <w:szCs w:val="18"/>
          <w:color w:val="auto"/>
        </w:rPr>
        <w:t>(59</w:t>
      </w:r>
      <w:r>
        <w:rPr>
          <w:rFonts w:ascii="Arial" w:cs="Arial" w:eastAsia="Arial" w:hAnsi="Arial"/>
          <w:sz w:val="36"/>
          <w:szCs w:val="36"/>
          <w:color w:val="auto"/>
          <w:vertAlign w:val="superscript"/>
        </w:rPr>
        <w:t>)</w:t>
      </w:r>
      <w:r>
        <w:rPr>
          <w:rFonts w:ascii="Arial" w:cs="Arial" w:eastAsia="Arial" w:hAnsi="Arial"/>
          <w:sz w:val="18"/>
          <w:szCs w:val="18"/>
          <w:color w:val="auto"/>
        </w:rPr>
        <w:tab/>
        <w:t>$</w:t>
      </w:r>
      <w:r>
        <w:rPr>
          <w:sz w:val="20"/>
          <w:szCs w:val="20"/>
          <w:color w:val="auto"/>
        </w:rPr>
        <w:tab/>
      </w:r>
      <w:r>
        <w:rPr>
          <w:rFonts w:ascii="Arial" w:cs="Arial" w:eastAsia="Arial" w:hAnsi="Arial"/>
          <w:sz w:val="16"/>
          <w:szCs w:val="16"/>
          <w:color w:val="auto"/>
        </w:rPr>
        <w:t>82,453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-99060</wp:posOffset>
            </wp:positionV>
            <wp:extent cx="401320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1320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66" w:lineRule="exact"/>
        <w:rPr>
          <w:sz w:val="20"/>
          <w:szCs w:val="20"/>
          <w:color w:val="auto"/>
        </w:rPr>
      </w:pPr>
    </w:p>
    <w:p>
      <w:pPr>
        <w:jc w:val="both"/>
        <w:ind w:right="620" w:firstLine="648"/>
        <w:spacing w:after="0" w:line="342" w:lineRule="auto"/>
        <w:rPr>
          <w:sz w:val="20"/>
          <w:szCs w:val="20"/>
          <w:color w:val="auto"/>
        </w:rPr>
      </w:pPr>
      <w:r>
        <w:rPr>
          <w:rFonts w:ascii="Arial" w:cs="Arial" w:eastAsia="Arial" w:hAnsi="Arial"/>
          <w:sz w:val="16"/>
          <w:szCs w:val="16"/>
          <w:color w:val="auto"/>
        </w:rPr>
        <w:t>As of June 30, 2010, unrealized losses in the portfolio were primarily due to increases in interest rates. The marketable securities held by the Company were high investment grade and the Company did not consider any investments to be other-than-temporarily impaired as of June 30, 2010.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June 30, 2010, the Company had two stock-based compensation plans: the 2004 Employee Stock Purchase Plan (the “2004 ESPP Plan”) and the 2008 Stock Option and Incentive Plan (the “2008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June 30, 2010, a total of 62,500 shares of common stock are reserved for issuance under the 2004 ESPP Plan. Under the 2004 ESPP Plan, each participating employee may purchase up to 250 shares of common stock per year, through payroll deductions, at a purchase price equal to 85% of the lower of the fair market value of the common stock at either the beginning of the offering period or the applicable exercise date. During the six months ended June 30, 2010 and 2009, the Company issued 4,753 and 1,497 shares under the 2004 ESPP Plan, respectively. At June 30, 2010, 52,153 shares were available for issuance under the 2004 ESPP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outside directors.</w:t>
      </w:r>
    </w:p>
    <w:p>
      <w:pPr>
        <w:spacing w:after="0" w:line="18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At June 30, 2010, the 2008 Plan allowed for a maximum of 3,900,000 shares of common stock to be issued prior to October 19,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is accelerated upon a change in control as defined in the 2008 Plan.</w:t>
      </w:r>
    </w:p>
    <w:p>
      <w:pPr>
        <w:spacing w:after="0" w:line="16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connection with the CuraGen Merger, the Company assumed the obligations of CuraGen under CuraGen’s 2007 Stock Plan (the “CuraGen 2007 Plan”) and each outstanding option to purchase CuraGen common stock (a “CuraGen Stock Option”) granted under the CuraGen 2007 Plan. Each CuraGen Stock Option assumed by the Company is deemed to constitute an option to acquire, on the same terms and conditions as were applicable under the CuraGen 2007 Plan, shares of the Company’s common stock that have been adjusted consistent with the ratio at which the Company’s common stock was issued in exchange for CuraGen’s common stock in the CuraGen Merger. As of October 1, 2009, the Company assumed options to acquire 931,315 shares of its common stock with a weighted average exercise price of $3.17. As of October 1, 2009, all of the CuraGen Stock Options were fully vested except for 8,993 shares which generally vest over a two year period. No additional awards will be issued under the CuraGen 2007 Plan. The fair value of the CuraGen Stock Options that were attributed to precombination service was included in the CuraGen Merger consideration.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2010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6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020" w:type="dxa"/>
            <w:vAlign w:val="bottom"/>
          </w:tcPr>
          <w:p>
            <w:pPr>
              <w:jc w:val="center"/>
              <w:ind w:left="267"/>
              <w:spacing w:after="0"/>
              <w:rPr>
                <w:sz w:val="20"/>
                <w:szCs w:val="20"/>
                <w:color w:val="auto"/>
              </w:rPr>
            </w:pPr>
            <w:r>
              <w:rPr>
                <w:rFonts w:ascii="Arial" w:cs="Arial" w:eastAsia="Arial" w:hAnsi="Arial"/>
                <w:sz w:val="14"/>
                <w:szCs w:val="14"/>
                <w:b w:val="1"/>
                <w:bCs w:val="1"/>
                <w:color w:val="auto"/>
                <w:w w:val="91"/>
              </w:rPr>
              <w:t>Per Share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2009</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3,576,159</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7.10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805,000</w:t>
            </w: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4.54</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(197,116)</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3.03</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Canceled/forfeited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5.84</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(6,215)</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2.57</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Outstanding at June 30, 2010</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4,176,328</w:t>
            </w:r>
          </w:p>
        </w:tc>
        <w:tc>
          <w:tcPr>
            <w:tcW w:w="28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6.81</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Expected to Vest at June 30, 2010</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4,115,409</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6.82</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Options Exercisable at June 30, 2010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2,646,291</w:t>
            </w:r>
          </w:p>
        </w:tc>
        <w:tc>
          <w:tcPr>
            <w:tcW w:w="1020" w:type="dxa"/>
            <w:vAlign w:val="bottom"/>
          </w:tcPr>
          <w:p>
            <w:pPr>
              <w:jc w:val="right"/>
              <w:ind w:right="86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7.13</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Grant under the 2008 Plan</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1,691,147</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total intrinsic value of stock options exercised during the six months ended June 30, 2010 and 2009 was $0.8 million and $0.1 million, respectively. The weighted average grant-date fair value of stock options granted during the six months ended June 30, 2010 and 2009 was $2.81 and $5.33, respectively. The total fair value of stock options that vested during the six months ended June 30, 2010 and 2009 was $1.9 million.</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aggregate intrinsic value of stock options outstanding at June 30, 2010 was $1.1 million. The aggregate intrinsic value of stock options vested and expected to vest at June 30, 2010 was $1.1 million. As of June 30, 2010, total compensation cost related to non-vested employee and non-employee director stock options not yet recognized was approximately $4.9 million, net of estimated forfeitures, which is expected to be recognized as expense over a weighted average period of 2.9 years.</w:t>
      </w:r>
    </w:p>
    <w:p>
      <w:pPr>
        <w:sectPr>
          <w:pgSz w:w="11900" w:h="16838" w:orient="portrait"/>
          <w:cols w:equalWidth="0" w:num="1">
            <w:col w:w="11400"/>
          </w:cols>
          <w:pgMar w:left="240" w:top="139" w:right="259" w:bottom="0" w:gutter="0" w:footer="0" w:header="0"/>
        </w:sectPr>
      </w:pPr>
    </w:p>
    <w:bookmarkStart w:id="7" w:name="page8"/>
    <w:bookmarkEnd w:id="7"/>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activity under the 2008 Plan for the six months ended June 30, 2010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5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December 31, 2009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Canceled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June 30, 2010</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Stock-based compensation expense related to employee and non-employee stock options, restricted stock and employee stock purchases for the three and six months ended June 30, 2010 and 2009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393</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4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251</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c>
          <w:tcPr>
            <w:tcW w:w="40" w:type="dxa"/>
            <w:vAlign w:val="bottom"/>
          </w:tcPr>
          <w:p>
            <w:pPr>
              <w:spacing w:after="0"/>
              <w:rPr>
                <w:sz w:val="18"/>
                <w:szCs w:val="18"/>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644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2000" w:type="dxa"/>
            <w:vAlign w:val="bottom"/>
            <w:gridSpan w:val="2"/>
          </w:tcPr>
          <w:p>
            <w:pPr>
              <w:jc w:val="right"/>
              <w:ind w:right="87"/>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96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and non-employee director stock options and employee stock purchases granted during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2010 and 2009 were valued using the 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 (options)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stock price volatility (2004 ESPP)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(options)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 years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 years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 years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6.1-6.3 years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option term (2004 ESPP)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0.5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0.5 years</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(options)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Risk-free interest rate (2004 ESPP)</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Prior to January 1, 2010, the Company used the simplified method of estimating the expected term for share-based compensation. Starting January 1, 2010, the Company ceased using the simplified method, and now uses the average of expected terms for industry peers. Due to the AVANT Merger and the CuraGen Merger, historical exercise patterns do not provide a reasonable basis to estimate expected term of current option grants. Industry peers consist of several public companies that are similar in size in the biopharmaceutical industry.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4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Estimated</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June 30, 2010</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December 31, 2009</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1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0"/>
                <w:szCs w:val="10"/>
                <w:color w:val="auto"/>
              </w:rPr>
            </w:pPr>
          </w:p>
        </w:tc>
        <w:tc>
          <w:tcPr>
            <w:tcW w:w="7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IPR&amp;D</w:t>
            </w:r>
          </w:p>
        </w:tc>
        <w:tc>
          <w:tcPr>
            <w:tcW w:w="1480" w:type="dxa"/>
            <w:vAlign w:val="bottom"/>
            <w:gridSpan w:val="2"/>
          </w:tcPr>
          <w:p>
            <w:pPr>
              <w:spacing w:after="0"/>
              <w:rPr>
                <w:sz w:val="20"/>
                <w:szCs w:val="20"/>
                <w:color w:val="auto"/>
              </w:rPr>
            </w:pPr>
            <w:r>
              <w:rPr>
                <w:rFonts w:ascii="Arial" w:cs="Arial" w:eastAsia="Arial" w:hAnsi="Arial"/>
                <w:sz w:val="18"/>
                <w:szCs w:val="18"/>
                <w:color w:val="auto"/>
              </w:rPr>
              <w:t>Indefinite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 years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13,827</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14,276</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TopoTarget Agreement</w:t>
            </w:r>
          </w:p>
        </w:tc>
        <w:tc>
          <w:tcPr>
            <w:tcW w:w="1480" w:type="dxa"/>
            <w:vAlign w:val="bottom"/>
            <w:gridSpan w:val="2"/>
          </w:tcPr>
          <w:p>
            <w:pPr>
              <w:spacing w:after="0"/>
              <w:rPr>
                <w:sz w:val="20"/>
                <w:szCs w:val="20"/>
                <w:color w:val="auto"/>
              </w:rPr>
            </w:pPr>
            <w:r>
              <w:rPr>
                <w:rFonts w:ascii="Arial" w:cs="Arial" w:eastAsia="Arial" w:hAnsi="Arial"/>
                <w:sz w:val="18"/>
                <w:szCs w:val="18"/>
                <w:color w:val="auto"/>
              </w:rPr>
              <w:t>1.75 years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686</w:t>
            </w:r>
          </w:p>
        </w:tc>
        <w:tc>
          <w:tcPr>
            <w:tcW w:w="3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Core Technology</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4.5-11 years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Strategic Partner Agreement</w:t>
            </w:r>
          </w:p>
        </w:tc>
        <w:tc>
          <w:tcPr>
            <w:tcW w:w="1480" w:type="dxa"/>
            <w:vAlign w:val="bottom"/>
            <w:gridSpan w:val="2"/>
          </w:tcPr>
          <w:p>
            <w:pPr>
              <w:spacing w:after="0"/>
              <w:rPr>
                <w:sz w:val="20"/>
                <w:szCs w:val="20"/>
                <w:color w:val="auto"/>
              </w:rPr>
            </w:pPr>
            <w:r>
              <w:rPr>
                <w:rFonts w:ascii="Arial" w:cs="Arial" w:eastAsia="Arial" w:hAnsi="Arial"/>
                <w:sz w:val="18"/>
                <w:szCs w:val="18"/>
                <w:color w:val="auto"/>
              </w:rPr>
              <w:t>8 years</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3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480" w:type="dxa"/>
            <w:vAlign w:val="bottom"/>
            <w:gridSpan w:val="2"/>
            <w:vMerge w:val="restart"/>
          </w:tcPr>
          <w:p>
            <w:pPr>
              <w:spacing w:after="0"/>
              <w:rPr>
                <w:sz w:val="20"/>
                <w:szCs w:val="20"/>
                <w:color w:val="auto"/>
              </w:rPr>
            </w:pPr>
            <w:r>
              <w:rPr>
                <w:rFonts w:ascii="Arial" w:cs="Arial" w:eastAsia="Arial" w:hAnsi="Arial"/>
                <w:sz w:val="18"/>
                <w:szCs w:val="18"/>
                <w:color w:val="auto"/>
              </w:rPr>
              <w:t>Indefinite</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4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January 2009, the Company entered into a purchase agreement (the “LAHI Agreement”) with Lohmann Animal Health International (“LAHI”) to sell its poultry vaccines assets to LAHI. Under the LAHI Agreement, LAHI paid an upfront fee of $0.8 million and agreed to pay potential milestone payments. The Company recorded a gain of $0.6 million during the three months ended March 31, 2009 related to the LAHI Agreement based on the upfront fee less the net book value of the related asset.</w:t>
      </w:r>
    </w:p>
    <w:p>
      <w:pPr>
        <w:spacing w:after="0" w:line="187"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estimated fair value attributed to the April 2008 agreement (“TopoTarget Agreement”) between the Company (as a successor to CuraGen) and TopoTarget A/S (“TopoTarget”) relates to the Company’s rights under the TopoTarget Agreement to receive up to $6 million in either potential commercial milestone payments related to future net sales of Belinostat or 10% of any sublicense income received by TopoTarget (“TopoTarget Payments”). In February 2010, TopoTarget entered into a co-development and commercialization agreement for Belinostat with Spectrum Pharmaceuticals, Inc. which</w:t>
      </w:r>
    </w:p>
    <w:p>
      <w:pPr>
        <w:sectPr>
          <w:pgSz w:w="11900" w:h="16877" w:orient="portrait"/>
          <w:cols w:equalWidth="0" w:num="1">
            <w:col w:w="11460"/>
          </w:cols>
          <w:pgMar w:left="240" w:top="125" w:right="199" w:bottom="0" w:gutter="0" w:footer="0" w:header="0"/>
        </w:sectPr>
      </w:pPr>
    </w:p>
    <w:bookmarkStart w:id="8" w:name="page9"/>
    <w:bookmarkEnd w:id="8"/>
    <w:p>
      <w:pPr>
        <w:spacing w:after="0" w:line="13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resulted in the Company’s receipt of $3 million of the TopoTarget Payments. The Company recorded this cash receipt as Other Income for the three months ended March 31, 2010 and recorded amortization expense related to the TopoTarget Agreement of $0.2 million and $1.4 million for the three and six months ended June 30, 2010,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June 30, 2010, the Company wrote-off $0.2 million in Core Technology to amortization of intangible asset expense.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 is currently under examination for sales and use taxes by the State of Connecticut for CuraGen’s operations for the period from July 1, 2006 through June 30, 2009 and by the Internal Revenue Service with respect to 2008. The Company is not currently under examination by any other jurisdictions for any tax year.</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June 30, 2010 and December 31, 2009 against the Company’s net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Revenue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significant revenue contracts and arrangements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In 1997, the Company entered into an agreement with Glaxo to collaborate on the development and commercialization of the Company’s oral rotavirus strain and Glaxo assumed responsibility for all subsequent clinical trials and all other development activities. The Company licensed-in the rotavirus strain that was used to develop Glaxo’s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rotavirus vaccine in 1995 and owes a license fee of 30% to Cincinnati Children’s Hospital Medical Center (“CCH”) on net royalties received from Glaxo. The Company is obligated to maintain a license with CCH with respect to the Glaxo agreement. The term of the Glaxo agreement is through the expiration of the last of the relevant patents covered by the agreement, although Glaxo may terminate the agreement upon 90 days prior written notice.</w:t>
      </w:r>
    </w:p>
    <w:p>
      <w:pPr>
        <w:spacing w:after="0" w:line="202"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In May 2005, the Company entered into an agreement whereby an affiliate of PRF purchased an interest in the net royalties the Company will receive on worldwide sales of Rotarix</w:t>
      </w:r>
      <w:r>
        <w:rPr>
          <w:rFonts w:ascii="Arial" w:cs="Arial" w:eastAsia="Arial" w:hAnsi="Arial"/>
          <w:sz w:val="23"/>
          <w:szCs w:val="23"/>
          <w:color w:val="auto"/>
          <w:vertAlign w:val="superscript"/>
        </w:rPr>
        <w:t>®</w:t>
      </w:r>
      <w:r>
        <w:rPr>
          <w:rFonts w:ascii="Arial" w:cs="Arial" w:eastAsia="Arial" w:hAnsi="Arial"/>
          <w:sz w:val="18"/>
          <w:szCs w:val="18"/>
          <w:color w:val="auto"/>
        </w:rPr>
        <w:t>. The Company’s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are recorded as product royalty revenue and a corresponding amount that is payable to CCH is recorded as royalty expense. Product royalty revenue and royalty expense related to the Company’s retained interest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$1.6 million and $1.2 million for the three months ended June 30, 2010 and 2009 and $3.7 million and $3.2 million for the six months ended June 30, 2010 and 2009, respectively.</w:t>
      </w:r>
    </w:p>
    <w:p>
      <w:pPr>
        <w:spacing w:after="0" w:line="204" w:lineRule="exact"/>
        <w:rPr>
          <w:sz w:val="20"/>
          <w:szCs w:val="20"/>
          <w:color w:val="auto"/>
        </w:rPr>
      </w:pPr>
    </w:p>
    <w:p>
      <w:pPr>
        <w:ind w:right="40" w:firstLine="648"/>
        <w:spacing w:after="0" w:line="245" w:lineRule="auto"/>
        <w:rPr>
          <w:sz w:val="20"/>
          <w:szCs w:val="20"/>
          <w:color w:val="auto"/>
        </w:rPr>
      </w:pPr>
      <w:r>
        <w:rPr>
          <w:rFonts w:ascii="Arial" w:cs="Arial" w:eastAsia="Arial" w:hAnsi="Arial"/>
          <w:sz w:val="16"/>
          <w:szCs w:val="16"/>
          <w:color w:val="auto"/>
        </w:rPr>
        <w:t>Royalty rates on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escalate from 7% to 10% based on net product sales in countries that have valid patent protection. These royalty rates are discounted by 30% for “non-patent” countries (primarily international markets). In September 2006, the Company received notice from Glaxo that Glaxo would begin paying royalties on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at the lower of the two royalty rates under their 1997 license agreement. Glaxo’s decision to pay the lower royalty rate (which is 70% of the full rate) is based upon Glaxo’s assertion that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not covered by the patents Glaxo licensed from the Company in Australia and certain European countries. If Glaxo’s position stands, the royalties to which PRF is entitled will no longer be limited by a $27.5 million annual threshold, which the Company projected may have been reached in later years as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increased. Irrespective of Glaxo’s position, the Company will still retain approximately 65% of the royalties on worldwide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once PRF receives 2.45 times the aggregate cash payments of $60 million it made to the Company, though the potential amount of such residual royalties will be lower if Glaxo’s position stands. The Company has received</w:t>
      </w:r>
    </w:p>
    <w:p>
      <w:pPr>
        <w:spacing w:after="0" w:line="6"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color w:val="auto"/>
        </w:rPr>
        <w:t>$60 million in total milestone payments under the PRF agreement. No additional milestone payments are due from PRF under the agreement. In late March 2010, the FDA temporarily suspended the use of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United States as a precautionary measure following the discovery of PCV-1 DNA material in the vaccine. In May 2010, the FDA determined that healthcare practitioners could resume the use of Rotarix</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Inc. (“Pfizer”) License and Development Agreement</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April 16, 2008, the Company and Pfizer entered into a License and Development Agreement (the “Pfizer Agreement”) under which Pfizer was granted an exclusive worldwide license to a therapeutic cancer vaccine candidate, Rindopepimut (PF-04948568) (formerly CDX-110), in Phase 2 development for the treatment of glioblastoma multiforme. The Pfizer Agreement also gives Pfizer exclusive rights to the use of EGFRvIII vaccines in other potential indications. Under the Pfizer Agreement, Pfizer made an upfront payment to the Company of $40 million and made a $10 million equity investment in the Company. Pfizer will fund all development costs for these programs. The Company is also eligible to receive potential milestone payments exceeding $390 million for the successful development and commercialization of Rindopepimut and additional EGFRvIII vaccine products, as well as royalties on any product sales. The Pfizer Agreement became effective after clearance under the Hart-Scott-Rodino Antitrust Improvements Act of 1976 (as amended) on May 19, 2008.</w:t>
      </w:r>
    </w:p>
    <w:p>
      <w:pPr>
        <w:spacing w:after="0" w:line="192"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On May 27, 2008, the Company received $10 million from Pfizer in exchange for 781,250 shares of the Company’s common stock having a fair value of $10.9 million, or $13.91 per share, on that date. The $0.9 million over the amount received from Pfizer was recorded as a reduction to deferred revenue of the $40 million upfront payment received from Pfizer on June 18, 2008.</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has determined that its performance obligations under this collaboration should be accounted for as a single unit of accounting. The Company’s deliverables under this collaboration primarily include an exclusive license to its Rindopepimut product candidate and its EGFRvIII technologies,</w:t>
      </w:r>
    </w:p>
    <w:p>
      <w:pPr>
        <w:sectPr>
          <w:pgSz w:w="11900" w:h="16975" w:orient="portrait"/>
          <w:cols w:equalWidth="0" w:num="1">
            <w:col w:w="11400"/>
          </w:cols>
          <w:pgMar w:left="240" w:top="125" w:right="259" w:bottom="0" w:gutter="0" w:footer="0" w:header="0"/>
        </w:sectPr>
      </w:pPr>
    </w:p>
    <w:bookmarkStart w:id="9" w:name="page10"/>
    <w:bookmarkEnd w:id="9"/>
    <w:p>
      <w:pPr>
        <w:spacing w:after="0" w:line="5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research and development services as required under the collaboration and participation in the joint clinical development committee. The Company has estimated that its performance period under the collaboration will be 9.5 years based on an assessment of the period over which the Company will have met its performance obligations under the collaboration. Revenue, including research and development reimbursements, is being recognized on a straight-line basis over this period using the Contingency Adjusted Performance Model (“CAPM”). The $40 million up-front payment, less the $0.9 million in excess fair value for the Company’s common stock discussed above, was recorded as deferred revenue and is being amortized over the 9.5-year performance period at a rate of $1.0 million per quarter.</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Pfizer Agreement also provides for reimbursement by Pfizer of all costs incurred by the Company in connection with the collaboration since the effective date. The Company invoices Pfizer monthly for its reimbursable costs and records the invoiced amount as deferred revenue. These deferred revenue amounts are amortized to revenue over the estimated 9.5-year performance period on a straight-line basis using the CAPM model. The Company incurred and invoiced Pfizer reimbursable costs related to the Pfizer collaboration of $0.3 million and $1.1 million for the three months ended June 30, 2010 and 2009, respectively, and $0.5 million and $2.6 million for the six months ended June 30, 2010 and 2009,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product development and licensing agreements revenue under the Pfizer Agreement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Up-front portion</w:t>
            </w:r>
          </w:p>
        </w:tc>
        <w:tc>
          <w:tcPr>
            <w:tcW w:w="242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1,030</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Reimbursable costs portion</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276</w:t>
            </w:r>
          </w:p>
        </w:tc>
        <w:tc>
          <w:tcPr>
            <w:tcW w:w="9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r>
      <w:tr>
        <w:trPr>
          <w:trHeight w:val="210"/>
        </w:trPr>
        <w:tc>
          <w:tcPr>
            <w:tcW w:w="348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2010, the Company had total deferred revenue of $37.1 million related to the Pfizer Agreement.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the Pfizer Agreement, the Company paid a total of $6.9 million in sublicense fees to Duke University and Thomas Jefferson University. The Company recorded these deferred sublicense fees to other assets in the consolidated balance sheets and is amortizing them to royalty expense over the 9.5-year performance period at a rate of $0.2 million per quarter. At June 30, 2010 and December 31, 2009, the unamortized balance of deferred costs was $5.3 million and $5.7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 is providing research and development support to Rockefeller on the development of their vaccine, DCVax-001, which the Company refers to as CDX-2401, aimed at providing protection from infection with HIV, the virus known to cause AIDS. This program is in a Bill &amp; Melinda Gates Foundation funded partnership called the Grand Challenges initiative. Preclinical studies and manufacturing development are in progress and payments to the Company are made on a time and materials basis. The Company recorded grant revenue from Rockefeller of $0.2 million and $0.1 million for the six months ended June 30, 2010 and 2009, respectively, and no grant revenue for the three months ended June 30, 2010 and 2009.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December 31, 2009</w:t>
            </w:r>
          </w:p>
        </w:tc>
      </w:tr>
      <w:tr>
        <w:trPr>
          <w:trHeight w:val="142"/>
        </w:trPr>
        <w:tc>
          <w:tcPr>
            <w:tcW w:w="49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gridSpan w:val="5"/>
          </w:tcPr>
          <w:p>
            <w:pPr>
              <w:jc w:val="right"/>
              <w:ind w:right="121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CuraGen Merger Severance</w:t>
            </w: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2,623</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4,661</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Loan Payable</w:t>
            </w: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r>
      <w:tr>
        <w:trPr>
          <w:trHeight w:val="210"/>
        </w:trPr>
        <w:tc>
          <w:tcPr>
            <w:tcW w:w="4920" w:type="dxa"/>
            <w:vAlign w:val="bottom"/>
          </w:tcPr>
          <w:p>
            <w:pPr>
              <w:ind w:left="18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(2,156)</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Long-Term Portion</w:t>
            </w:r>
          </w:p>
        </w:tc>
        <w:tc>
          <w:tcPr>
            <w:tcW w:w="29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CuraGen Acquisition</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connection with the CuraGen Merger, effective October 1, 2009, the Company (i) issued 15,722,713 shares of common stock of the Company, or 0.2739 shares, in exchange for each share of outstanding CuraGen common stock, plus cash in lieu of fractional shares (the “CuraGen Exchange Ratio”),</w:t>
      </w:r>
    </w:p>
    <w:p>
      <w:pPr>
        <w:ind w:right="20"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assumed all of the CuraGen Stock Options and (iii) assumed the CuraGen Debt. The Company acquired CuraGen to gain access to a pipeline of oncology-focused antibody-drug conjugates, including CDX-011 currently in Phase 2 clinical development for the treatment of breast cancer and melanoma, and cash, cash equivalents and marketable securities of $70.3 million.</w:t>
      </w:r>
    </w:p>
    <w:p>
      <w:pPr>
        <w:spacing w:after="0" w:line="19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transaction was accounted for under the acquisition method of accounting. All of the assets acquired and liabilities assumed in the transaction are recognized at their acquisition-date fair values, while transaction costs associated with the transaction are expensed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purchase price for CuraGen was based on the acquisition-date fair value of the consideration transferred, which was calculated based on the closing price of the Company’s common stock of $5.43 per share on October 1, 2009. The acquisition-date fair value of the consideration transferred consisted of the following (in thousands):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w:t>
            </w:r>
          </w:p>
        </w:tc>
        <w:tc>
          <w:tcPr>
            <w:tcW w:w="3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85,374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Fair value of CuraGen Stock Options</w:t>
            </w:r>
          </w:p>
        </w:tc>
        <w:tc>
          <w:tcPr>
            <w:tcW w:w="3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2,868</w:t>
            </w:r>
          </w:p>
        </w:tc>
      </w:tr>
      <w:tr>
        <w:trPr>
          <w:trHeight w:val="210"/>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 transferred</w:t>
            </w:r>
          </w:p>
        </w:tc>
        <w:tc>
          <w:tcPr>
            <w:tcW w:w="3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ectPr>
          <w:pgSz w:w="11900" w:h="16897" w:orient="portrait"/>
          <w:cols w:equalWidth="0" w:num="1">
            <w:col w:w="11420"/>
          </w:cols>
          <w:pgMar w:left="240" w:top="125" w:right="239" w:bottom="0" w:gutter="0" w:footer="0" w:header="0"/>
        </w:sectPr>
      </w:pPr>
    </w:p>
    <w:bookmarkStart w:id="10" w:name="page11"/>
    <w:bookmarkEnd w:id="10"/>
    <w:p>
      <w:pPr>
        <w:ind w:right="80" w:firstLine="64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6186170</wp:posOffset>
            </wp:positionH>
            <wp:positionV relativeFrom="page">
              <wp:posOffset>88900</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t>U.S. GAAP requires that the fair value of replacement awards attributable to precombination service be included in the consideration transferred. Of the CuraGen Stock Options assumed, all but 1%, were immediately vested upon closing in accordance with the terms of the stock option agreements and employment agreements. The fair value of the CuraGen Stock Options that has been attributed to precombination service was included in the consideration transferred.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 of Assets and Liabilities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allocated the consideration transferred for CuraGen to net tangible assets, intangible assets, goodwill and a severance obligation. The difference between the aggregate consideration transferred and the fair value of assets acquired and liabilities assumed was allocated to goodwill. This goodwill relates to the potential synergies from the CuraGen Merger and a deferred tax liability related to acquired IPR&amp;D intangible assets. None of the goodwill is expected to be deductible for income tax purposes. The following table summarizes the fair values of the assets acquired and liabilities assumed at the acquisition date (in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51,654</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18,638</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180"/>
              <w:spacing w:after="0"/>
              <w:rPr>
                <w:sz w:val="20"/>
                <w:szCs w:val="20"/>
                <w:color w:val="auto"/>
              </w:rPr>
            </w:pPr>
            <w:r>
              <w:rPr>
                <w:rFonts w:ascii="Arial" w:cs="Arial" w:eastAsia="Arial" w:hAnsi="Arial"/>
                <w:sz w:val="18"/>
                <w:szCs w:val="18"/>
                <w:color w:val="auto"/>
              </w:rPr>
              <w:t>IPR&amp;D</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180"/>
              <w:spacing w:after="0"/>
              <w:rPr>
                <w:sz w:val="20"/>
                <w:szCs w:val="20"/>
                <w:color w:val="auto"/>
              </w:rPr>
            </w:pPr>
            <w:r>
              <w:rPr>
                <w:rFonts w:ascii="Arial" w:cs="Arial" w:eastAsia="Arial" w:hAnsi="Arial"/>
                <w:sz w:val="18"/>
                <w:szCs w:val="18"/>
                <w:color w:val="auto"/>
              </w:rPr>
              <w:t>TopoTarget Agreement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long-term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8,965</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CuraGen Debt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(11,503)</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(5,190)</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(3,778)</w:t>
            </w:r>
          </w:p>
        </w:tc>
      </w:tr>
      <w:tr>
        <w:trPr>
          <w:trHeight w:val="210"/>
        </w:trPr>
        <w:tc>
          <w:tcPr>
            <w:tcW w:w="91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Stockholders’ Equity</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April 2010, the Company filed a shelf registration statement with the Securities and Exchange Commission to register for sale any combination of the types of securities described in the filing up to a dollar amount of $150 million. The shelf registration went effective on April 22, 2010. No securities have been sold by the Company from this shelf registration.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6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complete product research and further development, including animal, preclinical and clinical studies, and commercialization of Rindopepimut, CDX-011, CDX-1307, CDX-1401, CDX-1135, and other products and the growth of the markets for those product candidates;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sufficient additional capital on terms acceptable to us, or at all;</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CDX-011, CDX-1307, CDX-1401, CDX-1135, and other preclinical and clinical testing;</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negotiate strategic partnerships or other disposition transactions for our non-core programs;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product candidates at different stages of development;</w:t>
      </w:r>
    </w:p>
    <w:p>
      <w:pPr>
        <w:sectPr>
          <w:pgSz w:w="11900" w:h="16838" w:orient="portrait"/>
          <w:cols w:equalWidth="0" w:num="1">
            <w:col w:w="11420"/>
          </w:cols>
          <w:pgMar w:left="240" w:top="355" w:right="239" w:bottom="181" w:gutter="0" w:footer="0" w:header="0"/>
        </w:sectPr>
      </w:pPr>
    </w:p>
    <w:bookmarkStart w:id="11" w:name="page12"/>
    <w:bookmarkEnd w:id="11"/>
    <w:p>
      <w:pPr>
        <w:spacing w:after="0" w:line="62" w:lineRule="exact"/>
        <w:rPr>
          <w:sz w:val="20"/>
          <w:szCs w:val="20"/>
          <w:color w:val="auto"/>
        </w:rPr>
      </w:pPr>
    </w:p>
    <w:p>
      <w:pPr>
        <w:ind w:left="980" w:right="80" w:hanging="324"/>
        <w:spacing w:after="0" w:line="23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Pfizer’s plans for Rindopepimut, GlaxoSmithKline’s plans with respect to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Vaccine Technologies’ plans concerning the CholeraGarde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(Peru-15) and ETEC E. coli vaccines, which are not within our control, and our ability to maintain strong, mutually beneficial relationships with those partners;</w:t>
      </w:r>
    </w:p>
    <w:p>
      <w:pPr>
        <w:spacing w:after="0" w:line="202"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product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80" w:hanging="324"/>
        <w:spacing w:after="0" w:line="264"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2009 and other reports that Celldex files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We are an integrated biopharmaceutical company that applies our comprehensive Precision Targeted Immunotherapy Platform to generate a pipeline of candidates to treat cancer and other difficult-to-treat diseases. Our immunotherapy platform includes a complementary portfolio of monoclonal antibodies, antibody-targeted vaccines, antibody-drug conjugates and immunomodulators to create novel disease-specific drug candidates.</w:t>
      </w:r>
    </w:p>
    <w:p>
      <w:pPr>
        <w:spacing w:after="0" w:line="14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strategy is to develop and demonstrate proof-of-concept for our product candidates before leveraging their value through partnerships or, in appropriate situations, continuing late stage development through commercialization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current collaborations include the commercialization of an oral human rotavirus vaccine and the development of oncology vaccines. Our product candidates address market opportunities for which we believe current therapies are inadequate or non-existent.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CuraGen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connection with the CuraGen Merger, effective October 1, 2009, we (i) issued 15,722,713 shares of our common stock, or 0.2739 shares, in exchange for each share of outstanding CuraGen common stock, plus cash in lieu of fractional shares (the “CuraGen Exchange Ratio”), (ii) assumed all of the CuraGen Stock Options and (iii) assumed the CuraGen Debt. We acquired CuraGen to gain access to a pipeline of oncology-focused antibody-drug conjugates, including CDX-011 (formerly CR011) currently in Phase 2 clinical development for the treatment of breast cancer and melanoma, and cash, cash equivalents and marketable securities of $70.3 million.</w:t>
      </w:r>
    </w:p>
    <w:p>
      <w:pPr>
        <w:spacing w:after="0" w:line="188"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transaction was accounted for under the acquisition method of accounting. All of the assets acquired and liabilities assumed in the transaction are recognized at their acquisition-date fair values, while transaction costs associated with the transaction are expensed as incurred.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PROGRAMS AND PARTNERSHIPS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preventative and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product candidates are in various stages of clinical trials. We expect that a large percentage of our research and development expenses will be incurred in support of our current and future clinical trial programs.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w:t>
            </w:r>
          </w:p>
        </w:tc>
        <w:tc>
          <w:tcPr>
            <w:tcW w:w="260" w:type="dxa"/>
            <w:vAlign w:val="bottom"/>
            <w:tcBorders>
              <w:bottom w:val="single" w:sz="8" w:color="CCEEFF"/>
            </w:tcBorders>
          </w:tcPr>
          <w:p>
            <w:pPr>
              <w:spacing w:after="0"/>
              <w:rPr>
                <w:sz w:val="14"/>
                <w:szCs w:val="14"/>
                <w:color w:val="auto"/>
              </w:rPr>
            </w:pPr>
          </w:p>
        </w:tc>
        <w:tc>
          <w:tcPr>
            <w:tcW w:w="39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Indication/Field</w:t>
            </w:r>
          </w:p>
        </w:tc>
        <w:tc>
          <w:tcPr>
            <w:tcW w:w="240" w:type="dxa"/>
            <w:vAlign w:val="bottom"/>
            <w:tcBorders>
              <w:bottom w:val="single" w:sz="8" w:color="CCEEFF"/>
            </w:tcBorders>
          </w:tcPr>
          <w:p>
            <w:pPr>
              <w:spacing w:after="0"/>
              <w:rPr>
                <w:sz w:val="14"/>
                <w:szCs w:val="14"/>
                <w:color w:val="auto"/>
              </w:rPr>
            </w:pPr>
          </w:p>
        </w:tc>
        <w:tc>
          <w:tcPr>
            <w:tcW w:w="21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Partner</w:t>
            </w:r>
          </w:p>
        </w:tc>
        <w:tc>
          <w:tcPr>
            <w:tcW w:w="2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2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3"/>
        </w:trPr>
        <w:tc>
          <w:tcPr>
            <w:tcW w:w="3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Rindopepimut (formerly CDX-110)</w:t>
            </w:r>
          </w:p>
        </w:tc>
        <w:tc>
          <w:tcPr>
            <w:tcW w:w="4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Glioblastoma multiforme</w:t>
            </w:r>
          </w:p>
        </w:tc>
        <w:tc>
          <w:tcPr>
            <w:tcW w:w="2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Pfizer (PF-04948568)</w:t>
            </w:r>
          </w:p>
        </w:tc>
        <w:tc>
          <w:tcPr>
            <w:tcW w:w="14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Phase 2b</w:t>
            </w:r>
          </w:p>
        </w:tc>
      </w:tr>
    </w:tbl>
    <w:p>
      <w:pPr>
        <w:sectPr>
          <w:pgSz w:w="11900" w:h="16900" w:orient="portrait"/>
          <w:cols w:equalWidth="0" w:num="1">
            <w:col w:w="11420"/>
          </w:cols>
          <w:pgMar w:left="240" w:top="125" w:right="239" w:bottom="0" w:gutter="0" w:footer="0" w:header="0"/>
        </w:sectPr>
      </w:pPr>
    </w:p>
    <w:bookmarkStart w:id="12" w:name="page13"/>
    <w:bookmarkEnd w:id="12"/>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CDX-011 (glembatumumab vedotin)</w:t>
            </w:r>
          </w:p>
        </w:tc>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Metastatic melanoma and breast cancer</w:t>
            </w:r>
          </w:p>
        </w:tc>
        <w:tc>
          <w:tcPr>
            <w:tcW w:w="2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Phase 2</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CDX-1307</w:t>
            </w:r>
          </w:p>
        </w:tc>
        <w:tc>
          <w:tcPr>
            <w:tcW w:w="4040" w:type="dxa"/>
            <w:vAlign w:val="bottom"/>
          </w:tcPr>
          <w:p>
            <w:pPr>
              <w:ind w:left="400"/>
              <w:spacing w:after="0"/>
              <w:rPr>
                <w:sz w:val="20"/>
                <w:szCs w:val="20"/>
                <w:color w:val="auto"/>
              </w:rPr>
            </w:pPr>
            <w:r>
              <w:rPr>
                <w:rFonts w:ascii="Arial" w:cs="Arial" w:eastAsia="Arial" w:hAnsi="Arial"/>
                <w:sz w:val="18"/>
                <w:szCs w:val="18"/>
                <w:color w:val="auto"/>
              </w:rPr>
              <w:t>Invasive bladder cancer</w:t>
            </w:r>
          </w:p>
        </w:tc>
        <w:tc>
          <w:tcPr>
            <w:tcW w:w="2340" w:type="dxa"/>
            <w:vAlign w:val="bottom"/>
          </w:tcPr>
          <w:p>
            <w:pPr>
              <w:ind w:left="520"/>
              <w:spacing w:after="0"/>
              <w:rPr>
                <w:sz w:val="20"/>
                <w:szCs w:val="20"/>
                <w:color w:val="auto"/>
              </w:rPr>
            </w:pPr>
            <w:r>
              <w:rPr>
                <w:rFonts w:ascii="Arial" w:cs="Arial" w:eastAsia="Arial" w:hAnsi="Arial"/>
                <w:sz w:val="18"/>
                <w:szCs w:val="18"/>
                <w:color w:val="auto"/>
              </w:rPr>
              <w:t>—</w:t>
            </w:r>
          </w:p>
        </w:tc>
        <w:tc>
          <w:tcPr>
            <w:tcW w:w="1780" w:type="dxa"/>
            <w:vAlign w:val="bottom"/>
          </w:tcPr>
          <w:p>
            <w:pPr>
              <w:ind w:left="540"/>
              <w:spacing w:after="0"/>
              <w:rPr>
                <w:sz w:val="20"/>
                <w:szCs w:val="20"/>
                <w:color w:val="auto"/>
              </w:rPr>
            </w:pPr>
            <w:r>
              <w:rPr>
                <w:rFonts w:ascii="Arial" w:cs="Arial" w:eastAsia="Arial" w:hAnsi="Arial"/>
                <w:sz w:val="18"/>
                <w:szCs w:val="18"/>
                <w:color w:val="auto"/>
              </w:rPr>
              <w:t>Phase 2</w:t>
            </w:r>
          </w:p>
        </w:tc>
      </w:t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Multiple solid tumors</w:t>
            </w:r>
          </w:p>
        </w:tc>
        <w:tc>
          <w:tcPr>
            <w:tcW w:w="2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Phase 1/2</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CDX-1135</w:t>
            </w:r>
          </w:p>
        </w:tc>
        <w:tc>
          <w:tcPr>
            <w:tcW w:w="4040" w:type="dxa"/>
            <w:vAlign w:val="bottom"/>
          </w:tcPr>
          <w:p>
            <w:pPr>
              <w:ind w:left="400"/>
              <w:spacing w:after="0"/>
              <w:rPr>
                <w:sz w:val="20"/>
                <w:szCs w:val="20"/>
                <w:color w:val="auto"/>
              </w:rPr>
            </w:pPr>
            <w:r>
              <w:rPr>
                <w:rFonts w:ascii="Arial" w:cs="Arial" w:eastAsia="Arial" w:hAnsi="Arial"/>
                <w:sz w:val="18"/>
                <w:szCs w:val="18"/>
                <w:color w:val="auto"/>
              </w:rPr>
              <w:t>Renal disease</w:t>
            </w:r>
          </w:p>
        </w:tc>
        <w:tc>
          <w:tcPr>
            <w:tcW w:w="2340" w:type="dxa"/>
            <w:vAlign w:val="bottom"/>
          </w:tcPr>
          <w:p>
            <w:pPr>
              <w:ind w:left="520"/>
              <w:spacing w:after="0"/>
              <w:rPr>
                <w:sz w:val="20"/>
                <w:szCs w:val="20"/>
                <w:color w:val="auto"/>
              </w:rPr>
            </w:pPr>
            <w:r>
              <w:rPr>
                <w:rFonts w:ascii="Arial" w:cs="Arial" w:eastAsia="Arial" w:hAnsi="Arial"/>
                <w:sz w:val="18"/>
                <w:szCs w:val="18"/>
                <w:color w:val="auto"/>
              </w:rPr>
              <w:t>—</w:t>
            </w:r>
          </w:p>
        </w:tc>
        <w:tc>
          <w:tcPr>
            <w:tcW w:w="1780" w:type="dxa"/>
            <w:vAlign w:val="bottom"/>
          </w:tcPr>
          <w:p>
            <w:pPr>
              <w:ind w:left="540"/>
              <w:spacing w:after="0"/>
              <w:rPr>
                <w:sz w:val="20"/>
                <w:szCs w:val="20"/>
                <w:color w:val="auto"/>
              </w:rPr>
            </w:pPr>
            <w:r>
              <w:rPr>
                <w:rFonts w:ascii="Arial" w:cs="Arial" w:eastAsia="Arial" w:hAnsi="Arial"/>
                <w:sz w:val="18"/>
                <w:szCs w:val="18"/>
                <w:color w:val="auto"/>
              </w:rPr>
              <w:t>Pilot Study</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40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CDX-301</w:t>
            </w:r>
          </w:p>
        </w:tc>
        <w:tc>
          <w:tcPr>
            <w:tcW w:w="4040" w:type="dxa"/>
            <w:vAlign w:val="bottom"/>
          </w:tcPr>
          <w:p>
            <w:pPr>
              <w:ind w:left="400"/>
              <w:spacing w:after="0"/>
              <w:rPr>
                <w:sz w:val="20"/>
                <w:szCs w:val="20"/>
                <w:color w:val="auto"/>
              </w:rPr>
            </w:pPr>
            <w:r>
              <w:rPr>
                <w:rFonts w:ascii="Arial" w:cs="Arial" w:eastAsia="Arial" w:hAnsi="Arial"/>
                <w:sz w:val="18"/>
                <w:szCs w:val="18"/>
                <w:color w:val="auto"/>
              </w:rPr>
              <w:t>Cancer, autoimmune disease and transplant</w:t>
            </w:r>
          </w:p>
        </w:tc>
        <w:tc>
          <w:tcPr>
            <w:tcW w:w="2340" w:type="dxa"/>
            <w:vAlign w:val="bottom"/>
          </w:tcPr>
          <w:p>
            <w:pPr>
              <w:ind w:left="520"/>
              <w:spacing w:after="0"/>
              <w:rPr>
                <w:sz w:val="20"/>
                <w:szCs w:val="20"/>
                <w:color w:val="auto"/>
              </w:rPr>
            </w:pPr>
            <w:r>
              <w:rPr>
                <w:rFonts w:ascii="Arial" w:cs="Arial" w:eastAsia="Arial" w:hAnsi="Arial"/>
                <w:sz w:val="18"/>
                <w:szCs w:val="18"/>
                <w:color w:val="auto"/>
              </w:rPr>
              <w:t>—</w:t>
            </w:r>
          </w:p>
        </w:tc>
        <w:tc>
          <w:tcPr>
            <w:tcW w:w="1780" w:type="dxa"/>
            <w:vAlign w:val="bottom"/>
          </w:tcPr>
          <w:p>
            <w:pPr>
              <w:ind w:left="540"/>
              <w:spacing w:after="0"/>
              <w:rPr>
                <w:sz w:val="20"/>
                <w:szCs w:val="20"/>
                <w:color w:val="auto"/>
              </w:rPr>
            </w:pPr>
            <w:r>
              <w:rPr>
                <w:rFonts w:ascii="Arial" w:cs="Arial" w:eastAsia="Arial" w:hAnsi="Arial"/>
                <w:sz w:val="18"/>
                <w:szCs w:val="18"/>
                <w:color w:val="auto"/>
              </w:rPr>
              <w:t>Preclinical</w:t>
            </w:r>
          </w:p>
        </w:tc>
      </w:t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Immuno-modulation, multiple tumors</w:t>
            </w:r>
          </w:p>
        </w:tc>
        <w:tc>
          <w:tcPr>
            <w:tcW w:w="2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Preclinical</w:t>
            </w: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CDX-014</w:t>
            </w:r>
          </w:p>
        </w:tc>
        <w:tc>
          <w:tcPr>
            <w:tcW w:w="4040" w:type="dxa"/>
            <w:vAlign w:val="bottom"/>
          </w:tcPr>
          <w:p>
            <w:pPr>
              <w:ind w:left="400"/>
              <w:spacing w:after="0"/>
              <w:rPr>
                <w:sz w:val="20"/>
                <w:szCs w:val="20"/>
                <w:color w:val="auto"/>
              </w:rPr>
            </w:pPr>
            <w:r>
              <w:rPr>
                <w:rFonts w:ascii="Arial" w:cs="Arial" w:eastAsia="Arial" w:hAnsi="Arial"/>
                <w:sz w:val="18"/>
                <w:szCs w:val="18"/>
                <w:color w:val="auto"/>
              </w:rPr>
              <w:t>Renal and ovarian cancer</w:t>
            </w:r>
          </w:p>
        </w:tc>
        <w:tc>
          <w:tcPr>
            <w:tcW w:w="2340" w:type="dxa"/>
            <w:vAlign w:val="bottom"/>
          </w:tcPr>
          <w:p>
            <w:pPr>
              <w:ind w:left="520"/>
              <w:spacing w:after="0"/>
              <w:rPr>
                <w:sz w:val="20"/>
                <w:szCs w:val="20"/>
                <w:color w:val="auto"/>
              </w:rPr>
            </w:pPr>
            <w:r>
              <w:rPr>
                <w:rFonts w:ascii="Arial" w:cs="Arial" w:eastAsia="Arial" w:hAnsi="Arial"/>
                <w:sz w:val="18"/>
                <w:szCs w:val="18"/>
                <w:color w:val="auto"/>
              </w:rPr>
              <w:t>—</w:t>
            </w:r>
          </w:p>
        </w:tc>
        <w:tc>
          <w:tcPr>
            <w:tcW w:w="1780" w:type="dxa"/>
            <w:vAlign w:val="bottom"/>
          </w:tcPr>
          <w:p>
            <w:pPr>
              <w:ind w:left="540"/>
              <w:spacing w:after="0"/>
              <w:rPr>
                <w:sz w:val="20"/>
                <w:szCs w:val="20"/>
                <w:color w:val="auto"/>
              </w:rPr>
            </w:pPr>
            <w:r>
              <w:rPr>
                <w:rFonts w:ascii="Arial" w:cs="Arial" w:eastAsia="Arial" w:hAnsi="Arial"/>
                <w:sz w:val="18"/>
                <w:szCs w:val="18"/>
                <w:color w:val="auto"/>
              </w:rPr>
              <w:t>Preclinical</w:t>
            </w:r>
          </w:p>
        </w:tc>
      </w:t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CDX-1189</w:t>
            </w:r>
          </w:p>
        </w:tc>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Renal disease</w:t>
            </w:r>
          </w:p>
        </w:tc>
        <w:tc>
          <w:tcPr>
            <w:tcW w:w="2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Preclinical</w:t>
            </w:r>
          </w:p>
        </w:tc>
      </w:t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MARKETED PRODUCTS</w:t>
            </w:r>
          </w:p>
        </w:tc>
        <w:tc>
          <w:tcPr>
            <w:tcW w:w="4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2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Rotarix</w:t>
            </w:r>
            <w:r>
              <w:rPr>
                <w:rFonts w:ascii="Arial" w:cs="Arial" w:eastAsia="Arial" w:hAnsi="Arial"/>
                <w:sz w:val="23"/>
                <w:szCs w:val="23"/>
                <w:color w:val="auto"/>
                <w:vertAlign w:val="superscript"/>
              </w:rPr>
              <w:t>®</w:t>
            </w:r>
          </w:p>
        </w:tc>
        <w:tc>
          <w:tcPr>
            <w:tcW w:w="4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Rotavirus infection</w:t>
            </w:r>
          </w:p>
        </w:tc>
        <w:tc>
          <w:tcPr>
            <w:tcW w:w="2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GlaxoSmithKline</w:t>
            </w:r>
          </w:p>
        </w:tc>
        <w:tc>
          <w:tcPr>
            <w:tcW w:w="1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Marketed</w:t>
            </w: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160" w:type="dxa"/>
            <w:vAlign w:val="bottom"/>
            <w:gridSpan w:val="2"/>
            <w:vMerge w:val="continue"/>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8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An element of our business strategy is to pursue the research and development of a broad portfolio of product candidates within our therapeutic categories and consistent with our technology and capabilities. This is intended to allow us to diversify the risks associated with our research and development expenditures. As a result, we believe our future capital requirements and our future financial success are not substantially dependent on 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one product candidate. To the extent we are unable to maintain a broad range of product candidates, our dependence on the success of one or a few product candidates increases.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immunotherapeutics. In order to proceed to subsequent clinical trial stages and to ultimately achieve regulatory approval, the regulatory agency must conclude that our product candidate is safe and effective. Historically, the results from preclinical testing and early clinical trials (through Phase 2) have often not been predictive of results obtained in later clinical trials. A number of new drugs, biologics and immunotherapeutics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During the past five years through December 31, 2009, we incurred an aggregate of $73.5 million in research and development expenses. The following table indicates the amount incurred for each of our significant research programs and for other identified research and development activities during the six months ended June 30, 2010 and 2009. The amounts disclosed in the following table reflect direct research and development costs, license fees</w:t>
      </w:r>
    </w:p>
    <w:p>
      <w:pPr>
        <w:sectPr>
          <w:pgSz w:w="11900" w:h="16912" w:orient="portrait"/>
          <w:cols w:equalWidth="0" w:num="1">
            <w:col w:w="11420"/>
          </w:cols>
          <w:pgMar w:left="240" w:top="140" w:right="239" w:bottom="0" w:gutter="0" w:footer="0" w:header="0"/>
        </w:sectPr>
      </w:pPr>
    </w:p>
    <w:bookmarkStart w:id="13" w:name="page14"/>
    <w:bookmarkEnd w:id="13"/>
    <w:p>
      <w:pPr>
        <w:ind w:right="360"/>
        <w:spacing w:after="0" w:line="308" w:lineRule="auto"/>
        <w:rPr>
          <w:sz w:val="20"/>
          <w:szCs w:val="20"/>
          <w:color w:val="auto"/>
        </w:rPr>
      </w:pPr>
      <w:r>
        <w:rPr>
          <w:rFonts w:ascii="Arial" w:cs="Arial" w:eastAsia="Arial" w:hAnsi="Arial"/>
          <w:sz w:val="17"/>
          <w:szCs w:val="17"/>
          <w:color w:val="auto"/>
        </w:rPr>
        <w:t>associated with the underlying technology and an allocation of indirect research and development costs to each program. Prior to 2008, the privately-held Celldex Research did not maintain records that allowed for quantification of research and development expenses by project.</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4"/>
          </w:tcPr>
          <w:p>
            <w:pPr>
              <w:jc w:val="right"/>
              <w:ind w:right="450"/>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Rindopepimut</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98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2,546</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CDX-011</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CDX-1307</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3,949</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3,056</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CDX-1135</w:t>
            </w:r>
          </w:p>
        </w:tc>
        <w:tc>
          <w:tcPr>
            <w:tcW w:w="8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CDX-301</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CDX-014</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CDX-1189</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CDX-2401</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1,430</w:t>
            </w: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13,694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12,890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 (PF-04948568) (formerly CDX-110)</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lead clinical development program, Rindopepimut, is a peptide-based immunotherapy that targets the tumor specific molecule called 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 cancer cell growth. EGFRvIII is commonly present in glioblastoma multiforme, or GBM, the most common and aggressive form of brain cancer, and has also been observed in various other cancers such as breast, ovarian, prostate, colorectal, and head &amp; neck cancer.</w:t>
      </w:r>
    </w:p>
    <w:p>
      <w:pPr>
        <w:spacing w:after="0" w:line="17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April 2008, we and Pfizer Inc. (“Pfizer”) entered into a License and Development Agreement (the “Pfizer Agreement”) under which Pfizer was granted an exclusive worldwide license to Rindopepimut. The Pfizer Agreement also gives Pfizer exclusive rights to the use of EGFRvIII vaccines in other potential indications. Pfizer funds all development costs for these programs. We and Pfizer are currently pursuing the development of Rindopepimut for GBM therapy. The FDA has granted orphan drug designation for Rindopepimut for the treatment of EGFRvIII expressing GBM as well as fast track designation.</w:t>
      </w:r>
    </w:p>
    <w:p>
      <w:pPr>
        <w:spacing w:after="0" w:line="154"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Initial clinical development of EGFRvIII immunotherapy was led by collaborating investigators at the Brain Center at Duke Comprehensive Cancer Center in Durham, North Carolina and at M.D. Anderson Cancer Center in Houston, Texas. The results from the Phase 1 (VICTORI) and Phase 2a (ACTIVATE) studies, which enrolled 14 and 18 evaluable patients, respectively, have demonstrated a significant increase in the time to disease progression (“TTP”) and overall survival (“OS”) rates. In ACTIVATE, improvements in TTP and OS were approximately 125% and 73%, respectively, relative to appropriately matched historical controls. An extension of the Phase 2a program (ACT II) at the same two institutions has evaluated 22 additional GBM patients treated in combination with maintenance temozolomide (the current standard of care). Preliminary results from ACT II estimate median overall survival to be 23.6 months, although the median has not yet been reached, while the survival of a matched historical control group was 15.0 months (p value = 0.0194). Overall TTP in the ACT II study was 15.2 months compared with 6.3 months for the historical control group (p value = 0.0237).</w:t>
      </w:r>
    </w:p>
    <w:p>
      <w:pPr>
        <w:spacing w:after="0" w:line="16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initiated a Phase 2b/3 randomized study (ACT III) of Rindopepimut combined with standard of care, temozolomide, versus standard of care alone in patients with GBM in over 30 sites throughout the United States. In December 2008, we announced an amendment to convert the ACT III study to a single-arm Phase 2 clinical trial in which all patients will receive Rindopepimut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on the control arm of the study were offered the option to receive treatment with Rindopepimut. Under this amendment, the ACT III study provided for a multi-center, non-randomized dataset for Rindopepimut in patients with newly diagnosed GBM.</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June 2010, we announced interim data for the first 40 of the total 65 patients enrolled in the ACT III study. The interim data showed that 28 of 40 patients (70%) were progression-free at 5.5 months after entry into the study. Taking into account the 3 to 3.5 months required to complete pre-study chemoradiation and enter into the study, the 5.5 month time point in ACT III corresponds to approximately 8.5 months after diagnosis. The ACTIVATE and ACT II trials, which were conducted in just two leading centers, reported progression-free rates at 8.5 months after diagnosis of 70% and 80%, respectively, whereas similar results were seen in the ACT III trial, which enrolled patients in over 25 centers in the United States. These data will provide important additional information that can be used to better design the future development of Rindopepimut.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CDX-011</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CDX-011 (formerly CR011-vcMMAE) is an antibody-drug conjugate (ADC) that consists of a fully-human monoclonal antibody, CR011, linked to a potent cell-killing drug, monomethyl-auristatin E (MMAE). The CR011 antibody specifically targets glycoprotein NMB or (GPNMB) that is expressed in a variety of human cancers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14" w:name="page15"/>
    <w:bookmarkEnd w:id="14"/>
    <w:p>
      <w:pPr>
        <w:spacing w:after="0" w:line="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We acquired the rights to CDX-011 in connection with the CuraGen Merger.</w:t>
      </w:r>
    </w:p>
    <w:p>
      <w:pPr>
        <w:spacing w:after="0" w:line="183" w:lineRule="exact"/>
        <w:rPr>
          <w:sz w:val="20"/>
          <w:szCs w:val="20"/>
          <w:color w:val="auto"/>
        </w:rPr>
      </w:pPr>
    </w:p>
    <w:p>
      <w:pPr>
        <w:jc w:val="both"/>
        <w:ind w:right="40" w:firstLine="648"/>
        <w:spacing w:after="0" w:line="314"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three weeks to patients with locally advanced or metastatic breast cancer who have received prior therapy (median of seven prior regimens). The study began with a bridging phase to confirm the maximum tolerated dose (“MTD”) and then expanded into a Phase 2 open-label, multi-center study.</w:t>
      </w:r>
    </w:p>
    <w:p>
      <w:pPr>
        <w:spacing w:after="0" w:line="146"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study confirmed the safety of CDX-011 at the pre-defined maximum dose level (1.88 mg/kg) in 6 patients. An additional 28 patients were enrolled as an expanded Phase 2 cohort (for a total of 34 treated patients at 1.88 mg/kg, the Phase 2 dose) to evaluate the progression-free survival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twelve weeks, has been met as 9 of 26 (35%) evaluable patients were progression-free at twelve weeks.</w:t>
      </w:r>
    </w:p>
    <w:p>
      <w:pPr>
        <w:spacing w:after="0" w:line="1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all patients treated at the maximum dose level, tumor shrinkage was seen in 62% (16/26) and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any tumor shrinkage, 12-week PFS rate was 70% (7/10), and median PFS was 17.9 weeks. Tumor samples from a subset of patients across all dose groups were analyzed for GPNMB expression using a newly developed, centralized assay intended for use in Phase 2 studies of CDX-011 and outcomes were examined for patients with significant stromal and tumor cell expression of GPNMB. In the small subset of patients with significant stromal or tumor cell expression of GPNMB, overall response rate was 22%, median PFS was 17.3 weeks, and the 12-week PFS rate was 67%. The most common treatment-related toxicities were fatigue, rash, nausea, alopecia (hair loss), neutropenia and vomiting.</w:t>
      </w:r>
    </w:p>
    <w:p>
      <w:pPr>
        <w:spacing w:after="0" w:line="17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 May 2010, the FDA granted Fast Track designation to CDX-011 for the treatment of advanced, refractory/resistant GPNMB-expressing breast cancer. We expect to initiate a randomized Phase 2 controlled study in patients with advanced breast cancer that express GPNMB in the third quarter of 2010.</w:t>
      </w:r>
    </w:p>
    <w:p>
      <w:pPr>
        <w:spacing w:after="0" w:line="12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In June 2006, a Phase 1/2 open-label, multi-center, dose escalation study was initiated to evaluate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tolerability and pharmacokinetics of CDX-011 for patients with un-resectable Stage III or Stage IV melanoma who have failed no more than one prior line of cytotoxic therapy. A total of 117 patients were enrolled in this trial. The trial initially evaluated doses of CDX-011 between 0.03 mg/kg to 2.63 mg/kg given once every three weeks. CDX-011 was generally well tolerated, with rash and neutropenia emerging at higher doses. The MTD was determined to be 1.88 mg/kg administered intravenously (IV) once every three weeks.</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study achieved its primary activity objective with an overall response rate (ORR) in the phase II cohort of 15% (5/34). Median progression free survival (PFS) was 3.9 months. CDX-011 was found to be active in advanced melanoma patients in the study. The most frequent treatment-related adverse events included rash, fatigue, alopecia (hair loss), pruritus, diarrhea and neuropathy.</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More frequent dosing schedules of CDX-011 were also evaluated, including a weekly and a two out of every three-week regimen, to explore if more frequent administration can provide additional activity in patients with metastatic melanoma. Doses of 1.0 mg/kg given once every week and 1.5mg/kg given for two out of three weeks were identified as the MTD in each schedule. The response rate was observed to be 20% and 33%, respectively. This increased activity was accompanied by increased toxicity.</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months. The development of rash, which may be associated with the presence of GPNMB in the skin also seemed to correlate with greater PFS.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CDX-1307</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lead APC Targeting Technology™ product candidate, CDX-1307, is in development for the treatment of epithelial tumors such as 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Enrollment is complete in our two Phase 1 studies at multiple centers designed to explore safety and dose/effect relationships via two administration routes—intradermal (ID), a traditional vaccine route that allows efficient access to local dermal dendritic cells and intravenous (IV), a novel systemic approach to vaccination that might target a much larger population of dendritic cells. The Phase 1 studies investigated the safety and immunogenicity of CDX-1307 alone and in combination with adjuvants, including GM-CSF (known to increase mannose receptor expression on dendritic cells) and Toll-Like Receptor (“TLR”) agonists (poly-ICLC or Hiltonol™ and R848 or resiquimod). Patients with an assortment of different tumor types that are known to express hCG-Beta were enrolled with retrospective analysis for hCG-Beta expression. A regimen of every two week dosing for four doses was utilized with the possibility of retreatment if patients demonstrate tumor regression or stable disease.</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Phase 1 studies enrolled over 80 patients with heavily pretreated, advanced-stage colorectal, breast, pancreatic, bladder/ureteral, ovarian and testicular cancer. All patient cohorts demonstrated a favorable safety profile with no dose limiting toxicity. The combination of CDX-1307 with TLR agonists significantly enhanced immune responses against hCG-Beta. Immune responses occurred even in the presence of high circulating levels of hCG-Beta, suggesting that the CDX-1307 can overcome antigen tolerance in advanced and heavily pretreated cancers. Nine patients in the studies experienced disease stabilization from 2.3 months to 16 months following the initiation of CDX-1307 vaccination. These data provide the basis for advancing CDX-1307 into a front-line patient population selected for hCG-Beta-expressing cancers.</w:t>
      </w:r>
    </w:p>
    <w:p>
      <w:pPr>
        <w:sectPr>
          <w:pgSz w:w="11900" w:h="16853" w:orient="portrait"/>
          <w:cols w:equalWidth="0" w:num="1">
            <w:col w:w="11420"/>
          </w:cols>
          <w:pgMar w:left="240" w:top="341" w:right="239" w:bottom="0" w:gutter="0" w:footer="0" w:header="0"/>
        </w:sectPr>
      </w:pPr>
    </w:p>
    <w:bookmarkStart w:id="15" w:name="page16"/>
    <w:bookmarkEnd w:id="15"/>
    <w:p>
      <w:pPr>
        <w:spacing w:after="0" w:line="36"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In May 2010, we initiated a 60 patient randomized (1:1) Phase 2 controlled study to evaluate the CDX-1307 regimen in both neoadjuvant and adjuvant settings in patients with newly diagnosed muscle-invasive bladder cancers that express hCG-beta. We expect preliminary data by year-end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CDX-1401 is a fusion protein consisting of a fully human monoclonal antibody with specificity for the dendritic cell receptor, DEC-205, linked to the NY-ESO-1 tumor antigen. In humans, NY-ESO-1 is one of the most immunogenic tumor antigens and has been detected in 20 - 30% of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 We believe that preclinical studies have shown that CDX-1401 is effective for activation of human T-cell responses against NY-ESO-1.</w:t>
      </w:r>
    </w:p>
    <w:p>
      <w:pPr>
        <w:spacing w:after="0" w:line="16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September 2009, we initiated enrollment in a dose-escalating Phase 1/2 clinical trial aimed at determining the optimal dose for further development based on the safety, tolerability, and immunogenicity of the CDX-1401 vaccine. The trial will evaluate three different doses of the vaccine in combination with TLR agonists poly-ICLC or Hiltonol™ and/or R848 or resiquimod. We expect to enroll approximately 48 patients with solid tumor cancers at multiple clinical sites in the United States. We expect to present preliminary data from this study during the fourth quarter of 2010.</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CDX-1135 is a molecule that inhibits a part of the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inhibits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Paroxysmal Nocturnal Hemaglobinuria (“PNH”), Dense Deposit Disease (“DDD”) in kidneys, and myasthenia gravis. We are currently defining the most appropriate clinical development path for CDX-1135 and are focusing on rare disease conditions of unregulated complement activation as the fastest route to FDA approval.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CDX-301 is a FMS-like tyrosine kinase 3 ligand (Flt3L) that we licensed from Amgen in March 2009. CDX-301 is a growth factor for stem cells and immune cells called dendritic cells. Based on previous experience with this molecule, we believe that CDX-301 has considerable opportunity in various transplant settings as a stem cell mobilizing agent. In addition, CDX-301 is an immune modulating molecule that increases the numbers and activity of specific types of immune cells. We believe CDX-301 has significant opportunity for synergistic development in combination with proprietary molecules in our portfolio. We expect to initiate a Phase 1 trial in healthy subjects with CDX-301 during the fourth quarter of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have entered into a License Agreement with the University of Southampton, UK, to develop human antibodies to CD27, a potentially important target for immunotherapy of various cancers. In preclinical models, antibodies to CD27 alone have been shown to mediate anti-tumor effects, and may be particularly effective in combination with other immunotherapy. CD27 is a critical molecule in the activation pathway of lymphocytes. It is downstream from CD40, and may provide a novel way to regulate the immune responses. Engaging CD27 with the appropriate monoclonal antibody has proven highly effective at promoting anti-cancer immunity in mouse models. We are evaluating new human monoclonal antibodies in preclinical models.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CDX-014 (formerly CR014-vcMMAE) is a fully-human monoclonal ADC that targets TIM-1, an immunomudulatory protein that appears to down regulate immune response to tumors.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acquired the rights to CDX-014 in connection with the CuraGen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CDX-1189</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are developing therapeutic human antibodies to a signaling molecule known as CD89 or Fca receptor type I (FcaRI). CD89 is expressed by some white blood cells and leukemic cell lines, and has been shown to be important in controlling inflammation and tumor growth in animal models. We have proprietary, fully human antibodies to CD89 in preclinical development. Depending upon the specific antibody used, anti-CD89 antibodies can either be activating and thus stimulate immune responses, or down-regulating and act as an anti-inflammatory agent.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Rotavirus Vaccine</w:t>
      </w:r>
    </w:p>
    <w:p>
      <w:pPr>
        <w:sectPr>
          <w:pgSz w:w="11900" w:h="16874" w:orient="portrait"/>
          <w:cols w:equalWidth="0" w:num="1">
            <w:col w:w="11400"/>
          </w:cols>
          <w:pgMar w:left="240" w:top="341" w:right="259" w:bottom="0" w:gutter="0" w:footer="0" w:header="0"/>
        </w:sectPr>
      </w:pPr>
    </w:p>
    <w:bookmarkStart w:id="16" w:name="page17"/>
    <w:bookmarkEnd w:id="16"/>
    <w:p>
      <w:pPr>
        <w:ind w:right="80" w:firstLine="648"/>
        <w:spacing w:after="0" w:line="243" w:lineRule="auto"/>
        <w:rPr>
          <w:sz w:val="20"/>
          <w:szCs w:val="20"/>
          <w:color w:val="auto"/>
        </w:rPr>
      </w:pPr>
      <w:r>
        <w:rPr>
          <w:rFonts w:ascii="Arial" w:cs="Arial" w:eastAsia="Arial" w:hAnsi="Arial"/>
          <w:sz w:val="18"/>
          <w:szCs w:val="18"/>
          <w:color w:val="auto"/>
        </w:rPr>
        <w:t>Rotavirus is a major cause of diarrhea and vomiting in infants and children. In 1997, we licensed our oral rotavirus strain to Glaxo and Glaxo assumed responsibility for all subsequent clinical trials and all other development activities. Glaxo gained approval for its rotavirus vaccine, Rotarix</w:t>
      </w:r>
      <w:r>
        <w:rPr>
          <w:rFonts w:ascii="Arial" w:cs="Arial" w:eastAsia="Arial" w:hAnsi="Arial"/>
          <w:sz w:val="23"/>
          <w:szCs w:val="23"/>
          <w:color w:val="auto"/>
          <w:vertAlign w:val="superscript"/>
        </w:rPr>
        <w:t>®</w:t>
      </w:r>
      <w:r>
        <w:rPr>
          <w:rFonts w:ascii="Arial" w:cs="Arial" w:eastAsia="Arial" w:hAnsi="Arial"/>
          <w:sz w:val="18"/>
          <w:szCs w:val="18"/>
          <w:color w:val="auto"/>
        </w:rPr>
        <w:t>,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w:t>
      </w:r>
    </w:p>
    <w:p>
      <w:pPr>
        <w:spacing w:after="0" w:line="203" w:lineRule="exact"/>
        <w:rPr>
          <w:sz w:val="20"/>
          <w:szCs w:val="20"/>
          <w:color w:val="auto"/>
        </w:rPr>
      </w:pPr>
    </w:p>
    <w:p>
      <w:pPr>
        <w:jc w:val="both"/>
        <w:ind w:right="200" w:firstLine="648"/>
        <w:spacing w:after="0" w:line="234" w:lineRule="auto"/>
        <w:rPr>
          <w:sz w:val="20"/>
          <w:szCs w:val="20"/>
          <w:color w:val="auto"/>
        </w:rPr>
      </w:pPr>
      <w:r>
        <w:rPr>
          <w:rFonts w:ascii="Arial" w:cs="Arial" w:eastAsia="Arial" w:hAnsi="Arial"/>
          <w:sz w:val="18"/>
          <w:szCs w:val="18"/>
          <w:color w:val="auto"/>
        </w:rPr>
        <w:t>In May 2005, we entered into an agreement whereby an affiliate of PRF purchased an interest in the milestone payments and net royalties that we will receive on the development and worldwide sales of Rotarix</w:t>
      </w:r>
      <w:r>
        <w:rPr>
          <w:rFonts w:ascii="Arial" w:cs="Arial" w:eastAsia="Arial" w:hAnsi="Arial"/>
          <w:sz w:val="23"/>
          <w:szCs w:val="23"/>
          <w:color w:val="auto"/>
          <w:vertAlign w:val="superscript"/>
        </w:rPr>
        <w:t>®</w:t>
      </w:r>
      <w:r>
        <w:rPr>
          <w:rFonts w:ascii="Arial" w:cs="Arial" w:eastAsia="Arial" w:hAnsi="Arial"/>
          <w:sz w:val="18"/>
          <w:szCs w:val="18"/>
          <w:color w:val="auto"/>
        </w:rPr>
        <w:t>. We have received a total of $60 million in milestone payments under the PRF agreement. No additional milestone payments are due from PRF under the agreement.</w:t>
      </w:r>
    </w:p>
    <w:p>
      <w:pPr>
        <w:spacing w:after="0" w:line="203" w:lineRule="exact"/>
        <w:rPr>
          <w:sz w:val="20"/>
          <w:szCs w:val="20"/>
          <w:color w:val="auto"/>
        </w:rPr>
      </w:pPr>
    </w:p>
    <w:p>
      <w:pPr>
        <w:ind w:right="20" w:firstLine="648"/>
        <w:spacing w:after="0" w:line="218" w:lineRule="auto"/>
        <w:rPr>
          <w:sz w:val="20"/>
          <w:szCs w:val="20"/>
          <w:color w:val="auto"/>
        </w:rPr>
      </w:pPr>
      <w:r>
        <w:rPr>
          <w:rFonts w:ascii="Arial" w:cs="Arial" w:eastAsia="Arial" w:hAnsi="Arial"/>
          <w:sz w:val="18"/>
          <w:szCs w:val="18"/>
          <w:color w:val="auto"/>
        </w:rPr>
        <w:t>Royalty rates on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escalate from 7% to 10% based on net product sales in countries that have valid patent protection. These royalty rates are discounted by 30% for “non-patent” countries (primarily international markets). In September 2006, we received notice from Glaxo that Glaxo would begin paying royalties on sales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vaccine at the lower of the two royalty rates under their 1997 license agreement. Glaxo’s decision to pay the lower royalty rate (which is 70% of the full rate) is based upon Glaxo’s assertion that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not covered by 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which we projected may have been reached in later years as sales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increased. Irrespective of Glaxo’s position, we will still retain approximately 65% of the royalties on worldwide sales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once PRF receives 2.45 times the aggregate cash payments of $60 million it made to us, though the potential amount of such residual royalties will be lower if Glaxo’s position stands.</w:t>
      </w:r>
    </w:p>
    <w:p>
      <w:pPr>
        <w:spacing w:after="0" w:line="208" w:lineRule="exact"/>
        <w:rPr>
          <w:sz w:val="20"/>
          <w:szCs w:val="20"/>
          <w:color w:val="auto"/>
        </w:rPr>
      </w:pPr>
    </w:p>
    <w:p>
      <w:pPr>
        <w:ind w:right="40" w:firstLine="648"/>
        <w:spacing w:after="0" w:line="215" w:lineRule="auto"/>
        <w:rPr>
          <w:sz w:val="20"/>
          <w:szCs w:val="20"/>
          <w:color w:val="auto"/>
        </w:rPr>
      </w:pPr>
      <w:r>
        <w:rPr>
          <w:rFonts w:ascii="Arial" w:cs="Arial" w:eastAsia="Arial" w:hAnsi="Arial"/>
          <w:sz w:val="17"/>
          <w:szCs w:val="17"/>
          <w:color w:val="auto"/>
        </w:rPr>
        <w:t>In late March 2010, the FDA temporarily suspended the use of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United States as a precautionary measure following the discovery of PCV-1 DNA material in the vaccine. In May 2010, the FDA determined that healthcare practitioners could resume the use of Rotarix</w:t>
      </w:r>
      <w:r>
        <w:rPr>
          <w:rFonts w:ascii="Arial" w:cs="Arial" w:eastAsia="Arial" w:hAnsi="Arial"/>
          <w:sz w:val="22"/>
          <w:szCs w:val="22"/>
          <w:color w:val="auto"/>
          <w:vertAlign w:val="superscript"/>
        </w:rPr>
        <w:t>®</w:t>
      </w:r>
      <w:r>
        <w:rPr>
          <w:rFonts w:ascii="Arial" w:cs="Arial" w:eastAsia="Arial" w:hAnsi="Arial"/>
          <w:sz w:val="17"/>
          <w:szCs w:val="17"/>
          <w:color w:val="auto"/>
        </w:rPr>
        <w:t>. We believe our royalties from sales of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will be negatively impacted during the three months ended September 30, 2010 by the FDA’s decision to temporarily suspend the use of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from March 2010 through May 2010 and that negative impact from the temporary suspension may extend to future quarters as well. However, if our royalty revenue from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negatively impacted by the FDA’s decision, our royalty expense for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would be similarly impacted and therefore our net loss or cash position will not be impacted as a result of the FDA’s decision.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2009 and there have been no material changes to such critical accounting policies. We believe our most critical accounting policies include accounting for business combinations, revenue recognition, property and equipment, impairment of long-lived assets, marketable securities, research and development expenses and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Our financial statements prior to the CuraGen Merger reflect the financial position, results of operations and cash flows of Celldex. Following the CuraGen Merger, our financial statements reflect the financial position, results of operation and cash flows of Celldex and CuraGen.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2010 compared with Three Months Ended June 30,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1,399</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1,497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(98)</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Royalties</w:t>
            </w:r>
          </w:p>
        </w:tc>
        <w:tc>
          <w:tcPr>
            <w:tcW w:w="8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1,552</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10%</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7,256</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6,433</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823</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w:t>
            </w:r>
          </w:p>
        </w:tc>
        <w:tc>
          <w:tcPr>
            <w:tcW w:w="8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2,591</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3,511</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(920)</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8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12,237</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7%</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(9,286)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r>
      <w:tr>
        <w:trPr>
          <w:trHeight w:val="20"/>
        </w:trPr>
        <w:tc>
          <w:tcPr>
            <w:tcW w:w="4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$0.8 million increase in net loss for the three months ended June 30, 2010 was primarily due to an increase in research and development and amortization of acquired intangible asset expense, partially offset by a decrease in general and administrative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ectPr>
          <w:pgSz w:w="11900" w:h="16838" w:orient="portrait"/>
          <w:cols w:equalWidth="0" w:num="1">
            <w:col w:w="11420"/>
          </w:cols>
          <w:pgMar w:left="240" w:top="341" w:right="239" w:bottom="221" w:gutter="0" w:footer="0" w:header="0"/>
        </w:sectPr>
      </w:pPr>
    </w:p>
    <w:bookmarkStart w:id="17" w:name="page18"/>
    <w:bookmarkEnd w:id="17"/>
    <w:p>
      <w:pPr>
        <w:jc w:val="both"/>
        <w:ind w:right="100" w:firstLine="648"/>
        <w:spacing w:after="0" w:line="238" w:lineRule="auto"/>
        <w:rPr>
          <w:sz w:val="20"/>
          <w:szCs w:val="20"/>
          <w:color w:val="auto"/>
        </w:rPr>
      </w:pPr>
      <w:r>
        <w:rPr>
          <w:rFonts w:ascii="Arial" w:cs="Arial" w:eastAsia="Arial" w:hAnsi="Arial"/>
          <w:sz w:val="18"/>
          <w:szCs w:val="18"/>
          <w:color w:val="auto"/>
        </w:rPr>
        <w:t>The $0.1 million decrease in product development and licensing agreement revenue for the three months ended June 30, 2010 was primarily due to $0.1 million in revenue recorded for the three months ended June 30, 2009 related to the Corixa termination agreement. The $0.4 million increase in product royalty revenue for the three months ended June 30, 2010 was primarily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92"/>
              </w:rPr>
              <w:t>Increase/</w:t>
            </w: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89"/>
              </w:rPr>
              <w:t>(Decrease)</w:t>
            </w: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61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2,991</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476</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207</w:t>
            </w:r>
          </w:p>
        </w:tc>
        <w:tc>
          <w:tcPr>
            <w:tcW w:w="6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480" w:type="dxa"/>
            <w:vAlign w:val="bottom"/>
          </w:tcPr>
          <w:p>
            <w:pPr>
              <w:spacing w:after="0"/>
              <w:rPr>
                <w:sz w:val="18"/>
                <w:szCs w:val="18"/>
                <w:color w:val="auto"/>
              </w:rPr>
            </w:pP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(433)</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1,243</w:t>
            </w:r>
          </w:p>
        </w:tc>
        <w:tc>
          <w:tcPr>
            <w:tcW w:w="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118</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1,884</w:t>
            </w:r>
          </w:p>
        </w:tc>
        <w:tc>
          <w:tcPr>
            <w:tcW w:w="6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1,748</w:t>
            </w:r>
          </w:p>
        </w:tc>
        <w:tc>
          <w:tcPr>
            <w:tcW w:w="480" w:type="dxa"/>
            <w:vAlign w:val="bottom"/>
          </w:tcPr>
          <w:p>
            <w:pPr>
              <w:spacing w:after="0"/>
              <w:rPr>
                <w:sz w:val="20"/>
                <w:szCs w:val="20"/>
                <w:color w:val="auto"/>
              </w:rPr>
            </w:pP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136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bl>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$0.5 million increase in personnel expenses for the three months ended June 30, 2010 was primarily due to higher headcount. We expect personnel expenses to increase over the next twelve months as we plan to continue to increase our headcount.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Laboratory supply expenses include laboratory materials and supplies, services, and other related expenses incurred in the development of our technology. The $0.4 million decrease in laboratory supply expense for the three months ended June 30, 2010 was primarily due to the renovation of our Fall River manufacturing facility during which manufacturing activities ceased for the three months ended June 30, 2010. We expect supply expenses to increase over the next twelve months as a result of increased research and development activities, although there may be fluctuations on a quarterly basis.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The</w:t>
      </w:r>
    </w:p>
    <w:p>
      <w:pPr>
        <w:spacing w:after="0" w:line="3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$0.1 million increase in facility expenses for the three months ended June 30, 2010 was primarily due to higher depreciation and amortization expenses. We expect facility expenses to increase over the next twelve months as a result of continued capital expansion, although there may be fluctuations on a quarterly basis.</w:t>
      </w:r>
    </w:p>
    <w:p>
      <w:pPr>
        <w:spacing w:after="0" w:line="19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$0.1 million increase in product development expenses for the three months ended June 30, 2010 was primarily due to an increase in contract manufacturing expense. We expect product development expenses to increase over the next twelve months due to the increase in clinical trial expenses related to our CDX-011, CDX-1307, and CDX-1401 programs, although there may be fluctuations on a quarterly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Royalty expenses include product royalty and sublicense royalty fees on our out-licensed programs. The $0.4 million increase in royalty expenses for the three months ended June 30, 2010 was due to an increase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related royalty fees. Our retained interests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net royalties which were not sold to PRF are recorded as product royalty revenue and a corresponding amount that is payable to CCH is recorded as royalty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$0.9 million decrease in general and administrative expenses for the three months ended June 30, 2010 was primarily due to a decrease of $0.8 million in consultant and legal expense primarily related to the CuraGen Merger. We expect general and administrative expense to remain relatively consistent over the next twelve months, although there may be fluctuations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The $0.6 million increase in amortization expenses for the three months ended June 30, 2010 was primarily due to intangible assets acquired in connection with the CuraGen Merger. We expect amortization expense of acquired intangible assets to remain relatively consistent over the next twelve months, although there may be fluctuations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Investment and other income, net for the three months ended June 30, 2010 was relatively consistent as compared to the three months ended June 30, 2009. We anticipate investment income to decrease over the next twelve months due to lower cash and investment balances caused by the utilization of cash and investment balances in the normal course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$0.3 million increase in interest expense for the three months ended June 30, 2010 was primarily due to the CuraGen Debt we assumed in connection with the CuraGen Merger. We anticipate interest expense to remain relatively consistent over the next twelve months until the CuraGen Debt matures in February 2011.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Six Months Ended June 30, 2010 compared with Six Months Ended June 30,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2,746</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2,999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(253)</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3,698</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3,279</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13,694</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Royalty</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4,059</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3,598</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5,426</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6,851</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(604)</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2,178</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25,357</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3,257</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3,078</w:t>
            </w:r>
          </w:p>
        </w:tc>
        <w:tc>
          <w:tcPr>
            <w:tcW w:w="3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$0.3 million decrease in net loss for the six months ended June 30, 2010 was primarily due to an increase in other income and a decrease in general and administrative expenses, partially offset by increases in research and development, interest, royalty and amortization of acquired intangible asset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6"/>
          <w:szCs w:val="16"/>
          <w:color w:val="auto"/>
        </w:rPr>
        <w:t>The $0.3 million decrease in product development and licensing agreement revenue for the six months ended June 30, 2010 was primarily due to $0.2 million in revenue recorded for the six months ended June 30, 2009 related to the Corixa termination agreement. The $0.1 million increase in contract and grant revenue for the six months ended June 30, 2010 was due to an increase in revenue related to our vaccine development work on Rockefeller’s CDX-2401 program. The $0.4 million increase in product royalty revenue for the six months ended June 30, 2010 was primarily related to our retained interests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net royalties which were not sold to PRF and which is equal to the amount payable to CCH and recognized in royalty expense by us.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92"/>
              </w:rPr>
              <w:t>Increase/</w:t>
            </w: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89"/>
              </w:rPr>
              <w:t>(Decrease)</w:t>
            </w: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61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10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6,150</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1,093</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743</w:t>
            </w:r>
          </w:p>
        </w:tc>
        <w:tc>
          <w:tcPr>
            <w:tcW w:w="6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1,236</w:t>
            </w:r>
          </w:p>
        </w:tc>
        <w:tc>
          <w:tcPr>
            <w:tcW w:w="480" w:type="dxa"/>
            <w:vAlign w:val="bottom"/>
          </w:tcPr>
          <w:p>
            <w:pPr>
              <w:spacing w:after="0"/>
              <w:rPr>
                <w:sz w:val="18"/>
                <w:szCs w:val="18"/>
                <w:color w:val="auto"/>
              </w:rPr>
            </w:pP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(493)</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2,735</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2,373</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362</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2,674</w:t>
            </w:r>
          </w:p>
        </w:tc>
        <w:tc>
          <w:tcPr>
            <w:tcW w:w="6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3,225</w:t>
            </w:r>
          </w:p>
        </w:tc>
        <w:tc>
          <w:tcPr>
            <w:tcW w:w="480" w:type="dxa"/>
            <w:vAlign w:val="bottom"/>
          </w:tcPr>
          <w:p>
            <w:pPr>
              <w:spacing w:after="0"/>
              <w:rPr>
                <w:sz w:val="20"/>
                <w:szCs w:val="20"/>
                <w:color w:val="auto"/>
              </w:rPr>
            </w:pP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(551)</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$1.1 million increase in personnel expenses for the six months ended June 30, 2010 was primarily due to higher headcount.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$0.5 million decrease in laboratory supply expense for the six months ended June 30, 2010 was primarily due to the renovation of our Fall River manufacturing facility during which manufacturing activities ceased for the three months ended June 30, 2010.</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$0.4 million increase in facility expenses for the six months ended June 30, 2010 was primarily due to higher depreciation and amortization expenses.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$0.6 million decrease in product development expenses for the six months ended June 30, 2010 was primarily due to a decrease in clinical expenses largely due to the transfer of clinical management of our Rindopepimut program to Pfizer in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$0.5 million increase in royalty expenses for the six months ended June 30, 2010 was due to an increase in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related royalty fees.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$1.4 million decrease in general and administrative expenses for the six months ended June 30, 2010 was primarily due to a decrease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 million in consultant and legal expense primarily related to the CuraGen Merger and $0.7 million in severance expense, including related non-cash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incurred during the three months ended March 31, 2009 related to the departure of our former SVP, Business</w:t>
      </w:r>
    </w:p>
    <w:p>
      <w:pPr>
        <w:sectPr>
          <w:pgSz w:w="11900" w:h="16838" w:orient="portrait"/>
          <w:cols w:equalWidth="0" w:num="1">
            <w:col w:w="11420"/>
          </w:cols>
          <w:pgMar w:left="240" w:top="341" w:right="239" w:bottom="0" w:gutter="0" w:footer="0" w:header="0"/>
        </w:sectPr>
      </w:pPr>
    </w:p>
    <w:bookmarkStart w:id="19" w:name="page20"/>
    <w:bookmarkEnd w:id="19"/>
    <w:p>
      <w:pPr>
        <w:spacing w:after="0" w:line="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Development. The effect of these decreases was partially offset by $0.2 million in higher personnel expense during the six months ended June 30, 2010, primarily related to higher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$2.0 million increase in amortization expenses for the six months ended June 30, 2010 was primarily due to intangible assets acquired in connection with the CuraGen Merger including the TopoTarget Agreement. In February 2010, TopoTarget entered into a co-development and commercialization agreement for Belinostat with Spectrum Pharmaceuticals, Inc. which resulted in our receipt of $3.0 million which we recorded as Other Income for the six months ended June 30, 2010 and we recorded amortization expense related to the TopoTarget Agreement of $1.4 million for the six months ended June 30,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$3.1 million increase in investment and other income, net for the six months ended June 30, 2010 was primarily due to $3.0 million received in connection with the TopoTarget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$0.6 million increase in interest expense for the six months ended June 30, 2010 was primarily due to the CuraGen Debt we assumed in connection with the CuraGen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At June 30, 2010, our principal sources of liquidity consisted of cash, cash equivalents and marketable securities of $65.8 million. Our working capital at June 30, 2010 was $44.5 million. At June 30, 2010, we had 4% convertible subordinated debt due in February 2011 of $12.5 million. We incurred a loss of $16.1 million for the six months ended June 30, 2010. Net cash used in operations for the six months ended June 30, 2010 was $16.6 million. We believe that the cash inflows from existing collaborations, interest income on invested funds and our current cash, cash equivalents and marketable securities at June 30, 2010 are sufficient to meet estimated working capital requirements and fund planned operations for at least the next twelve months.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and for the foreseeable future,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9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During the next twelve to twenty-four months, we may take further steps to raise additional capital to meet our long-term liquidity needs including, but not limited to, the licensing of technology programs with existing or new collaborative partners, possible business combinations, or the issuance of common stock or other securities via private placements or public offerings. While we may continue to seek capital through a number of means, there can be no assurance that additional financing will be available on acceptable terms, if at all, particularly in light of the recent disruptions in the financial markets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license out programs earlier than expected, raise funds at significant discount or on other unfavorable terms, or sell all or part of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Net cash used in operating activities was $16.6 million for the six months ended June 30, 2010 compared to $13.5 million for the six months ended June 30, 2009. The increase in net cash used in operating activities was primarily due to decreases of $2.0 million in deferred revenue and $1.4 million in other long-term liabilities for the six months ended June 30, 2010 as compared to increases of $0.1 million in both deferred revenue and other long-term liabilities for the six months ended June 30, 2009. The decrease in other long-term liabilities was primarily due to severance payments made related to the CuraGen Merger. We expect that cash used in operations will continue to increase in over the next twelve months primarily related to the continued development of our therapeutic product pipeline, including bringing forward new product candidates into clinical development.</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Net cash used in investing activities was $25.8 million for the six months ended June 30, 2010 compared to net cash provided by investing activities of $0.5 million for the six months ended June 30, 2009. The increase in net cash used in investing activities was primarily due to net purchases of marketable</w:t>
      </w:r>
    </w:p>
    <w:p>
      <w:pPr>
        <w:sectPr>
          <w:pgSz w:w="11900" w:h="16908" w:orient="portrait"/>
          <w:cols w:equalWidth="0" w:num="1">
            <w:col w:w="11400"/>
          </w:cols>
          <w:pgMar w:left="240" w:top="125" w:right="259" w:bottom="0" w:gutter="0" w:footer="0" w:header="0"/>
        </w:sectPr>
      </w:pPr>
    </w:p>
    <w:bookmarkStart w:id="20" w:name="page21"/>
    <w:bookmarkEnd w:id="20"/>
    <w:p>
      <w:pPr>
        <w:spacing w:after="0" w:line="72"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securities for the six months ended June 30, 2010 of $24.6 million. We expect to incur future facility cost as a result of continued capital expansion, renovation and replacements. Our investment in capital equipment is discretionary and there may be significant fluctuations on a quarterly basis.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420" w:firstLine="648"/>
        <w:spacing w:after="0" w:line="342" w:lineRule="auto"/>
        <w:rPr>
          <w:sz w:val="20"/>
          <w:szCs w:val="20"/>
          <w:color w:val="auto"/>
        </w:rPr>
      </w:pPr>
      <w:r>
        <w:rPr>
          <w:rFonts w:ascii="Arial" w:cs="Arial" w:eastAsia="Arial" w:hAnsi="Arial"/>
          <w:sz w:val="16"/>
          <w:szCs w:val="16"/>
          <w:color w:val="auto"/>
        </w:rPr>
        <w:t>Net cash provided by financing activities was $0.5 million for the six months ended June 30, 2010 compared to $0.4 million for the six months ended June 30, 2009. The increase in net cash provided by financing activities was primarily due to an increase in proceeds from stock option exercises.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Under the Pfizer Agreement, Pfizer made an upfront payment $40 million, an equity investment of $10.0 million and will fund all development costs for the licensed programs. We are also eligible to receive potential milestone payments exceeding $390.0 million for the successful development and commercialization of Rindopepimut and additional EGFRvIII vaccine products, as well as royalties on any product 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Except as set forth below, the disclosures relating to our contractual obligations reported in our Annual Report on Form 10-K for the year ended December 31, 2009 which was filed with the SEC on March 12, 2010 have not materially changed since we filed that report.</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June 2010, we amended our lease with MassDevelopment for our manufacturing facility in Fall River, Massachusetts. The initial term under the amended lease expires in December 2017 and includes two renewal options of five years each.</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June 30, 2010 due to the short-term maturities of these instruments.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2010,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2010.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six months ended June 30, 2010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2009,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ectPr>
          <w:pgSz w:w="11900" w:h="16911" w:orient="portrait"/>
          <w:cols w:equalWidth="0" w:num="1">
            <w:col w:w="11420"/>
          </w:cols>
          <w:pgMar w:left="240" w:top="125" w:right="239" w:bottom="0" w:gutter="0" w:footer="0" w:header="0"/>
        </w:sectPr>
      </w:pPr>
    </w:p>
    <w:bookmarkStart w:id="21" w:name="page22"/>
    <w:bookmarkEnd w:id="21"/>
    <w:p>
      <w:pPr>
        <w:spacing w:after="0" w:line="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12, 2010.</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1100" w:right="600" w:hanging="780"/>
        <w:spacing w:after="0" w:line="256" w:lineRule="auto"/>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May 28, 2009, by and among Celldex Therapeutics, Inc., CuraGen Corporation and Cottrell Merger Sub, Inc. incorporated by reference to Exhibit 2.1 of the Company’s Current Report on Form 8-K filed May 29, 2009 with the Securities and Exchange Commission.</w:t>
      </w:r>
    </w:p>
    <w:p>
      <w:pPr>
        <w:ind w:left="1100" w:right="100" w:hanging="780"/>
        <w:spacing w:after="0" w:line="250" w:lineRule="auto"/>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1100" w:right="380" w:hanging="780"/>
        <w:spacing w:after="0" w:line="281" w:lineRule="auto"/>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of 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1100" w:right="100" w:hanging="780"/>
        <w:spacing w:after="0" w:line="281" w:lineRule="auto"/>
        <w:tabs>
          <w:tab w:leader="none" w:pos="10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Second Certificate of Amendment of Third Restated Certificate of Incorporation of the Company, incorporated by reference to Exhibit 3.2 of the Company’s Registration Statement on Form S-4 (Reg. No. 333-59215), filed July 16, 1998 with the Securities and Exchange Commission.</w:t>
      </w:r>
    </w:p>
    <w:p>
      <w:pPr>
        <w:spacing w:after="0" w:line="1" w:lineRule="exact"/>
        <w:rPr>
          <w:sz w:val="20"/>
          <w:szCs w:val="20"/>
          <w:color w:val="auto"/>
        </w:rPr>
      </w:pPr>
    </w:p>
    <w:p>
      <w:pPr>
        <w:ind w:left="1100" w:right="80" w:hanging="780"/>
        <w:spacing w:after="0" w:line="250" w:lineRule="auto"/>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Third Certificate of Amendment of Third Restated Certificate of Incorporation of the Company, incorporated by reference to Exhibit 3.1 of the Company’s Quarterly Report on Form 10-Q, filed May 10, 2002 with the Securities and Exchange Commission.</w:t>
      </w:r>
    </w:p>
    <w:p>
      <w:pPr>
        <w:spacing w:after="0" w:line="1" w:lineRule="exact"/>
        <w:rPr>
          <w:sz w:val="20"/>
          <w:szCs w:val="20"/>
          <w:color w:val="auto"/>
        </w:rPr>
      </w:pPr>
    </w:p>
    <w:p>
      <w:pPr>
        <w:ind w:left="1100" w:right="260" w:hanging="780"/>
        <w:spacing w:after="0" w:line="265" w:lineRule="auto"/>
        <w:tabs>
          <w:tab w:leader="none" w:pos="10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Fourth Certificate of Amendment of Third Restated Certificate of Incorporation of the Company, incorporated by reference to Exhibit 3.1 of the Company’s Current Report on Form 8-K, filed on March 11, 2008 with the Securities and Exchange Commission.</w:t>
      </w:r>
    </w:p>
    <w:p>
      <w:pPr>
        <w:ind w:left="1100" w:right="120" w:hanging="780"/>
        <w:spacing w:after="0" w:line="265" w:lineRule="auto"/>
        <w:tabs>
          <w:tab w:leader="none" w:pos="10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Fifth Certificate of Amendment of Third Restated Certificate of Incorporation of the Company, incorporated by reference to Exhibit 3.2 of the Company’s Current Report on Form 8-K, filed on March 11, 2008 with the Securities and Exchange Commission.</w:t>
      </w:r>
    </w:p>
    <w:p>
      <w:pPr>
        <w:ind w:left="1100" w:right="100" w:hanging="780"/>
        <w:spacing w:after="0" w:line="265" w:lineRule="auto"/>
        <w:tabs>
          <w:tab w:leader="none" w:pos="10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Sixth Certificate of Amendment of Third Restated Certificate of Incorporation of the Company, incorporated by reference to Exhibit 3.7 of the Company’s Quarterly Report on Form 10-Q, filed November 10, 2008 with the Securities and Exchange Commission.</w:t>
      </w:r>
    </w:p>
    <w:p>
      <w:pPr>
        <w:ind w:left="1100" w:right="280" w:hanging="780"/>
        <w:spacing w:after="0" w:line="265" w:lineRule="auto"/>
        <w:tabs>
          <w:tab w:leader="none" w:pos="10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Amendment No. 2 to Shareholder Rights Agreement dated November 5, 2004, between the Company and Computershare Trust Company, N.A. (formerly EquiServe Trust Company, N.A.), as Rights Agent, incorporated by reference to Exhibit 10.1 of the Company’s Registration Statement on Form 8-A1G/A, filed on March 7, 2008 with the Securities and Exchange Commission.</w:t>
      </w:r>
    </w:p>
    <w:p>
      <w:pPr>
        <w:spacing w:after="0" w:line="1" w:lineRule="exact"/>
        <w:rPr>
          <w:sz w:val="20"/>
          <w:szCs w:val="20"/>
          <w:color w:val="auto"/>
        </w:rPr>
      </w:pPr>
    </w:p>
    <w:p>
      <w:pPr>
        <w:ind w:left="240"/>
        <w:spacing w:after="0"/>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Seventh Amendment to Lease by and between the Company and the Massachusetts Development Finance Agency dated as of June 22, 2010</w:t>
      </w:r>
    </w:p>
    <w:p>
      <w:pPr>
        <w:spacing w:after="0" w:line="9" w:lineRule="exact"/>
        <w:rPr>
          <w:sz w:val="20"/>
          <w:szCs w:val="20"/>
          <w:color w:val="auto"/>
        </w:rPr>
      </w:pPr>
    </w:p>
    <w:p>
      <w:pPr>
        <w:ind w:left="240"/>
        <w:spacing w:after="0"/>
        <w:tabs>
          <w:tab w:leader="none" w:pos="10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w:t>
      </w:r>
    </w:p>
    <w:p>
      <w:pPr>
        <w:spacing w:after="0" w:line="9" w:lineRule="exact"/>
        <w:rPr>
          <w:sz w:val="20"/>
          <w:szCs w:val="20"/>
          <w:color w:val="auto"/>
        </w:rPr>
      </w:pPr>
    </w:p>
    <w:p>
      <w:pPr>
        <w:ind w:left="240"/>
        <w:spacing w:after="0"/>
        <w:tabs>
          <w:tab w:leader="none" w:pos="10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Senior Vice President and Chief Financial Officer</w:t>
      </w:r>
    </w:p>
    <w:p>
      <w:pPr>
        <w:spacing w:after="0" w:line="9" w:lineRule="exact"/>
        <w:rPr>
          <w:sz w:val="20"/>
          <w:szCs w:val="20"/>
          <w:color w:val="auto"/>
        </w:rPr>
      </w:pPr>
    </w:p>
    <w:p>
      <w:pPr>
        <w:ind w:left="180"/>
        <w:spacing w:after="0"/>
        <w:tabs>
          <w:tab w:leader="none" w:pos="10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80" w:hanging="71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080" w:hanging="71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CELLDEX THERAPEUTICS,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Dated: August 5, 2010</w:t>
            </w:r>
          </w:p>
        </w:tc>
        <w:tc>
          <w:tcPr>
            <w:tcW w:w="2460" w:type="dxa"/>
            <w:vAlign w:val="bottom"/>
          </w:tcPr>
          <w:p>
            <w:pPr>
              <w:spacing w:after="0"/>
              <w:rPr>
                <w:sz w:val="24"/>
                <w:szCs w:val="24"/>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20" w:type="dxa"/>
            <w:vAlign w:val="bottom"/>
            <w:gridSpan w:val="2"/>
            <w:vMerge w:val="continue"/>
          </w:tcPr>
          <w:p>
            <w:pPr>
              <w:spacing w:after="0"/>
              <w:rPr>
                <w:sz w:val="16"/>
                <w:szCs w:val="16"/>
                <w:color w:val="auto"/>
              </w:rPr>
            </w:pPr>
          </w:p>
        </w:tc>
        <w:tc>
          <w:tcPr>
            <w:tcW w:w="246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Dated: August 5, 2010</w:t>
            </w:r>
          </w:p>
        </w:tc>
        <w:tc>
          <w:tcPr>
            <w:tcW w:w="2460" w:type="dxa"/>
            <w:vAlign w:val="bottom"/>
          </w:tcPr>
          <w:p>
            <w:pPr>
              <w:spacing w:after="0"/>
              <w:rPr>
                <w:sz w:val="24"/>
                <w:szCs w:val="24"/>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20" w:type="dxa"/>
            <w:vAlign w:val="bottom"/>
            <w:gridSpan w:val="2"/>
            <w:vMerge w:val="continue"/>
          </w:tcPr>
          <w:p>
            <w:pPr>
              <w:spacing w:after="0"/>
              <w:rPr>
                <w:sz w:val="16"/>
                <w:szCs w:val="16"/>
                <w:color w:val="auto"/>
              </w:rPr>
            </w:pPr>
          </w:p>
        </w:tc>
        <w:tc>
          <w:tcPr>
            <w:tcW w:w="246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100" w:type="dxa"/>
            <w:vAlign w:val="bottom"/>
            <w:gridSpan w:val="2"/>
          </w:tcPr>
          <w:p>
            <w:pPr>
              <w:jc w:val="right"/>
              <w:ind w:right="5532"/>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c>
          <w:tcPr>
            <w:tcW w:w="5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8100" w:type="dxa"/>
            <w:vAlign w:val="bottom"/>
            <w:gridSpan w:val="2"/>
          </w:tcPr>
          <w:p>
            <w:pPr>
              <w:jc w:val="center"/>
              <w:ind w:right="3212"/>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60" w:type="dxa"/>
            <w:vAlign w:val="bottom"/>
          </w:tcPr>
          <w:p>
            <w:pPr>
              <w:spacing w:after="0"/>
              <w:rPr>
                <w:sz w:val="24"/>
                <w:szCs w:val="24"/>
                <w:color w:val="auto"/>
              </w:rPr>
            </w:pPr>
          </w:p>
        </w:tc>
        <w:tc>
          <w:tcPr>
            <w:tcW w:w="5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460" w:type="dxa"/>
            <w:vAlign w:val="bottom"/>
          </w:tcPr>
          <w:p>
            <w:pPr>
              <w:spacing w:after="0"/>
              <w:rPr>
                <w:sz w:val="16"/>
                <w:szCs w:val="16"/>
                <w:color w:val="auto"/>
              </w:rPr>
            </w:pPr>
          </w:p>
        </w:tc>
        <w:tc>
          <w:tcPr>
            <w:tcW w:w="5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-996950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-996950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920" w:right="200" w:hanging="692"/>
        <w:spacing w:after="0" w:line="254" w:lineRule="auto"/>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May 28, 2009, by and among Celldex Therapeutics, Inc., CuraGen Corporation and Cottrell Merger Sub, Inc. incorporated by reference to Exhibit 2.1 of the Company’s Current Report on Form 8-K filed May 29, 2009 with the Securities and Exchange Commission.</w:t>
      </w:r>
    </w:p>
    <w:p>
      <w:pPr>
        <w:sectPr>
          <w:pgSz w:w="11900" w:h="16894" w:orient="portrait"/>
          <w:cols w:equalWidth="0" w:num="1">
            <w:col w:w="11460"/>
          </w:cols>
          <w:pgMar w:left="240" w:top="341" w:right="199" w:bottom="0" w:gutter="0" w:footer="0" w:header="0"/>
        </w:sectPr>
      </w:pPr>
    </w:p>
    <w:bookmarkStart w:id="22" w:name="page23"/>
    <w:bookmarkEnd w:id="22"/>
    <w:p>
      <w:pPr>
        <w:ind w:left="820" w:hanging="692"/>
        <w:spacing w:after="0" w:line="258"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820" w:right="500" w:hanging="692"/>
        <w:spacing w:after="0" w:line="281"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of 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jc w:val="both"/>
        <w:ind w:left="820" w:right="80" w:hanging="692"/>
        <w:spacing w:after="0" w:line="281" w:lineRule="auto"/>
        <w:tabs>
          <w:tab w:leader="none" w:pos="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Second Certificate of Amendment of Third Restated Certificate of Incorporation of the Company, incorporated by reference to Exhibit 3.2 of the Company’s Registration Statement on Form S-4 (Reg. No. 333-59215), filed July 16, 1998 with the Securities and Exchange Commission.</w:t>
      </w:r>
    </w:p>
    <w:p>
      <w:pPr>
        <w:spacing w:after="0" w:line="1" w:lineRule="exact"/>
        <w:rPr>
          <w:sz w:val="20"/>
          <w:szCs w:val="20"/>
          <w:color w:val="auto"/>
        </w:rPr>
      </w:pPr>
    </w:p>
    <w:p>
      <w:pPr>
        <w:ind w:left="820" w:right="200" w:hanging="692"/>
        <w:spacing w:after="0" w:line="250" w:lineRule="auto"/>
        <w:tabs>
          <w:tab w:leader="none" w:pos="8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Third Certificate of Amendment of Third Restated Certificate of Incorporation of the Company, incorporated by reference to Exhibit 3.1 of the Company’s Quarterly Report on Form 10-Q, filed May 10, 2002 with the Securities and Exchange Commission.</w:t>
      </w:r>
    </w:p>
    <w:p>
      <w:pPr>
        <w:spacing w:after="0" w:line="1" w:lineRule="exact"/>
        <w:rPr>
          <w:sz w:val="20"/>
          <w:szCs w:val="20"/>
          <w:color w:val="auto"/>
        </w:rPr>
      </w:pPr>
    </w:p>
    <w:p>
      <w:pPr>
        <w:ind w:left="820" w:right="120" w:hanging="692"/>
        <w:spacing w:after="0" w:line="250" w:lineRule="auto"/>
        <w:tabs>
          <w:tab w:leader="none" w:pos="8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Fourth Certificate of Amendment of Third Restated Certificate of Incorporation of the Company, incorporated by reference to Exhibit 3.1 of the Company’s Current Report on Form 8-K, filed on March 11, 2008 with the Securities and Exchange Commission.</w:t>
      </w:r>
    </w:p>
    <w:p>
      <w:pPr>
        <w:spacing w:after="0" w:line="1" w:lineRule="exact"/>
        <w:rPr>
          <w:sz w:val="20"/>
          <w:szCs w:val="20"/>
          <w:color w:val="auto"/>
        </w:rPr>
      </w:pPr>
    </w:p>
    <w:p>
      <w:pPr>
        <w:ind w:left="820" w:right="260" w:hanging="692"/>
        <w:spacing w:after="0" w:line="265" w:lineRule="auto"/>
        <w:tabs>
          <w:tab w:leader="none" w:pos="8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Fifth Certificate of Amendment of Third Restated Certificate of Incorporation of the Company, incorporated by reference to Exhibit 3.2 of the Company’s Current Report on Form 8-K, filed on March 11, 2008 with the Securities and Exchange Commission.</w:t>
      </w:r>
    </w:p>
    <w:p>
      <w:pPr>
        <w:ind w:left="820" w:right="220" w:hanging="692"/>
        <w:spacing w:after="0" w:line="265" w:lineRule="auto"/>
        <w:tabs>
          <w:tab w:leader="none" w:pos="8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Sixth Certificate of Amendment of Third Restated Certificate of Incorporation of the Company, incorporated by reference to Exhibit 3.7 of the Company’s Quarterly Report on Form 10-Q, filed November 10, 2008 with the Securities and Exchange Commission.</w:t>
      </w:r>
    </w:p>
    <w:p>
      <w:pPr>
        <w:jc w:val="both"/>
        <w:ind w:left="820" w:right="80" w:hanging="692"/>
        <w:spacing w:after="0" w:line="250"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Amendment No. 2 to Shareholder Rights Agreement dated November 5, 2004, between the Company and Computershare Trust Company, N.A. (formerly EquiServe Trust Company, N.A.) as Rights Agent, incorporated by reference to Exhibit 10.1 of the Company’s Registration Statement on Form 8-A1G/A, filed on March 7, 2008 with the Securities and Exchange Commission.</w:t>
      </w:r>
    </w:p>
    <w:p>
      <w:pPr>
        <w:spacing w:after="0" w:line="1"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Seventh Amendment to Lease by and between the Company and the Massachusetts Development Finance Agency dated as of June 22, 2010</w:t>
      </w:r>
    </w:p>
    <w:p>
      <w:pPr>
        <w:spacing w:after="0" w:line="9"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w:t>
      </w:r>
    </w:p>
    <w:p>
      <w:pPr>
        <w:spacing w:after="0" w:line="9"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Senior Vice President and Chief Financial Officer</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Section 1350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211455</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820" w:hanging="55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820" w:hanging="55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SEVENTH AMENDMENT TO LEASE</w:t>
      </w:r>
    </w:p>
    <w:p>
      <w:pPr>
        <w:spacing w:after="0" w:line="225"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 xml:space="preserve">This SEVENTH AMENDMENT TO LEASE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made as of the 22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day of June, 2010,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 xml:space="preserve">MASSACHUSETTS DEVELOPMENT FINANCE AGENCY, </w:t>
      </w:r>
      <w:r>
        <w:rPr>
          <w:rFonts w:ascii="Arial" w:cs="Arial" w:eastAsia="Arial" w:hAnsi="Arial"/>
          <w:sz w:val="18"/>
          <w:szCs w:val="18"/>
          <w:color w:val="auto"/>
        </w:rPr>
        <w:t>a body politic and corporate and a public instrumentality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Massachusetts pursuant to Massachusetts General Laws, Chapter 23G, with an address of 160 Federal Street, Boston, Massachusetts 02110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 xml:space="preserve">CELLDEX THERAPEUTICS, INC. </w:t>
      </w:r>
      <w:r>
        <w:rPr>
          <w:rFonts w:ascii="Arial" w:cs="Arial" w:eastAsia="Arial" w:hAnsi="Arial"/>
          <w:sz w:val="18"/>
          <w:szCs w:val="18"/>
          <w:color w:val="auto"/>
        </w:rPr>
        <w:t>(formerly AVANT Immunotherapeutics, Inc.), a Delaware corporation, with an address of 119 Fourth Avenue,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Needham, Massachusetts </w:t>
      </w:r>
      <w:r>
        <w:rPr>
          <w:rFonts w:ascii="Arial" w:cs="Arial" w:eastAsia="Arial" w:hAnsi="Arial"/>
          <w:sz w:val="18"/>
          <w:szCs w:val="18"/>
          <w:b w:val="1"/>
          <w:bCs w:val="1"/>
          <w:color w:val="auto"/>
        </w:rPr>
        <w:t>(“Tenant”).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WHEREAS, Landlord and Tenant entered into a certain Lease dated effective December 22, 2003, as amended by that certain First Amendment to Lease dated as of March 17, 2005 (the </w:t>
      </w:r>
      <w:r>
        <w:rPr>
          <w:rFonts w:ascii="Arial" w:cs="Arial" w:eastAsia="Arial" w:hAnsi="Arial"/>
          <w:sz w:val="17"/>
          <w:szCs w:val="17"/>
          <w:b w:val="1"/>
          <w:bCs w:val="1"/>
          <w:color w:val="auto"/>
        </w:rPr>
        <w:t>“First Amendment”),</w:t>
      </w:r>
      <w:r>
        <w:rPr>
          <w:rFonts w:ascii="Arial" w:cs="Arial" w:eastAsia="Arial" w:hAnsi="Arial"/>
          <w:sz w:val="17"/>
          <w:szCs w:val="17"/>
          <w:color w:val="auto"/>
        </w:rPr>
        <w:t xml:space="preserve"> that certain Second Amendment to Lease dated as of November 4, 2005 (the </w:t>
      </w:r>
      <w:r>
        <w:rPr>
          <w:rFonts w:ascii="Arial" w:cs="Arial" w:eastAsia="Arial" w:hAnsi="Arial"/>
          <w:sz w:val="17"/>
          <w:szCs w:val="17"/>
          <w:b w:val="1"/>
          <w:bCs w:val="1"/>
          <w:color w:val="auto"/>
        </w:rPr>
        <w:t>“Second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Amendment”), </w:t>
      </w:r>
      <w:r>
        <w:rPr>
          <w:rFonts w:ascii="Arial" w:cs="Arial" w:eastAsia="Arial" w:hAnsi="Arial"/>
          <w:sz w:val="17"/>
          <w:szCs w:val="17"/>
          <w:color w:val="auto"/>
        </w:rPr>
        <w:t>that certain Third Amendment To Lease dated as of December 20, 2006 (the</w:t>
      </w:r>
      <w:r>
        <w:rPr>
          <w:rFonts w:ascii="Arial" w:cs="Arial" w:eastAsia="Arial" w:hAnsi="Arial"/>
          <w:sz w:val="17"/>
          <w:szCs w:val="17"/>
          <w:b w:val="1"/>
          <w:bCs w:val="1"/>
          <w:color w:val="auto"/>
        </w:rPr>
        <w:t xml:space="preserve"> “Third Amendment”), </w:t>
      </w:r>
      <w:r>
        <w:rPr>
          <w:rFonts w:ascii="Arial" w:cs="Arial" w:eastAsia="Arial" w:hAnsi="Arial"/>
          <w:sz w:val="17"/>
          <w:szCs w:val="17"/>
          <w:color w:val="auto"/>
        </w:rPr>
        <w:t>that certain Fourth Amendment to Lease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dated as of July 18, 2008 (the </w:t>
      </w:r>
      <w:r>
        <w:rPr>
          <w:rFonts w:ascii="Arial" w:cs="Arial" w:eastAsia="Arial" w:hAnsi="Arial"/>
          <w:sz w:val="17"/>
          <w:szCs w:val="17"/>
          <w:b w:val="1"/>
          <w:bCs w:val="1"/>
          <w:color w:val="auto"/>
        </w:rPr>
        <w:t>“Fourth Amendment”),</w:t>
      </w:r>
      <w:r>
        <w:rPr>
          <w:rFonts w:ascii="Arial" w:cs="Arial" w:eastAsia="Arial" w:hAnsi="Arial"/>
          <w:sz w:val="17"/>
          <w:szCs w:val="17"/>
          <w:color w:val="auto"/>
        </w:rPr>
        <w:t xml:space="preserve"> that certain Fifth Amendment to Lease dated as of October 3, 2008 (the </w:t>
      </w:r>
      <w:r>
        <w:rPr>
          <w:rFonts w:ascii="Arial" w:cs="Arial" w:eastAsia="Arial" w:hAnsi="Arial"/>
          <w:sz w:val="17"/>
          <w:szCs w:val="17"/>
          <w:b w:val="1"/>
          <w:bCs w:val="1"/>
          <w:color w:val="auto"/>
        </w:rPr>
        <w:t>“Fifth Amendment”)</w:t>
      </w:r>
      <w:r>
        <w:rPr>
          <w:rFonts w:ascii="Arial" w:cs="Arial" w:eastAsia="Arial" w:hAnsi="Arial"/>
          <w:sz w:val="17"/>
          <w:szCs w:val="17"/>
          <w:color w:val="auto"/>
        </w:rPr>
        <w:t xml:space="preserve"> and by that certain Sixth Amendment to Lease dated as of August 20, 2009 (the </w:t>
      </w:r>
      <w:r>
        <w:rPr>
          <w:rFonts w:ascii="Arial" w:cs="Arial" w:eastAsia="Arial" w:hAnsi="Arial"/>
          <w:sz w:val="17"/>
          <w:szCs w:val="17"/>
          <w:b w:val="1"/>
          <w:bCs w:val="1"/>
          <w:color w:val="auto"/>
        </w:rPr>
        <w:t>“Sixth Amendment”)</w:t>
      </w:r>
      <w:r>
        <w:rPr>
          <w:rFonts w:ascii="Arial" w:cs="Arial" w:eastAsia="Arial" w:hAnsi="Arial"/>
          <w:sz w:val="17"/>
          <w:szCs w:val="17"/>
          <w:color w:val="auto"/>
        </w:rPr>
        <w:t xml:space="preserve"> of certain premises consisting of approximately 23,413 rentable square feet of space (the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in the building (the </w:t>
      </w:r>
      <w:r>
        <w:rPr>
          <w:rFonts w:ascii="Arial" w:cs="Arial" w:eastAsia="Arial" w:hAnsi="Arial"/>
          <w:sz w:val="17"/>
          <w:szCs w:val="17"/>
          <w:b w:val="1"/>
          <w:bCs w:val="1"/>
          <w:color w:val="auto"/>
        </w:rPr>
        <w:t>“Building”)</w:t>
      </w:r>
      <w:r>
        <w:rPr>
          <w:rFonts w:ascii="Arial" w:cs="Arial" w:eastAsia="Arial" w:hAnsi="Arial"/>
          <w:sz w:val="17"/>
          <w:szCs w:val="17"/>
          <w:color w:val="auto"/>
        </w:rPr>
        <w:t xml:space="preserve"> located at 151 Martine Street, Fall River, Massachusetts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in the South Coast Research &amp; Technology Park (the </w:t>
      </w:r>
      <w:r>
        <w:rPr>
          <w:rFonts w:ascii="Arial" w:cs="Arial" w:eastAsia="Arial" w:hAnsi="Arial"/>
          <w:sz w:val="17"/>
          <w:szCs w:val="17"/>
          <w:b w:val="1"/>
          <w:bCs w:val="1"/>
          <w:color w:val="auto"/>
        </w:rPr>
        <w:t>“Park”);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65" w:lineRule="auto"/>
        <w:rPr>
          <w:sz w:val="20"/>
          <w:szCs w:val="20"/>
          <w:color w:val="auto"/>
        </w:rPr>
      </w:pPr>
      <w:r>
        <w:rPr>
          <w:rFonts w:ascii="Arial" w:cs="Arial" w:eastAsia="Arial" w:hAnsi="Arial"/>
          <w:sz w:val="16"/>
          <w:szCs w:val="16"/>
          <w:color w:val="auto"/>
        </w:rPr>
        <w:t>WHEREAS, the Premises is comprised of: (i) the original premises demised by the Lease, as amended through the Third Amendment, being 11,756 rentable square feet on the second (2</w:t>
      </w:r>
      <w:r>
        <w:rPr>
          <w:rFonts w:ascii="Arial" w:cs="Arial" w:eastAsia="Arial" w:hAnsi="Arial"/>
          <w:sz w:val="20"/>
          <w:szCs w:val="20"/>
          <w:color w:val="auto"/>
          <w:vertAlign w:val="superscript"/>
        </w:rPr>
        <w:t>nd</w:t>
      </w:r>
      <w:r>
        <w:rPr>
          <w:rFonts w:ascii="Arial" w:cs="Arial" w:eastAsia="Arial" w:hAnsi="Arial"/>
          <w:sz w:val="16"/>
          <w:szCs w:val="16"/>
          <w:color w:val="auto"/>
        </w:rPr>
        <w:t>) floor of the Building, (ii) the Additional Space (as defined in the First Amendment) demised by the First Amendment, being 71 rentable square feet on the first (1</w:t>
      </w:r>
      <w:r>
        <w:rPr>
          <w:rFonts w:ascii="Arial" w:cs="Arial" w:eastAsia="Arial" w:hAnsi="Arial"/>
          <w:sz w:val="20"/>
          <w:szCs w:val="20"/>
          <w:color w:val="auto"/>
          <w:vertAlign w:val="superscript"/>
        </w:rPr>
        <w:t>st</w:t>
      </w:r>
      <w:r>
        <w:rPr>
          <w:rFonts w:ascii="Arial" w:cs="Arial" w:eastAsia="Arial" w:hAnsi="Arial"/>
          <w:sz w:val="16"/>
          <w:szCs w:val="16"/>
          <w:color w:val="auto"/>
        </w:rPr>
        <w:t>) floor of the Building, (iii) the Expansion Premises (as defined in the Second Amendment), being 2,487 rentable square feet on the second (2nd) floor of the Building; (iv) the Second Expansion Premises (as defined in the Third Amendment), being 1,853 rentable square feet on the second (2</w:t>
      </w:r>
      <w:r>
        <w:rPr>
          <w:rFonts w:ascii="Arial" w:cs="Arial" w:eastAsia="Arial" w:hAnsi="Arial"/>
          <w:sz w:val="20"/>
          <w:szCs w:val="20"/>
          <w:color w:val="auto"/>
          <w:vertAlign w:val="superscript"/>
        </w:rPr>
        <w:t>nd</w:t>
      </w:r>
      <w:r>
        <w:rPr>
          <w:rFonts w:ascii="Arial" w:cs="Arial" w:eastAsia="Arial" w:hAnsi="Arial"/>
          <w:sz w:val="16"/>
          <w:szCs w:val="16"/>
          <w:color w:val="auto"/>
        </w:rPr>
        <w:t>) floor of the Building; (v) the Substitute Third Expansion Premises (as defined in the Fifth Amendment), being 4,864 rentable square feet of space on the second floor of the Building (referred to therein as the “Third Expansion Premises”); and (vi) the Fourth Expansion Premises (as defined in the Sixth Amendment), being 2,382 rentable square feet on the second (2</w:t>
      </w:r>
      <w:r>
        <w:rPr>
          <w:rFonts w:ascii="Arial" w:cs="Arial" w:eastAsia="Arial" w:hAnsi="Arial"/>
          <w:sz w:val="20"/>
          <w:szCs w:val="20"/>
          <w:color w:val="auto"/>
          <w:vertAlign w:val="superscript"/>
        </w:rPr>
        <w:t>nd</w:t>
      </w:r>
      <w:r>
        <w:rPr>
          <w:rFonts w:ascii="Arial" w:cs="Arial" w:eastAsia="Arial" w:hAnsi="Arial"/>
          <w:sz w:val="16"/>
          <w:szCs w:val="16"/>
          <w:color w:val="auto"/>
        </w:rPr>
        <w:t>) floor of the Building.</w:t>
      </w:r>
    </w:p>
    <w:p>
      <w:pPr>
        <w:spacing w:after="0" w:line="10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Landlord and Tenant have agreed to enter into this Seventh Amendment to Lease to renew the term of the Lease and to amended certain additional provisions to the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for good and valuable consideration, the receipt and sufficiency of which is hereby mutually acknowledged, Landlord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Tenant agree as follows:</w:t>
      </w:r>
    </w:p>
    <w:p>
      <w:pPr>
        <w:spacing w:after="0" w:line="211" w:lineRule="exact"/>
        <w:rPr>
          <w:sz w:val="20"/>
          <w:szCs w:val="20"/>
          <w:color w:val="auto"/>
        </w:rPr>
      </w:pPr>
    </w:p>
    <w:p>
      <w:pPr>
        <w:jc w:val="both"/>
        <w:ind w:right="60" w:firstLine="656"/>
        <w:spacing w:after="0" w:line="264"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Unless otherwise defined herein, all capitalized terms used in this Amendment shall have the meanings ascribed to them in the Lease, and all references in the Lease to the “Lease” or “this Lease” or “herein” or “hereunder” or similar terms or to any section thereof shall, after the Effective Date, mean the Lease, or such section thereof, as amended by this Amendment.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hanging="624"/>
        <w:spacing w:after="0"/>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Premises Square Footage</w:t>
      </w:r>
      <w:r>
        <w:rPr>
          <w:rFonts w:ascii="Arial" w:cs="Arial" w:eastAsia="Arial" w:hAnsi="Arial"/>
          <w:sz w:val="17"/>
          <w:szCs w:val="17"/>
          <w:color w:val="auto"/>
        </w:rPr>
        <w:t>. Section 1.1 of this Lease is hereby amended by amending the term “Premises Square Footage” as follows:</w:t>
      </w:r>
    </w:p>
    <w:p>
      <w:pPr>
        <w:spacing w:after="0" w:line="237" w:lineRule="exact"/>
        <w:rPr>
          <w:sz w:val="20"/>
          <w:szCs w:val="20"/>
          <w:color w:val="auto"/>
        </w:rPr>
      </w:pPr>
    </w:p>
    <w:p>
      <w:pPr>
        <w:ind w:left="1300"/>
        <w:spacing w:after="0"/>
        <w:tabs>
          <w:tab w:leader="none" w:pos="4640" w:val="left"/>
        </w:tabs>
        <w:rPr>
          <w:sz w:val="20"/>
          <w:szCs w:val="20"/>
          <w:color w:val="auto"/>
        </w:rPr>
      </w:pPr>
      <w:r>
        <w:rPr>
          <w:rFonts w:ascii="Arial" w:cs="Arial" w:eastAsia="Arial" w:hAnsi="Arial"/>
          <w:sz w:val="18"/>
          <w:szCs w:val="18"/>
          <w:color w:val="auto"/>
        </w:rPr>
        <w:t>Premises Square Footage</w:t>
      </w:r>
      <w:r>
        <w:rPr>
          <w:sz w:val="20"/>
          <w:szCs w:val="20"/>
          <w:color w:val="auto"/>
        </w:rPr>
        <w:tab/>
      </w:r>
      <w:r>
        <w:rPr>
          <w:rFonts w:ascii="Arial" w:cs="Arial" w:eastAsia="Arial" w:hAnsi="Arial"/>
          <w:sz w:val="15"/>
          <w:szCs w:val="15"/>
          <w:color w:val="auto"/>
        </w:rPr>
        <w:t>23,413 rentable square feet</w:t>
      </w:r>
    </w:p>
    <w:p>
      <w:pPr>
        <w:spacing w:after="0" w:line="225" w:lineRule="exact"/>
        <w:rPr>
          <w:sz w:val="20"/>
          <w:szCs w:val="20"/>
          <w:color w:val="auto"/>
        </w:rPr>
      </w:pPr>
    </w:p>
    <w:p>
      <w:pPr>
        <w:ind w:right="200" w:firstLine="656"/>
        <w:spacing w:after="0" w:line="277"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 Commencement Date</w:t>
      </w:r>
      <w:r>
        <w:rPr>
          <w:rFonts w:ascii="Arial" w:cs="Arial" w:eastAsia="Arial" w:hAnsi="Arial"/>
          <w:sz w:val="18"/>
          <w:szCs w:val="18"/>
          <w:color w:val="auto"/>
        </w:rPr>
        <w:t>. Section 1.1 of this Lease is hereby amended by providing that as of January 1, 2011, the term “Original Term Commencement Date” shall be deleted and replaced with the term the “Term Commencement Date” throughout this Lease.</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2.2.</w:t>
      </w:r>
      <w:r>
        <w:rPr>
          <w:rFonts w:ascii="Arial" w:cs="Arial" w:eastAsia="Arial" w:hAnsi="Arial"/>
          <w:sz w:val="16"/>
          <w:szCs w:val="16"/>
          <w:color w:val="auto"/>
        </w:rPr>
        <w:t>Term. Section 2.2 of the Lease shall be amended as of January 1, 2011 to read as follows:</w:t>
      </w:r>
    </w:p>
    <w:p>
      <w:pPr>
        <w:spacing w:after="0" w:line="225" w:lineRule="exact"/>
        <w:rPr>
          <w:rFonts w:ascii="Arial" w:cs="Arial" w:eastAsia="Arial" w:hAnsi="Arial"/>
          <w:sz w:val="18"/>
          <w:szCs w:val="18"/>
          <w:color w:val="auto"/>
        </w:rPr>
      </w:pPr>
    </w:p>
    <w:p>
      <w:pPr>
        <w:ind w:left="1300" w:right="100"/>
        <w:spacing w:after="0" w:line="342" w:lineRule="auto"/>
        <w:rPr>
          <w:rFonts w:ascii="Arial" w:cs="Arial" w:eastAsia="Arial" w:hAnsi="Arial"/>
          <w:sz w:val="18"/>
          <w:szCs w:val="18"/>
          <w:color w:val="auto"/>
        </w:rPr>
      </w:pPr>
      <w:r>
        <w:rPr>
          <w:rFonts w:ascii="Arial" w:cs="Arial" w:eastAsia="Arial" w:hAnsi="Arial"/>
          <w:sz w:val="16"/>
          <w:szCs w:val="16"/>
          <w:color w:val="auto"/>
        </w:rPr>
        <w:t>Section 2.2 Term. TO HAVE AND TO HOLD for a term (the “Term”) beginning on the Term Commencement Date which shall be January 1, 2011 and expiring on December 31, 2017 (the “Term Expiration Date”), unless earlier terminated as provided for in Section 2.4.</w:t>
      </w:r>
    </w:p>
    <w:p>
      <w:pPr>
        <w:spacing w:after="0" w:line="123" w:lineRule="exact"/>
        <w:rPr>
          <w:rFonts w:ascii="Arial" w:cs="Arial" w:eastAsia="Arial" w:hAnsi="Arial"/>
          <w:sz w:val="18"/>
          <w:szCs w:val="18"/>
          <w:color w:val="auto"/>
        </w:rPr>
      </w:pPr>
    </w:p>
    <w:p>
      <w:pPr>
        <w:ind w:left="1280" w:hanging="624"/>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Section 2.3</w:t>
      </w:r>
      <w:r>
        <w:rPr>
          <w:rFonts w:ascii="Arial" w:cs="Arial" w:eastAsia="Arial" w:hAnsi="Arial"/>
          <w:sz w:val="16"/>
          <w:szCs w:val="16"/>
          <w:u w:val="single" w:color="auto"/>
          <w:color w:val="auto"/>
        </w:rPr>
        <w:t>Renewal Term</w:t>
      </w:r>
      <w:r>
        <w:rPr>
          <w:rFonts w:ascii="Arial" w:cs="Arial" w:eastAsia="Arial" w:hAnsi="Arial"/>
          <w:sz w:val="16"/>
          <w:szCs w:val="16"/>
          <w:color w:val="auto"/>
        </w:rPr>
        <w:t>. Section 2.3 of the Lease is hereby deleted in its entirety and replaced with the following provision.</w:t>
      </w:r>
    </w:p>
    <w:p>
      <w:pPr>
        <w:spacing w:after="0" w:line="225" w:lineRule="exact"/>
        <w:rPr>
          <w:rFonts w:ascii="Arial" w:cs="Arial" w:eastAsia="Arial" w:hAnsi="Arial"/>
          <w:sz w:val="18"/>
          <w:szCs w:val="18"/>
          <w:color w:val="auto"/>
        </w:rPr>
      </w:pPr>
    </w:p>
    <w:p>
      <w:pPr>
        <w:ind w:left="1300" w:right="40"/>
        <w:spacing w:after="0" w:line="284" w:lineRule="auto"/>
        <w:rPr>
          <w:rFonts w:ascii="Arial" w:cs="Arial" w:eastAsia="Arial" w:hAnsi="Arial"/>
          <w:sz w:val="18"/>
          <w:szCs w:val="18"/>
          <w:color w:val="auto"/>
        </w:rPr>
      </w:pP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Option to Extend Term for Extension Terms</w:t>
      </w:r>
      <w:r>
        <w:rPr>
          <w:rFonts w:ascii="Arial" w:cs="Arial" w:eastAsia="Arial" w:hAnsi="Arial"/>
          <w:sz w:val="16"/>
          <w:szCs w:val="16"/>
          <w:color w:val="auto"/>
        </w:rPr>
        <w:t>. Tenant shall have two (2) separate options to extend the Lease Term for an additional five (5) year period (i.e., for a total, if both such options are exercised as provided herein, of ten (10) successive years beyond the Term) beyond the Term or the first Extension Term, as the case may be (each five year period being referred to herein as an “Extension Term”), provided (i) Tenant shall give notice to Landlord of its exercise of such option not less than twelve (12) months prior to the expiration of the Term or the first Extension Term, as the case may be, (ii) no default beyond any applicable grace period in the obligations of Tenant under this Lease shall exist at the time each such notice is given, and (iii) at the time each such option is exercised, the original Tenant hereunder, a permitted assignee of the Tenant under Section 10.14 or any “Approved Entity” (as such term is defined in</w:t>
      </w:r>
    </w:p>
    <w:p>
      <w:pPr>
        <w:spacing w:after="0" w:line="2" w:lineRule="exact"/>
        <w:rPr>
          <w:rFonts w:ascii="Arial" w:cs="Arial" w:eastAsia="Arial" w:hAnsi="Arial"/>
          <w:sz w:val="18"/>
          <w:szCs w:val="18"/>
          <w:color w:val="auto"/>
        </w:rPr>
      </w:pPr>
    </w:p>
    <w:p>
      <w:pPr>
        <w:ind w:left="1300" w:right="20"/>
        <w:spacing w:after="0" w:line="255" w:lineRule="auto"/>
        <w:rPr>
          <w:rFonts w:ascii="Arial" w:cs="Arial" w:eastAsia="Arial" w:hAnsi="Arial"/>
          <w:sz w:val="18"/>
          <w:szCs w:val="18"/>
          <w:color w:val="auto"/>
        </w:rPr>
      </w:pPr>
      <w:r>
        <w:rPr>
          <w:rFonts w:ascii="Arial" w:cs="Arial" w:eastAsia="Arial" w:hAnsi="Arial"/>
          <w:sz w:val="18"/>
          <w:szCs w:val="18"/>
          <w:color w:val="auto"/>
        </w:rPr>
        <w:t>Section 10.14) shall be in occupancy of at least 50% of the entire Premises then demised hereunder. All of the terms and provisions of this Lease, as amended, shall be applicable to each Extension Term except that Tenant shall have no option to extend the Lease Term beyond the second Extension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-2227580</wp:posOffset>
            </wp:positionV>
            <wp:extent cx="10737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7378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-1953260</wp:posOffset>
            </wp:positionV>
            <wp:extent cx="10693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9340"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64" w:gutter="0" w:footer="0" w:header="0"/>
        </w:sectPr>
      </w:pPr>
    </w:p>
    <w:bookmarkStart w:id="24" w:name="page25"/>
    <w:bookmarkEnd w:id="24"/>
    <w:p>
      <w:pPr>
        <w:ind w:left="1280" w:hanging="624"/>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Premises and Term</w:t>
      </w:r>
      <w:r>
        <w:rPr>
          <w:rFonts w:ascii="Arial" w:cs="Arial" w:eastAsia="Arial" w:hAnsi="Arial"/>
          <w:sz w:val="18"/>
          <w:szCs w:val="18"/>
          <w:color w:val="auto"/>
        </w:rPr>
        <w:t>. Section 2 of the Lease is hereby amended by adding the following provision:</w:t>
      </w:r>
    </w:p>
    <w:p>
      <w:pPr>
        <w:spacing w:after="0" w:line="225" w:lineRule="exact"/>
        <w:rPr>
          <w:rFonts w:ascii="Arial" w:cs="Arial" w:eastAsia="Arial" w:hAnsi="Arial"/>
          <w:sz w:val="18"/>
          <w:szCs w:val="18"/>
          <w:color w:val="auto"/>
        </w:rPr>
      </w:pPr>
    </w:p>
    <w:p>
      <w:pPr>
        <w:ind w:left="1300" w:right="80"/>
        <w:spacing w:after="0" w:line="273" w:lineRule="auto"/>
        <w:rPr>
          <w:rFonts w:ascii="Arial" w:cs="Arial" w:eastAsia="Arial" w:hAnsi="Arial"/>
          <w:sz w:val="18"/>
          <w:szCs w:val="18"/>
          <w:color w:val="auto"/>
        </w:rPr>
      </w:pP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t>
      </w:r>
      <w:r>
        <w:rPr>
          <w:rFonts w:ascii="Arial" w:cs="Arial" w:eastAsia="Arial" w:hAnsi="Arial"/>
          <w:sz w:val="17"/>
          <w:szCs w:val="17"/>
          <w:u w:val="single" w:color="auto"/>
          <w:color w:val="auto"/>
        </w:rPr>
        <w:t>Early Termination Option</w:t>
      </w:r>
      <w:r>
        <w:rPr>
          <w:rFonts w:ascii="Arial" w:cs="Arial" w:eastAsia="Arial" w:hAnsi="Arial"/>
          <w:sz w:val="17"/>
          <w:szCs w:val="17"/>
          <w:color w:val="auto"/>
        </w:rPr>
        <w:t>. Tenant shall have one option (“Early Termination Option”) to terminate the Lease as of December 31, 2015 (the “Early Termination Date”) upon prior written notice to Landlord provided no later than December 31, 2014 (the “Early Termination Notice”) and upon payment of a termination payment of Twenty-six Thousand Six Hundred Seventy-six and 57/100 Dollars ($26,676.57) (the “Termination Payment”), which payment shall be delivered with the Early Termination Notice. In the event that Tenant shall fail to pay the Termination Payment with its Early Termination Notice, the Early Termination Option shall be null and void and the Tenant’s obligations under this Lease shall continue for the remainder of the Term.</w:t>
      </w:r>
    </w:p>
    <w:p>
      <w:pPr>
        <w:spacing w:after="0" w:line="178" w:lineRule="exact"/>
        <w:rPr>
          <w:rFonts w:ascii="Arial" w:cs="Arial" w:eastAsia="Arial" w:hAnsi="Arial"/>
          <w:sz w:val="18"/>
          <w:szCs w:val="18"/>
          <w:color w:val="auto"/>
        </w:rPr>
      </w:pPr>
    </w:p>
    <w:p>
      <w:pPr>
        <w:ind w:right="320" w:firstLine="656"/>
        <w:spacing w:after="0" w:line="277"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Annual Fixed Rental Rate</w:t>
      </w:r>
      <w:r>
        <w:rPr>
          <w:rFonts w:ascii="Arial" w:cs="Arial" w:eastAsia="Arial" w:hAnsi="Arial"/>
          <w:sz w:val="18"/>
          <w:szCs w:val="18"/>
          <w:color w:val="auto"/>
        </w:rPr>
        <w:t>. Section 1.1 of the Lease is amended by deleting the provisions regarding the “Annual Fixed Rental Rate” and inserting the following language: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Annual Fixed Rental Rate:</w:t>
            </w:r>
          </w:p>
        </w:tc>
        <w:tc>
          <w:tcPr>
            <w:tcW w:w="7660" w:type="dxa"/>
            <w:vAlign w:val="bottom"/>
          </w:tcPr>
          <w:p>
            <w:pPr>
              <w:ind w:left="2040"/>
              <w:spacing w:after="0"/>
              <w:rPr>
                <w:sz w:val="20"/>
                <w:szCs w:val="20"/>
                <w:color w:val="auto"/>
              </w:rPr>
            </w:pPr>
            <w:r>
              <w:rPr>
                <w:rFonts w:ascii="Arial" w:cs="Arial" w:eastAsia="Arial" w:hAnsi="Arial"/>
                <w:sz w:val="18"/>
                <w:szCs w:val="18"/>
                <w:color w:val="auto"/>
                <w:w w:val="96"/>
              </w:rPr>
              <w:t>As of January 1, 2011 and through December 31, 2012: $379,307.50 per</w:t>
            </w:r>
          </w:p>
        </w:tc>
      </w:tr>
      <w:tr>
        <w:trPr>
          <w:trHeight w:val="230"/>
        </w:trPr>
        <w:tc>
          <w:tcPr>
            <w:tcW w:w="3800" w:type="dxa"/>
            <w:vAlign w:val="bottom"/>
          </w:tcPr>
          <w:p>
            <w:pPr>
              <w:spacing w:after="0"/>
              <w:rPr>
                <w:sz w:val="20"/>
                <w:szCs w:val="20"/>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annum.</w:t>
            </w:r>
          </w:p>
        </w:tc>
      </w:tr>
      <w:tr>
        <w:trPr>
          <w:trHeight w:val="418"/>
        </w:trPr>
        <w:tc>
          <w:tcPr>
            <w:tcW w:w="3800" w:type="dxa"/>
            <w:vAlign w:val="bottom"/>
          </w:tcPr>
          <w:p>
            <w:pPr>
              <w:spacing w:after="0"/>
              <w:rPr>
                <w:sz w:val="24"/>
                <w:szCs w:val="24"/>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5"/>
              </w:rPr>
              <w:t>(ii) As of January 1, 2013 and annually thereafter, (the “Adjustment Date”)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the Annual Fixed Rental Rate shall be calculated for the immediately</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following twelve (12) month period that begins with the applicable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5"/>
              </w:rPr>
              <w:t>Adjustment Date as follows: An annual amount equal to the product of the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3"/>
              </w:rPr>
              <w:t>Annual Fixed Rental Rate payable for the then preceding twelve (12) month</w:t>
            </w:r>
          </w:p>
        </w:tc>
      </w:tr>
      <w:tr>
        <w:trPr>
          <w:trHeight w:val="230"/>
        </w:trPr>
        <w:tc>
          <w:tcPr>
            <w:tcW w:w="3800" w:type="dxa"/>
            <w:vAlign w:val="bottom"/>
          </w:tcPr>
          <w:p>
            <w:pPr>
              <w:spacing w:after="0"/>
              <w:rPr>
                <w:sz w:val="20"/>
                <w:szCs w:val="20"/>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period multiplied by the Increase Factor.</w:t>
            </w:r>
          </w:p>
        </w:tc>
      </w:tr>
      <w:tr>
        <w:trPr>
          <w:trHeight w:val="418"/>
        </w:trPr>
        <w:tc>
          <w:tcPr>
            <w:tcW w:w="3800" w:type="dxa"/>
            <w:vAlign w:val="bottom"/>
          </w:tcPr>
          <w:p>
            <w:pPr>
              <w:spacing w:after="0"/>
              <w:rPr>
                <w:sz w:val="24"/>
                <w:szCs w:val="24"/>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3"/>
              </w:rPr>
              <w:t>For purposes of this Lease, the “Increase Factor” shall mean a fraction, the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7"/>
              </w:rPr>
              <w:t>numerator of which shall be the “Index” (defined below) as issued for the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5"/>
              </w:rPr>
              <w:t>month of November that immediately precedes the applicable Adjustment</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9"/>
              </w:rPr>
              <w:t>Date and the denominator of which shall be the Index as issued for the</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2"/>
              </w:rPr>
              <w:t>month of November in the year immediately prior to the month of November</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2"/>
              </w:rPr>
              <w:t>that immediately precedes the applicable Adjustment Date. Notwithstanding</w:t>
            </w:r>
          </w:p>
        </w:tc>
      </w:tr>
      <w:tr>
        <w:trPr>
          <w:trHeight w:val="216"/>
        </w:trPr>
        <w:tc>
          <w:tcPr>
            <w:tcW w:w="3800" w:type="dxa"/>
            <w:vAlign w:val="bottom"/>
          </w:tcPr>
          <w:p>
            <w:pPr>
              <w:spacing w:after="0"/>
              <w:rPr>
                <w:sz w:val="18"/>
                <w:szCs w:val="18"/>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w w:val="90"/>
              </w:rPr>
              <w:t>the foregoing, if the numerator is less than the denominator, then the Increase</w:t>
            </w:r>
          </w:p>
        </w:tc>
      </w:tr>
      <w:tr>
        <w:trPr>
          <w:trHeight w:val="230"/>
        </w:trPr>
        <w:tc>
          <w:tcPr>
            <w:tcW w:w="3800" w:type="dxa"/>
            <w:vAlign w:val="bottom"/>
          </w:tcPr>
          <w:p>
            <w:pPr>
              <w:spacing w:after="0"/>
              <w:rPr>
                <w:sz w:val="20"/>
                <w:szCs w:val="20"/>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Factor shall be one (1).</w:t>
            </w:r>
          </w:p>
        </w:tc>
      </w:tr>
      <w:tr>
        <w:trPr>
          <w:trHeight w:val="432"/>
        </w:trPr>
        <w:tc>
          <w:tcPr>
            <w:tcW w:w="3800" w:type="dxa"/>
            <w:vAlign w:val="bottom"/>
          </w:tcPr>
          <w:p>
            <w:pPr>
              <w:spacing w:after="0"/>
              <w:rPr>
                <w:sz w:val="24"/>
                <w:szCs w:val="24"/>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4</w:t>
            </w:r>
          </w:p>
        </w:tc>
      </w:tr>
      <w:tr>
        <w:trPr>
          <w:trHeight w:val="132"/>
        </w:trPr>
        <w:tc>
          <w:tcPr>
            <w:tcW w:w="3800" w:type="dxa"/>
            <w:vAlign w:val="bottom"/>
            <w:tcBorders>
              <w:bottom w:val="single" w:sz="8" w:color="010101"/>
            </w:tcBorders>
          </w:tcPr>
          <w:p>
            <w:pPr>
              <w:spacing w:after="0"/>
              <w:rPr>
                <w:sz w:val="11"/>
                <w:szCs w:val="11"/>
                <w:color w:val="auto"/>
              </w:rPr>
            </w:pPr>
          </w:p>
        </w:tc>
        <w:tc>
          <w:tcPr>
            <w:tcW w:w="76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Index shall mean the Consumer Price Index for Urban Wage Earners and</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Clerical Workers, Boston – Brockton – Nashua, MA – NH – ME – CT. All</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Items – Series A (1982 – 84 = 100) issued by the Bureau of Labor Statistics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of the United States Department of Labor. In the event that the Index shall</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hereafter be converted to a different standard of reference base or otherwise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revised, the determination of the Increase Factor shall be made with the use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of such conversion factor, formula, or table for converting the Index as may</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be published by the Bureau of Labor Statistics or, if said Bureau shall not</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publish the same, then with the use of such conversion factor, formula, or</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table as may be published by Prentice Hall, Inc., or failing such publication,</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any other nationally recognized publisher of similar statistical</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information. In the event that the Index shall cease to be published, then, for</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the purposes of determining the Increase Factor, there shall be substituted for</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the Index such other Index as Landlord and Tenant shall agree upon, and, if</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they are unable to agree within ninety (90) days after the Index ceases to be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published, such matter shall be determined in Boston by arbitration in</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accordance with the Rules of the American Arbitration Association.</w:t>
      </w:r>
    </w:p>
    <w:p>
      <w:pPr>
        <w:spacing w:after="0" w:line="211" w:lineRule="exact"/>
        <w:rPr>
          <w:sz w:val="20"/>
          <w:szCs w:val="20"/>
          <w:color w:val="auto"/>
        </w:rPr>
      </w:pPr>
    </w:p>
    <w:p>
      <w:pPr>
        <w:ind w:left="1280" w:hanging="624"/>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Tenant Improvement Allowance</w:t>
      </w:r>
      <w:r>
        <w:rPr>
          <w:rFonts w:ascii="Arial" w:cs="Arial" w:eastAsia="Arial" w:hAnsi="Arial"/>
          <w:sz w:val="18"/>
          <w:szCs w:val="18"/>
          <w:color w:val="auto"/>
        </w:rPr>
        <w:t>. Section 4 of the Lease is hereby amended by adding the following new provision:</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u w:val="single" w:color="auto"/>
          <w:color w:val="auto"/>
        </w:rPr>
        <w:t>Section 4.4</w:t>
      </w:r>
      <w:r>
        <w:rPr>
          <w:rFonts w:ascii="Arial" w:cs="Arial" w:eastAsia="Arial" w:hAnsi="Arial"/>
          <w:sz w:val="18"/>
          <w:szCs w:val="18"/>
          <w:color w:val="auto"/>
        </w:rPr>
        <w:t>.</w:t>
      </w:r>
      <w:r>
        <w:rPr>
          <w:rFonts w:ascii="Arial" w:cs="Arial" w:eastAsia="Arial" w:hAnsi="Arial"/>
          <w:sz w:val="16"/>
          <w:szCs w:val="16"/>
          <w:u w:val="single" w:color="auto"/>
          <w:color w:val="auto"/>
        </w:rPr>
        <w:t>Tenant Improvement Allowance</w:t>
      </w:r>
      <w:r>
        <w:rPr>
          <w:rFonts w:ascii="Arial" w:cs="Arial" w:eastAsia="Arial" w:hAnsi="Arial"/>
          <w:sz w:val="16"/>
          <w:szCs w:val="16"/>
          <w:color w:val="auto"/>
        </w:rPr>
        <w:t>. Landlord shall provide Tenant with an allowance, subject to the provisions of</w:t>
      </w:r>
    </w:p>
    <w:p>
      <w:pPr>
        <w:spacing w:after="0" w:line="23" w:lineRule="exact"/>
        <w:rPr>
          <w:rFonts w:ascii="Arial" w:cs="Arial" w:eastAsia="Arial" w:hAnsi="Arial"/>
          <w:sz w:val="18"/>
          <w:szCs w:val="18"/>
          <w:color w:val="auto"/>
        </w:rPr>
      </w:pPr>
    </w:p>
    <w:p>
      <w:pPr>
        <w:ind w:left="1300" w:right="120"/>
        <w:spacing w:after="0" w:line="281" w:lineRule="auto"/>
        <w:rPr>
          <w:rFonts w:ascii="Arial" w:cs="Arial" w:eastAsia="Arial" w:hAnsi="Arial"/>
          <w:sz w:val="18"/>
          <w:szCs w:val="18"/>
          <w:color w:val="auto"/>
        </w:rPr>
      </w:pPr>
      <w:r>
        <w:rPr>
          <w:rFonts w:ascii="Arial" w:cs="Arial" w:eastAsia="Arial" w:hAnsi="Arial"/>
          <w:sz w:val="16"/>
          <w:szCs w:val="16"/>
          <w:color w:val="auto"/>
        </w:rPr>
        <w:t>Section 10.4 below, up to the aggregate amount of $93,368 (“Tenant Improvement Allowance”) which monies shall be disbursed to Tenant not more than once monthly for its costs of non-structural improvements to the Premises including carpet and paint, but excluding furniture and equipment. A maximum of fifteen percent (15%) of the Tenant Improvements Allowance may be applied to soft costs. The applicable portion of the Tenant Improvement Allowance shall be disbursed to Tenant thirty (30) days after Tenant’s presentation to Landlord of</w:t>
      </w:r>
    </w:p>
    <w:p>
      <w:pPr>
        <w:spacing w:after="0" w:line="2" w:lineRule="exact"/>
        <w:rPr>
          <w:rFonts w:ascii="Arial" w:cs="Arial" w:eastAsia="Arial" w:hAnsi="Arial"/>
          <w:sz w:val="18"/>
          <w:szCs w:val="18"/>
          <w:color w:val="auto"/>
        </w:rPr>
      </w:pPr>
    </w:p>
    <w:p>
      <w:pPr>
        <w:ind w:left="1300" w:right="180"/>
        <w:spacing w:after="0" w:line="255" w:lineRule="auto"/>
        <w:rPr>
          <w:rFonts w:ascii="Arial" w:cs="Arial" w:eastAsia="Arial" w:hAnsi="Arial"/>
          <w:sz w:val="18"/>
          <w:szCs w:val="18"/>
          <w:color w:val="auto"/>
        </w:rPr>
      </w:pPr>
      <w:r>
        <w:rPr>
          <w:rFonts w:ascii="Arial" w:cs="Arial" w:eastAsia="Arial" w:hAnsi="Arial"/>
          <w:sz w:val="18"/>
          <w:szCs w:val="18"/>
          <w:color w:val="auto"/>
        </w:rPr>
        <w:t>(i) detailed invoices supporting improvement costs which invoices shall reasonably itemize such costs on a line item basis, (ii) evidence of such improvement, (iii) lien waivers from contractors installing such improvements and (iv) other supporting documentation reasonably requested by the Landlord. All disbursement requests must be made prior to</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60" w:right="440"/>
        <w:spacing w:after="0" w:line="277" w:lineRule="auto"/>
        <w:rPr>
          <w:sz w:val="20"/>
          <w:szCs w:val="20"/>
          <w:color w:val="auto"/>
        </w:rPr>
      </w:pPr>
      <w:r>
        <w:rPr>
          <w:rFonts w:ascii="Arial" w:cs="Arial" w:eastAsia="Arial" w:hAnsi="Arial"/>
          <w:sz w:val="18"/>
          <w:szCs w:val="18"/>
          <w:color w:val="auto"/>
        </w:rPr>
        <w:t>December 31, 2011. The unused portions of the Tenant Improvement Allowance may not be used for any other purpose, including the payment of Rent.</w:t>
      </w:r>
    </w:p>
    <w:p>
      <w:pPr>
        <w:spacing w:after="0" w:line="170" w:lineRule="exact"/>
        <w:rPr>
          <w:sz w:val="20"/>
          <w:szCs w:val="20"/>
          <w:color w:val="auto"/>
        </w:rPr>
      </w:pPr>
    </w:p>
    <w:p>
      <w:pPr>
        <w:ind w:right="640" w:firstLine="656"/>
        <w:spacing w:after="0" w:line="277"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10.4 Tenant Work. The first paragraph of Section 10.4 is hereby amended by deleting such paragraph in its entirety and inserting the following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-182245</wp:posOffset>
            </wp:positionV>
            <wp:extent cx="14255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25575" cy="8890"/>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25" w:name="page26"/>
    <w:bookmarkEnd w:id="25"/>
    <w:p>
      <w:pPr>
        <w:spacing w:after="0" w:line="137" w:lineRule="exact"/>
        <w:rPr>
          <w:sz w:val="20"/>
          <w:szCs w:val="20"/>
          <w:color w:val="auto"/>
        </w:rPr>
      </w:pPr>
    </w:p>
    <w:p>
      <w:pPr>
        <w:ind w:left="1280" w:right="20"/>
        <w:spacing w:after="0" w:line="285" w:lineRule="auto"/>
        <w:rPr>
          <w:sz w:val="20"/>
          <w:szCs w:val="20"/>
          <w:color w:val="auto"/>
        </w:rPr>
      </w:pP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w:t>
      </w:r>
      <w:r>
        <w:rPr>
          <w:rFonts w:ascii="Arial" w:cs="Arial" w:eastAsia="Arial" w:hAnsi="Arial"/>
          <w:sz w:val="16"/>
          <w:szCs w:val="16"/>
          <w:u w:val="single" w:color="auto"/>
          <w:color w:val="auto"/>
        </w:rPr>
        <w:t>Tenant’s Work</w:t>
      </w:r>
      <w:r>
        <w:rPr>
          <w:rFonts w:ascii="Arial" w:cs="Arial" w:eastAsia="Arial" w:hAnsi="Arial"/>
          <w:sz w:val="16"/>
          <w:szCs w:val="16"/>
          <w:color w:val="auto"/>
        </w:rPr>
        <w:t>. Except as otherwise described in this Section 10.4, Tenant shall not make any installations, alterations, additions or improvements in or to the Premises, including, without limitation, any apertures in the walls, partitions, ceilings or floors, without on each occasion obtaining the prior written consent of Landlord (i) which consent, as to installations, alterations, additions or improvements that do not affect the Building systems or the structure of the Premises or Building, shall not be unreasonably withheld or delayed and (ii) which consent shall not be necessary as to cosmetic improvements (i.e., painting and carpeting) that does not cost more than $150,000 in any one instance. Any such work so approved by Landlord shall be performed only in accordance with plans and specifications (except for cosmetic improvements) and a construction schedule therefor reasonably approved in advance by Landlord. Tenant shall procure, at Tenant’s sole expense, all necessary permits and licenses before undertaking any work on the Premises and shall perform all such work in a good and workmanlike manner employing materials of good quality and so as to conform with all applicable zoning, building, fire, health and other codes, regulations, ordinances and laws and with all applicable insurance requirements. Prior to commencing any work at the Premises, Tenant shall provide Landlord with a copy of the executed contract with the general contractor for such work. If requested by Landlord, Tenant shall furnish to Landlord prior to the commencement of any such work a bond or other security acceptable to Landlord assuring that any work by Tenant will be completed in accordance with the approved plans and specifications. Tenant shall keep the Premises at all times free of liens for labor and materials. Tenant shall employ for such work only contractors approved by Landlord, which approval shall not be unreasonably withheld, and shall require all contractors employed by Tenant to carry worker’s compensation insurance in accordance with statutory requirements and commercial public liability insurance covering such contractors on or about the Premises in amounts that at least equal the limit of $2,000,000 and to submit certificates evidencing such coverage to Landlord prior to the commencement of such work. Tenant shall save Landlord harmless and indemnified from all injury, loss, claims or damage to any person or property occasioned by or growing out of such work. Subject to compliance with the terms of Section 10.6 of this Lease, Landlord may inspect the work of Tenant at reasonable times and give notice of observed defects.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160" w:firstLine="656"/>
        <w:spacing w:after="0" w:line="277" w:lineRule="auto"/>
        <w:tabs>
          <w:tab w:leader="none" w:pos="127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Section 10.14 Assignment and Subletting</w:t>
      </w:r>
      <w:r>
        <w:rPr>
          <w:rFonts w:ascii="Arial" w:cs="Arial" w:eastAsia="Arial" w:hAnsi="Arial"/>
          <w:sz w:val="18"/>
          <w:szCs w:val="18"/>
          <w:color w:val="auto"/>
        </w:rPr>
        <w:t>. Section 10.14 of the Lease is hereby amended by deleting the fifth paragraph in its entirety and replacing it with the following provision:</w:t>
      </w:r>
    </w:p>
    <w:p>
      <w:pPr>
        <w:spacing w:after="0" w:line="170" w:lineRule="exact"/>
        <w:rPr>
          <w:sz w:val="20"/>
          <w:szCs w:val="20"/>
          <w:color w:val="auto"/>
        </w:rPr>
      </w:pPr>
    </w:p>
    <w:p>
      <w:pPr>
        <w:ind w:left="1280" w:right="100"/>
        <w:spacing w:after="0" w:line="255" w:lineRule="auto"/>
        <w:rPr>
          <w:sz w:val="20"/>
          <w:szCs w:val="20"/>
          <w:color w:val="auto"/>
        </w:rPr>
      </w:pPr>
      <w:r>
        <w:rPr>
          <w:rFonts w:ascii="Arial" w:cs="Arial" w:eastAsia="Arial" w:hAnsi="Arial"/>
          <w:sz w:val="18"/>
          <w:szCs w:val="18"/>
          <w:color w:val="auto"/>
        </w:rPr>
        <w:t>If for any Transfer, Tenant shall receive rent or other consideration, either initially or over the term of the assignment of sublease, in excess of rent (or in the case of the sublease of part, in excess of such rent allocable to the part) after appropriate adjustments to assure that all other payments called for hereunder are taken into account and after deducting Tenant’s reasonable legal, brokerage and leasehold improvement cots, all amortized ratably over the tern of the sublease or assignment, incurred for such sublease or assignment, Tenant shall pay to Landlord, as Additional Rent, fifty percent (50%) of such excess of such payment of rent or other consideration received by Tenant, promptly after its receipt.</w:t>
      </w:r>
    </w:p>
    <w:p>
      <w:pPr>
        <w:spacing w:after="0" w:line="193" w:lineRule="exact"/>
        <w:rPr>
          <w:sz w:val="20"/>
          <w:szCs w:val="20"/>
          <w:color w:val="auto"/>
        </w:rPr>
      </w:pPr>
    </w:p>
    <w:p>
      <w:pPr>
        <w:ind w:left="-20" w:right="280" w:firstLine="656"/>
        <w:spacing w:after="0" w:line="277" w:lineRule="auto"/>
        <w:tabs>
          <w:tab w:leader="none" w:pos="126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Section 1.1 of the Lease is hereby amended by amending the definition of Broker therein by deleting “Whelan Associates, LLC” and replacing with “Jones Lang LaSalle”.</w:t>
      </w:r>
    </w:p>
    <w:p>
      <w:pPr>
        <w:spacing w:after="0" w:line="170" w:lineRule="exact"/>
        <w:rPr>
          <w:rFonts w:ascii="Arial" w:cs="Arial" w:eastAsia="Arial" w:hAnsi="Arial"/>
          <w:sz w:val="18"/>
          <w:szCs w:val="18"/>
          <w:color w:val="auto"/>
        </w:rPr>
      </w:pPr>
    </w:p>
    <w:p>
      <w:pPr>
        <w:ind w:left="1280" w:hanging="644"/>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Section 14.7 Brokerage</w:t>
      </w:r>
      <w:r>
        <w:rPr>
          <w:rFonts w:ascii="Arial" w:cs="Arial" w:eastAsia="Arial" w:hAnsi="Arial"/>
          <w:sz w:val="18"/>
          <w:szCs w:val="18"/>
          <w:color w:val="auto"/>
        </w:rPr>
        <w:t>. Section 14.7 of the Lease is hereby amended by adding the following second paragraph:</w:t>
      </w:r>
    </w:p>
    <w:p>
      <w:pPr>
        <w:spacing w:after="0" w:line="225" w:lineRule="exact"/>
        <w:rPr>
          <w:rFonts w:ascii="Arial" w:cs="Arial" w:eastAsia="Arial" w:hAnsi="Arial"/>
          <w:sz w:val="18"/>
          <w:szCs w:val="18"/>
          <w:color w:val="auto"/>
        </w:rPr>
      </w:pPr>
    </w:p>
    <w:p>
      <w:pPr>
        <w:ind w:left="1280" w:right="280"/>
        <w:spacing w:after="0" w:line="277" w:lineRule="auto"/>
        <w:rPr>
          <w:rFonts w:ascii="Arial" w:cs="Arial" w:eastAsia="Arial" w:hAnsi="Arial"/>
          <w:sz w:val="18"/>
          <w:szCs w:val="18"/>
          <w:color w:val="auto"/>
        </w:rPr>
      </w:pPr>
      <w:r>
        <w:rPr>
          <w:rFonts w:ascii="Arial" w:cs="Arial" w:eastAsia="Arial" w:hAnsi="Arial"/>
          <w:sz w:val="18"/>
          <w:szCs w:val="18"/>
          <w:color w:val="auto"/>
        </w:rPr>
        <w:t>The total commission due to the Broker for the extension of the Term shall be One Hundred Six Thousand Two Hundred Six and 00/100 Dollars ($106,206) and shall be payable as follows:</w:t>
      </w:r>
    </w:p>
    <w:p>
      <w:pPr>
        <w:spacing w:after="0" w:line="170" w:lineRule="exact"/>
        <w:rPr>
          <w:rFonts w:ascii="Arial" w:cs="Arial" w:eastAsia="Arial" w:hAnsi="Arial"/>
          <w:sz w:val="18"/>
          <w:szCs w:val="18"/>
          <w:color w:val="auto"/>
        </w:rPr>
      </w:pPr>
    </w:p>
    <w:p>
      <w:pPr>
        <w:ind w:left="1280" w:right="60" w:firstLine="1301"/>
        <w:spacing w:after="0" w:line="264" w:lineRule="auto"/>
        <w:tabs>
          <w:tab w:leader="none" w:pos="3282"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Upon execution of this Amendment by both parties, Landlord shall pay to Broker Seventy-five Thousand, Eight Hundred Sixty-one and 50/100 Dollars ($75,861.50) which is an amount equal to four percent (4%) of the rent to be paid for the first 5 years of the Extension Term.</w:t>
      </w:r>
    </w:p>
    <w:p>
      <w:pPr>
        <w:spacing w:after="0" w:line="181" w:lineRule="exact"/>
        <w:rPr>
          <w:rFonts w:ascii="Arial" w:cs="Arial" w:eastAsia="Arial" w:hAnsi="Arial"/>
          <w:sz w:val="18"/>
          <w:szCs w:val="18"/>
          <w:color w:val="auto"/>
        </w:rPr>
      </w:pPr>
    </w:p>
    <w:p>
      <w:pPr>
        <w:ind w:left="1280" w:right="60" w:firstLine="1301"/>
        <w:spacing w:after="0" w:line="264" w:lineRule="auto"/>
        <w:tabs>
          <w:tab w:leader="none" w:pos="32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 the first day of the sixth lease year of the Extension Term, Landlord shall pay to Broker Thirty Thousand, Three Hundred Forty-four and 50/100 Dollars ($30,344.50); provided that Tenant has not exercised its termination option under Section 2.4 of the Lease as amended hereby.</w:t>
      </w:r>
    </w:p>
    <w:p>
      <w:pPr>
        <w:spacing w:after="0" w:line="181" w:lineRule="exact"/>
        <w:rPr>
          <w:rFonts w:ascii="Arial" w:cs="Arial" w:eastAsia="Arial" w:hAnsi="Arial"/>
          <w:sz w:val="18"/>
          <w:szCs w:val="18"/>
          <w:color w:val="auto"/>
        </w:rPr>
      </w:pPr>
    </w:p>
    <w:p>
      <w:pPr>
        <w:ind w:left="1280" w:hanging="644"/>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 Section 3 of the Lease is hereby amended by adding the following provision.</w:t>
      </w:r>
    </w:p>
    <w:p>
      <w:pPr>
        <w:spacing w:after="0" w:line="225" w:lineRule="exact"/>
        <w:rPr>
          <w:sz w:val="20"/>
          <w:szCs w:val="20"/>
          <w:color w:val="auto"/>
        </w:rPr>
      </w:pPr>
    </w:p>
    <w:p>
      <w:pPr>
        <w:ind w:left="1280" w:right="260"/>
        <w:spacing w:after="0" w:line="277" w:lineRule="auto"/>
        <w:rPr>
          <w:sz w:val="20"/>
          <w:szCs w:val="20"/>
          <w:color w:val="auto"/>
        </w:rPr>
      </w:pP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During the Term and the first Extension Term, Tenant shall have a right of first offer on any space that becomes available in the Building subject to existing leasing agreements (the “First Offer Space”).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spacing w:after="0" w:line="270" w:lineRule="auto"/>
        <w:rPr>
          <w:sz w:val="20"/>
          <w:szCs w:val="20"/>
          <w:color w:val="auto"/>
        </w:rPr>
      </w:pPr>
      <w:r>
        <w:rPr>
          <w:rFonts w:ascii="Arial" w:cs="Arial" w:eastAsia="Arial" w:hAnsi="Arial"/>
          <w:sz w:val="17"/>
          <w:szCs w:val="17"/>
          <w:color w:val="auto"/>
        </w:rPr>
        <w:t>“Available” space includes, without limitation, space that Landlord intends, in its sole discretion, to recapture from an existing tenant (whether by an earlier termination of an existing lease or pursuant to applicable sublease recapture provisions therein). Before entering into a lease for the First Offer Space with a third party (other than any existing tenant or occupant of such space), Landlord shall notify Tenant of the economic terms of the effective rent and any other material terms or conditions (such as the actual recapture of space from an existing tenant, if applicable, as set forth above) on which Landlord intends to lease the space (“Landlord’s Notice”). Within ten (10) business days after receipt of the Landlord’s Notice, Tenant may, by written notice delivered to Landlord (i) reject Landlord’s Notice, or (ii) reject Landlord’s Notice but offer to lease such space from Landlord on different economic terms, or (iii) accept the terms set forth in Landlord’s Notice (the failure by Tenant timely to respond as aforesaid being deemed Tenant’s rejection of Landlord’s Notice). Any notice given under clause (ii) or (iii) shall confirm that Tenant will use the First Offer Space for its own use.</w:t>
      </w:r>
    </w:p>
    <w:p>
      <w:pPr>
        <w:spacing w:after="0" w:line="182" w:lineRule="exact"/>
        <w:rPr>
          <w:sz w:val="20"/>
          <w:szCs w:val="20"/>
          <w:color w:val="auto"/>
        </w:rPr>
      </w:pPr>
    </w:p>
    <w:p>
      <w:pPr>
        <w:ind w:left="1280" w:right="240" w:firstLine="648"/>
        <w:spacing w:after="0" w:line="264" w:lineRule="auto"/>
        <w:rPr>
          <w:sz w:val="20"/>
          <w:szCs w:val="20"/>
          <w:color w:val="auto"/>
        </w:rPr>
      </w:pPr>
      <w:r>
        <w:rPr>
          <w:rFonts w:ascii="Arial" w:cs="Arial" w:eastAsia="Arial" w:hAnsi="Arial"/>
          <w:sz w:val="18"/>
          <w:szCs w:val="18"/>
          <w:color w:val="auto"/>
        </w:rPr>
        <w:t>If Landlord’s Notice is rejected under clause (i) above (or deemed rejected by Tenant’s failure to timely respond), then Landlord may enter into any lease for such space within a one-year period after such rejection or deemed rejection, unless Tenant makes a timely counteroffer under the next grammatical paragraph.</w:t>
      </w:r>
    </w:p>
    <w:p>
      <w:pPr>
        <w:spacing w:after="0" w:line="181" w:lineRule="exact"/>
        <w:rPr>
          <w:sz w:val="20"/>
          <w:szCs w:val="20"/>
          <w:color w:val="auto"/>
        </w:rPr>
      </w:pPr>
    </w:p>
    <w:p>
      <w:pPr>
        <w:ind w:left="1280" w:right="20" w:firstLine="648"/>
        <w:spacing w:after="0" w:line="342" w:lineRule="auto"/>
        <w:rPr>
          <w:sz w:val="20"/>
          <w:szCs w:val="20"/>
          <w:color w:val="auto"/>
        </w:rPr>
      </w:pPr>
      <w:r>
        <w:rPr>
          <w:rFonts w:ascii="Arial" w:cs="Arial" w:eastAsia="Arial" w:hAnsi="Arial"/>
          <w:sz w:val="16"/>
          <w:szCs w:val="16"/>
          <w:color w:val="auto"/>
        </w:rPr>
        <w:t>If Tenant timely offers to lease the space on alternative terms as set forth in clause (ii) above, then Landlord shall, by written notice delivered within thirty (30) days of receipt thereof, either accept or decline such offer (the failure to so respond being deemed Landlord’s</w:t>
      </w:r>
    </w:p>
    <w:p>
      <w:pPr>
        <w:sectPr>
          <w:pgSz w:w="11900" w:h="16975" w:orient="portrait"/>
          <w:cols w:equalWidth="0" w:num="1">
            <w:col w:w="11400"/>
          </w:cols>
          <w:pgMar w:left="260" w:top="125" w:right="239" w:bottom="0" w:gutter="0" w:footer="0" w:header="0"/>
        </w:sectPr>
      </w:pPr>
    </w:p>
    <w:bookmarkStart w:id="26" w:name="page27"/>
    <w:bookmarkEnd w:id="26"/>
    <w:p>
      <w:pPr>
        <w:ind w:left="1300" w:right="160"/>
        <w:spacing w:after="0" w:line="273" w:lineRule="auto"/>
        <w:rPr>
          <w:sz w:val="20"/>
          <w:szCs w:val="20"/>
          <w:color w:val="auto"/>
        </w:rPr>
      </w:pPr>
      <w:r>
        <w:rPr>
          <w:rFonts w:ascii="Arial" w:cs="Arial" w:eastAsia="Arial" w:hAnsi="Arial"/>
          <w:sz w:val="17"/>
          <w:szCs w:val="17"/>
          <w:color w:val="auto"/>
        </w:rPr>
        <w:t>election to decline Tenant’s offer). If such offer under clause (ii) is declined (or deemed declined), then, for a period of one year after Landlord’s receipt of Tenant’s offer, Landlord may enter into any lease for such space at an effective rent (taking into account any tenant improvement allowance, free rent, or other tenant concessions) greater than that set forth in Tenant’s offer. If, during such one year period, Landlord desires to enter into a third-party lease at an effective rent less than or equal to the effective rent set forth in Tenant’s offer, Landlord shall deliver to Tenant a new Landlord’s Notice. If Landlord does not enter into any lease within such one-year period, Landlord shall re-commence the process under this Section before entering into a lease for the space.</w:t>
      </w:r>
    </w:p>
    <w:p>
      <w:pPr>
        <w:spacing w:after="0" w:line="178" w:lineRule="exact"/>
        <w:rPr>
          <w:sz w:val="20"/>
          <w:szCs w:val="20"/>
          <w:color w:val="auto"/>
        </w:rPr>
      </w:pPr>
    </w:p>
    <w:p>
      <w:pPr>
        <w:ind w:left="1300" w:right="120" w:firstLine="648"/>
        <w:spacing w:after="0" w:line="276" w:lineRule="auto"/>
        <w:rPr>
          <w:sz w:val="20"/>
          <w:szCs w:val="20"/>
          <w:color w:val="auto"/>
        </w:rPr>
      </w:pPr>
      <w:r>
        <w:rPr>
          <w:rFonts w:ascii="Arial" w:cs="Arial" w:eastAsia="Arial" w:hAnsi="Arial"/>
          <w:sz w:val="17"/>
          <w:szCs w:val="17"/>
          <w:color w:val="auto"/>
        </w:rPr>
        <w:t>If Tenant timely accepts the terms in Landlord’s Notice under clause (iii) above or if Landlord timely accepts an offer by Tenant under clause (ii) above, the space shall, subject to the following paragraph below and without further action by the parties, be leased by Tenant on the accepted terms and otherwise on all of the terms of the Lease in effect immediately prior to such expansion, provided that, at the request of either party, Landlord and Tenant shall promptly execute and deliver an agreement confirming such expansion of the Premises and the estimated date the Premises are to be expanded pursuant to this Section with 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provision for establishing the effective date of such expansion based on the actual delivery.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Notwithstanding any provision of this Section to the contrary, Tenant’s Expansion Option shall be void, at Landlord’s election, if</w:t>
      </w:r>
    </w:p>
    <w:p>
      <w:pPr>
        <w:spacing w:after="0" w:line="46" w:lineRule="exact"/>
        <w:rPr>
          <w:sz w:val="20"/>
          <w:szCs w:val="20"/>
          <w:color w:val="auto"/>
        </w:rPr>
      </w:pPr>
    </w:p>
    <w:p>
      <w:pPr>
        <w:ind w:left="1300" w:right="100" w:firstLine="5"/>
        <w:spacing w:after="0" w:line="268" w:lineRule="auto"/>
        <w:tabs>
          <w:tab w:leader="none" w:pos="1512" w:val="left"/>
        </w:tabs>
        <w:numPr>
          <w:ilvl w:val="1"/>
          <w:numId w:val="20"/>
        </w:numPr>
        <w:rPr>
          <w:rFonts w:ascii="Arial" w:cs="Arial" w:eastAsia="Arial" w:hAnsi="Arial"/>
          <w:sz w:val="17"/>
          <w:szCs w:val="17"/>
          <w:color w:val="auto"/>
        </w:rPr>
      </w:pPr>
      <w:r>
        <w:rPr>
          <w:rFonts w:ascii="Arial" w:cs="Arial" w:eastAsia="Arial" w:hAnsi="Arial"/>
          <w:sz w:val="17"/>
          <w:szCs w:val="17"/>
          <w:color w:val="auto"/>
        </w:rPr>
        <w:t>Tenant is in material default under the Lease, after any applicable notice and cure periods have expired, at the time prior to the time Tenant makes any election with respect to the First Offer Space under this Section, or (ii) except for Permitted Transfers, Tenant has assigned the Lease or subleased more than twenty percent (20%) of Premises Square Footage. Nothing in this Section shall be construed to grant to Tenant any rights or interest in any particular space in the Building, and any claims by Tenant alleging a failure of the Landlord to comply herewith shall be limited to claims for monetary damages. Tenant may not assert any rights in any space nor file any lis pendens or similar notice with respect thereto. To be effective, the exercise of Tenant’s rights under this Section (and notice thereof) shall be unconditional; if Tenant purports to condition the exercise of such rights or to vary its terms in any manner, then the rights granted shall be void and the purported exercise shall be ineffective.</w:t>
      </w:r>
    </w:p>
    <w:p>
      <w:pPr>
        <w:spacing w:after="0" w:line="184" w:lineRule="exact"/>
        <w:rPr>
          <w:rFonts w:ascii="Arial" w:cs="Arial" w:eastAsia="Arial" w:hAnsi="Arial"/>
          <w:sz w:val="17"/>
          <w:szCs w:val="17"/>
          <w:color w:val="auto"/>
        </w:rPr>
      </w:pPr>
    </w:p>
    <w:p>
      <w:pPr>
        <w:ind w:right="240" w:firstLine="656"/>
        <w:spacing w:after="0" w:line="312" w:lineRule="auto"/>
        <w:tabs>
          <w:tab w:leader="none" w:pos="1294"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Ratification</w:t>
      </w:r>
      <w:r>
        <w:rPr>
          <w:rFonts w:ascii="Arial" w:cs="Arial" w:eastAsia="Arial" w:hAnsi="Arial"/>
          <w:sz w:val="16"/>
          <w:szCs w:val="16"/>
          <w:color w:val="auto"/>
        </w:rPr>
        <w:t>. Except as expressly modified by this Amendment, the Lease shall remain in full force and effect, and as further modified by this Amendment, is expressly ratified and confirmed by the parties hereto. This Amendment shall be binding upon and inure to the benefit of the parties hereto and their respective successors and assigns, subject to the provisions of the Lease regarding assignment and subletting.</w:t>
      </w:r>
    </w:p>
    <w:p>
      <w:pPr>
        <w:spacing w:after="0" w:line="146" w:lineRule="exact"/>
        <w:rPr>
          <w:rFonts w:ascii="Arial" w:cs="Arial" w:eastAsia="Arial" w:hAnsi="Arial"/>
          <w:sz w:val="16"/>
          <w:szCs w:val="16"/>
          <w:color w:val="auto"/>
        </w:rPr>
      </w:pPr>
    </w:p>
    <w:p>
      <w:pPr>
        <w:ind w:right="80" w:firstLine="656"/>
        <w:spacing w:after="0" w:line="273" w:lineRule="auto"/>
        <w:tabs>
          <w:tab w:leader="none" w:pos="1294"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Governing Law; Interpretation; and Partial Invalidity</w:t>
      </w:r>
      <w:r>
        <w:rPr>
          <w:rFonts w:ascii="Arial" w:cs="Arial" w:eastAsia="Arial" w:hAnsi="Arial"/>
          <w:sz w:val="17"/>
          <w:szCs w:val="17"/>
          <w:color w:val="auto"/>
        </w:rPr>
        <w:t>. This Amendment shall be governed and construed in accordance with the laws of the Commonwealth of Massachusetts. If any term of this Amendment, or the application thereof to any person or circumstances, shall to any extent be invalid or unenforceable, the remainder of this Amendment, or the application of such term to persons or circumstances other than those as to which it is invalid or unenforceable, shall not be affected thereby, and each term of this Amendment shall be valid and enforceable to the fullest extent permitted by law. The titles for the paragraphs are for convenience only and not to be considered in construing this Amendment. This Amendment contains all of the agreements of the parties with respect to the subject matter hereof, and supersedes all prior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dealings between them with respect to such subject matter. No delay or omission on the part of either party to this Amendment in requiring performance by the other party or exercising any right hereunder shall operate as a waiver of any provision hereof or any rights hereunder, and no waiver, omission or delay in requiring performance or exercising any right hereunder on any one occasion shall be construed as a bar to or waiver of such performance or right on any future occasion.</w:t>
      </w:r>
    </w:p>
    <w:p>
      <w:pPr>
        <w:spacing w:after="0" w:line="187" w:lineRule="exact"/>
        <w:rPr>
          <w:sz w:val="20"/>
          <w:szCs w:val="20"/>
          <w:color w:val="auto"/>
        </w:rPr>
      </w:pPr>
    </w:p>
    <w:p>
      <w:pPr>
        <w:ind w:right="120" w:firstLine="656"/>
        <w:spacing w:after="0" w:line="259" w:lineRule="auto"/>
        <w:tabs>
          <w:tab w:leader="none" w:pos="129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Counterparts and Authority</w:t>
      </w:r>
      <w:r>
        <w:rPr>
          <w:rFonts w:ascii="Arial" w:cs="Arial" w:eastAsia="Arial" w:hAnsi="Arial"/>
          <w:sz w:val="18"/>
          <w:szCs w:val="18"/>
          <w:color w:val="auto"/>
        </w:rPr>
        <w:t>. This Amendment may be executed in multiple counterparts, each of which shall be deemed an original and all of which together shall constitute one and the same document. Landlord and Tenant each warrant to the other that the person or persons executing this Amendment on its behalf has or have authority to do so and that such execution has fully obligated and bound such party to all terms and provisions of this Amendment.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REMAINDER OF THIS PAGE IS INTENTIONALLY LEFT BLANK.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 PAGE IS THE SIGNATURE PAGE.]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executed this Amendment under seal as of the date and year first written above.</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MASSACHUSETTS DEVELOPMENT FINANCE AGENCY</w:t>
      </w:r>
    </w:p>
    <w:p>
      <w:pPr>
        <w:spacing w:after="0" w:line="200" w:lineRule="exact"/>
        <w:rPr>
          <w:sz w:val="20"/>
          <w:szCs w:val="20"/>
          <w:color w:val="auto"/>
        </w:rPr>
      </w:pPr>
    </w:p>
    <w:p>
      <w:pPr>
        <w:spacing w:after="0" w:line="241" w:lineRule="exact"/>
        <w:rPr>
          <w:sz w:val="20"/>
          <w:szCs w:val="20"/>
          <w:color w:val="auto"/>
        </w:rPr>
      </w:pPr>
    </w:p>
    <w:p>
      <w:pPr>
        <w:ind w:left="5820"/>
        <w:spacing w:after="0"/>
        <w:tabs>
          <w:tab w:leader="none" w:pos="6300" w:val="left"/>
        </w:tabs>
        <w:rPr>
          <w:sz w:val="20"/>
          <w:szCs w:val="20"/>
          <w:color w:val="auto"/>
        </w:rPr>
      </w:pPr>
      <w:r>
        <w:rPr>
          <w:rFonts w:ascii="Arial" w:cs="Arial" w:eastAsia="Arial" w:hAnsi="Arial"/>
          <w:sz w:val="18"/>
          <w:szCs w:val="18"/>
          <w:color w:val="auto"/>
        </w:rPr>
        <w:t>By:</w:t>
        <w:tab/>
        <w:t>/S/ Richard Henderson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Richard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Executive Vice President, Real Estate</w:t>
      </w:r>
    </w:p>
    <w:p>
      <w:pPr>
        <w:spacing w:after="0" w:line="211"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APPROVED AS TO FORM</w:t>
            </w: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r>
      <w:tr>
        <w:trPr>
          <w:trHeight w:val="224"/>
        </w:trPr>
        <w:tc>
          <w:tcPr>
            <w:tcW w:w="270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Agency Counsel</w:t>
            </w:r>
          </w:p>
        </w:tc>
      </w:tr>
    </w:tbl>
    <w:p>
      <w:pPr>
        <w:sectPr>
          <w:pgSz w:w="11900" w:h="16838" w:orient="portrait"/>
          <w:cols w:equalWidth="0" w:num="1">
            <w:col w:w="11420"/>
          </w:cols>
          <w:pgMar w:left="240" w:top="125" w:right="239" w:bottom="0" w:gutter="0" w:footer="0" w:header="0"/>
        </w:sectPr>
      </w:pPr>
    </w:p>
    <w:bookmarkStart w:id="27" w:name="page28"/>
    <w:bookmarkEnd w:id="27"/>
    <w:p>
      <w:pPr>
        <w:ind w:left="462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CELLDEX THERAPEUTICS, INC.</w:t>
      </w:r>
    </w:p>
    <w:p>
      <w:pPr>
        <w:spacing w:after="0" w:line="200" w:lineRule="exact"/>
        <w:rPr>
          <w:sz w:val="20"/>
          <w:szCs w:val="20"/>
          <w:color w:val="auto"/>
        </w:rPr>
      </w:pPr>
    </w:p>
    <w:p>
      <w:pPr>
        <w:spacing w:after="0" w:line="241" w:lineRule="exact"/>
        <w:rPr>
          <w:sz w:val="20"/>
          <w:szCs w:val="20"/>
          <w:color w:val="auto"/>
        </w:rPr>
      </w:pPr>
    </w:p>
    <w:p>
      <w:pPr>
        <w:ind w:left="4620"/>
        <w:spacing w:after="0"/>
        <w:tabs>
          <w:tab w:leader="none" w:pos="5100" w:val="left"/>
        </w:tabs>
        <w:rPr>
          <w:sz w:val="20"/>
          <w:szCs w:val="20"/>
          <w:color w:val="auto"/>
        </w:rPr>
      </w:pPr>
      <w:r>
        <w:rPr>
          <w:rFonts w:ascii="Arial" w:cs="Arial" w:eastAsia="Arial" w:hAnsi="Arial"/>
          <w:sz w:val="18"/>
          <w:szCs w:val="18"/>
          <w:color w:val="auto"/>
        </w:rPr>
        <w:t>By:</w:t>
        <w:tab/>
        <w:t>/S/ Anthony S. Marucci</w:t>
      </w:r>
    </w:p>
    <w:p>
      <w:pPr>
        <w:spacing w:after="0" w:line="23" w:lineRule="exact"/>
        <w:rPr>
          <w:sz w:val="20"/>
          <w:szCs w:val="20"/>
          <w:color w:val="auto"/>
        </w:rPr>
      </w:pPr>
    </w:p>
    <w:tbl>
      <w:tblPr>
        <w:tblLayout w:type="fixed"/>
        <w:tblInd w:w="512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President and CEO</w:t>
            </w: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660" w:hanging="47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660" w:right="340" w:hanging="47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47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20" w:hanging="47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40" w:right="80" w:hanging="684"/>
        <w:spacing w:after="0" w:line="264" w:lineRule="auto"/>
        <w:tabs>
          <w:tab w:leader="none" w:pos="1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20" w:hanging="684"/>
        <w:spacing w:after="0" w:line="264" w:lineRule="auto"/>
        <w:tabs>
          <w:tab w:leader="none" w:pos="1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40" w:right="380" w:hanging="684"/>
        <w:spacing w:after="0" w:line="342" w:lineRule="auto"/>
        <w:tabs>
          <w:tab w:leader="none" w:pos="13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40" w:right="80" w:hanging="684"/>
        <w:spacing w:after="0" w:line="264" w:lineRule="auto"/>
        <w:tabs>
          <w:tab w:leader="none" w:pos="1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47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620" w:hanging="684"/>
        <w:spacing w:after="0" w:line="342" w:lineRule="auto"/>
        <w:tabs>
          <w:tab w:leader="none" w:pos="13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320" w:hanging="684"/>
        <w:spacing w:after="0" w:line="277" w:lineRule="auto"/>
        <w:tabs>
          <w:tab w:leader="none" w:pos="13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5, 2010</w:t>
            </w:r>
          </w:p>
        </w:tc>
        <w:tc>
          <w:tcPr>
            <w:tcW w:w="2880" w:type="dxa"/>
            <w:vAlign w:val="bottom"/>
          </w:tcPr>
          <w:p>
            <w:pPr>
              <w:ind w:left="21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8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880" w:type="dxa"/>
            <w:vAlign w:val="bottom"/>
          </w:tcPr>
          <w:p>
            <w:pPr>
              <w:ind w:left="21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6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9" w:name="page30"/>
    <w:bookmarkEnd w:id="29"/>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53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80" w:hanging="532"/>
        <w:spacing w:after="0" w:line="264"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40" w:hanging="532"/>
        <w:spacing w:after="0" w:line="308"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80" w:hanging="532"/>
        <w:spacing w:after="0" w:line="264"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200" w:hanging="730"/>
        <w:spacing w:after="0" w:line="264" w:lineRule="auto"/>
        <w:tabs>
          <w:tab w:leader="none" w:pos="1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120" w:hanging="730"/>
        <w:spacing w:after="0" w:line="264" w:lineRule="auto"/>
        <w:tabs>
          <w:tab w:leader="none" w:pos="1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300" w:hanging="730"/>
        <w:spacing w:after="0" w:line="342" w:lineRule="auto"/>
        <w:tabs>
          <w:tab w:leader="none" w:pos="14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80" w:hanging="730"/>
        <w:spacing w:after="0" w:line="264" w:lineRule="auto"/>
        <w:tabs>
          <w:tab w:leader="none" w:pos="1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532"/>
        <w:spacing w:after="0" w:line="308"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440" w:right="540" w:hanging="730"/>
        <w:spacing w:after="0" w:line="342" w:lineRule="auto"/>
        <w:tabs>
          <w:tab w:leader="none" w:pos="14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220" w:hanging="730"/>
        <w:spacing w:after="0" w:line="277" w:lineRule="auto"/>
        <w:tabs>
          <w:tab w:leader="none" w:pos="1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5, 2010</w:t>
            </w:r>
          </w:p>
        </w:tc>
        <w:tc>
          <w:tcPr>
            <w:tcW w:w="2880" w:type="dxa"/>
            <w:vAlign w:val="bottom"/>
          </w:tcPr>
          <w:p>
            <w:pPr>
              <w:ind w:left="21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8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880" w:type="dxa"/>
            <w:vAlign w:val="bottom"/>
          </w:tcPr>
          <w:p>
            <w:pPr>
              <w:ind w:left="21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66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5, 2010</w:t>
            </w:r>
          </w:p>
        </w:tc>
        <w:tc>
          <w:tcPr>
            <w:tcW w:w="2900" w:type="dxa"/>
            <w:vAlign w:val="bottom"/>
          </w:tcPr>
          <w:p>
            <w:pPr>
              <w:ind w:left="210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40" w:type="dxa"/>
            <w:vAlign w:val="bottom"/>
          </w:tcPr>
          <w:p>
            <w:pPr>
              <w:spacing w:after="0"/>
              <w:rPr>
                <w:sz w:val="16"/>
                <w:szCs w:val="16"/>
                <w:color w:val="auto"/>
              </w:rPr>
            </w:pPr>
          </w:p>
        </w:tc>
        <w:tc>
          <w:tcPr>
            <w:tcW w:w="290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40" w:type="dxa"/>
            <w:vAlign w:val="bottom"/>
          </w:tcPr>
          <w:p>
            <w:pPr>
              <w:spacing w:after="0"/>
              <w:rPr>
                <w:sz w:val="20"/>
                <w:szCs w:val="20"/>
                <w:color w:val="auto"/>
              </w:rPr>
            </w:pPr>
          </w:p>
        </w:tc>
        <w:tc>
          <w:tcPr>
            <w:tcW w:w="2900" w:type="dxa"/>
            <w:vAlign w:val="bottom"/>
          </w:tcPr>
          <w:p>
            <w:pPr>
              <w:ind w:left="210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5, 2010</w:t>
            </w:r>
          </w:p>
        </w:tc>
        <w:tc>
          <w:tcPr>
            <w:tcW w:w="2900" w:type="dxa"/>
            <w:vAlign w:val="bottom"/>
          </w:tcPr>
          <w:p>
            <w:pPr>
              <w:ind w:left="210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640" w:type="dxa"/>
            <w:vAlign w:val="bottom"/>
          </w:tcPr>
          <w:p>
            <w:pPr>
              <w:spacing w:after="0"/>
              <w:rPr>
                <w:sz w:val="16"/>
                <w:szCs w:val="16"/>
                <w:color w:val="auto"/>
              </w:rPr>
            </w:pPr>
          </w:p>
        </w:tc>
        <w:tc>
          <w:tcPr>
            <w:tcW w:w="290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640" w:type="dxa"/>
            <w:vAlign w:val="bottom"/>
          </w:tcPr>
          <w:p>
            <w:pPr>
              <w:spacing w:after="0"/>
              <w:rPr>
                <w:sz w:val="18"/>
                <w:szCs w:val="18"/>
                <w:color w:val="auto"/>
              </w:rPr>
            </w:pPr>
          </w:p>
        </w:tc>
        <w:tc>
          <w:tcPr>
            <w:tcW w:w="2900" w:type="dxa"/>
            <w:vAlign w:val="bottom"/>
          </w:tcPr>
          <w:p>
            <w:pPr>
              <w:ind w:left="210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6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lowerRoman"/>
      <w:start w:val="2"/>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6"/>
    </w:lvl>
  </w:abstractNum>
  <w:abstractNum w:abstractNumId="12">
    <w:nsid w:val="3F2DBA31"/>
    <w:multiLevelType w:val="hybridMultilevel"/>
    <w:lvl w:ilvl="0">
      <w:lvlJc w:val="left"/>
      <w:lvlText w:val="%1."/>
      <w:numFmt w:val="decimal"/>
      <w:start w:val="2"/>
    </w:lvl>
  </w:abstractNum>
  <w:abstractNum w:abstractNumId="13">
    <w:nsid w:val="7C83E458"/>
    <w:multiLevelType w:val="hybridMultilevel"/>
    <w:lvl w:ilvl="0">
      <w:lvlJc w:val="left"/>
      <w:lvlText w:val="%1."/>
      <w:numFmt w:val="decimal"/>
      <w:start w:val="3"/>
    </w:lvl>
  </w:abstractNum>
  <w:abstractNum w:abstractNumId="14">
    <w:nsid w:val="257130A3"/>
    <w:multiLevelType w:val="hybridMultilevel"/>
    <w:lvl w:ilvl="0">
      <w:lvlJc w:val="left"/>
      <w:lvlText w:val="%1."/>
      <w:numFmt w:val="decimal"/>
      <w:start w:val="6"/>
    </w:lvl>
  </w:abstractNum>
  <w:abstractNum w:abstractNumId="15">
    <w:nsid w:val="62BBD95A"/>
    <w:multiLevelType w:val="hybridMultilevel"/>
    <w:lvl w:ilvl="0">
      <w:lvlJc w:val="left"/>
      <w:lvlText w:val="%1."/>
      <w:numFmt w:val="decimal"/>
      <w:start w:val="8"/>
    </w:lvl>
  </w:abstractNum>
  <w:abstractNum w:abstractNumId="16">
    <w:nsid w:val="436C6125"/>
    <w:multiLevelType w:val="hybridMultilevel"/>
    <w:lvl w:ilvl="0">
      <w:lvlJc w:val="left"/>
      <w:lvlText w:val="%1."/>
      <w:numFmt w:val="decimal"/>
      <w:start w:val="9"/>
    </w:lvl>
  </w:abstractNum>
  <w:abstractNum w:abstractNumId="17">
    <w:nsid w:val="628C895D"/>
    <w:multiLevelType w:val="hybridMultilevel"/>
    <w:lvl w:ilvl="0">
      <w:lvlJc w:val="left"/>
      <w:lvlText w:val="%1."/>
      <w:numFmt w:val="decimal"/>
      <w:start w:val="10"/>
    </w:lvl>
  </w:abstractNum>
  <w:abstractNum w:abstractNumId="18">
    <w:nsid w:val="333AB105"/>
    <w:multiLevelType w:val="hybridMultilevel"/>
    <w:lvl w:ilvl="0">
      <w:lvlJc w:val="left"/>
      <w:lvlText w:val="%1."/>
      <w:numFmt w:val="decimal"/>
      <w:start w:val="11"/>
    </w:lvl>
    <w:lvl w:ilvl="1">
      <w:lvlJc w:val="left"/>
      <w:lvlText w:val="(%2)"/>
      <w:numFmt w:val="lowerRoman"/>
      <w:start w:val="1"/>
    </w:lvl>
  </w:abstractNum>
  <w:abstractNum w:abstractNumId="19">
    <w:nsid w:val="721DA317"/>
    <w:multiLevelType w:val="hybridMultilevel"/>
    <w:lvl w:ilvl="0">
      <w:lvlJc w:val="left"/>
      <w:lvlText w:val="%1"/>
      <w:numFmt w:val="decimal"/>
      <w:start w:val="1"/>
    </w:lvl>
    <w:lvl w:ilvl="1">
      <w:lvlJc w:val="left"/>
      <w:lvlText w:val="(%2)"/>
      <w:numFmt w:val="lowerRoman"/>
      <w:start w:val="1"/>
    </w:lvl>
  </w:abstractNum>
  <w:abstractNum w:abstractNumId="20">
    <w:nsid w:val="2443A858"/>
    <w:multiLevelType w:val="hybridMultilevel"/>
    <w:lvl w:ilvl="0">
      <w:lvlJc w:val="left"/>
      <w:lvlText w:val="%1."/>
      <w:numFmt w:val="decimal"/>
      <w:start w:val="14"/>
    </w:lvl>
    <w:lvl w:ilvl="1">
      <w:lvlJc w:val="left"/>
      <w:lvlText w:val="%2"/>
      <w:numFmt w:val="lowerRoman"/>
      <w:start w:val="1"/>
    </w:lvl>
  </w:abstractNum>
  <w:abstractNum w:abstractNumId="21">
    <w:nsid w:val="2D1D5AE9"/>
    <w:multiLevelType w:val="hybridMultilevel"/>
    <w:lvl w:ilvl="0">
      <w:lvlJc w:val="left"/>
      <w:lvlText w:val="%1."/>
      <w:numFmt w:val="decimal"/>
      <w:start w:val="16"/>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2019-12-10T06:04:12Z</dcterms:created>
  <dcterms:modified xsi:type="dcterms:W3CDTF">2019-12-10T06:04:12Z</dcterms:modified>
</cp:coreProperties>
</file>